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12 — Search &amp; Metadata Model</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12.1 Search &amp; Metadata Model Overview</w:t>
      </w:r>
    </w:p>
    <w:p>
      <w:pPr>
        <w:spacing w:after="150" w:line="276"/>
        <w:jc w:val="both"/>
      </w:pPr>
      <w:r>
        <w:t xml:space="preserve">This Part specifies how the schema supports the federated search requirement in SRS Part 14 and Part 31, building on the SearchIndexEntry and TaxonomyTerm entities already catalogued in Section 3 (Domains 12 and 14). Search is architecturally split across two systems, as fixed in Section 1.2: PostgreSQL is the system of record for every searchable entity's content and metadata; OpenSearch is the query-time search engine that content is synchronised into. This Part specifies that synchronisation contract precisely, since it is the one place in the schema where two systems must stay consistent with each other.</w:t>
      </w:r>
    </w:p>
    <w:p>
      <w:pPr>
        <w:pStyle w:val="Heading1"/>
        <w:pBdr>
          <w:bottom w:val="single" w:color="5C2D91" w:sz="6" w:space="4"/>
        </w:pBdr>
        <w:spacing w:after="130" w:before="320"/>
      </w:pPr>
      <w:r>
        <w:t xml:space="preserve">12.2 PostgreSQL → OpenSearch Synchronisation Contract</w:t>
      </w:r>
    </w:p>
    <w:p>
      <w:pPr>
        <w:spacing w:after="150" w:line="276"/>
        <w:jc w:val="both"/>
      </w:pPr>
      <w:r>
        <w:t xml:space="preserve">Three entity types are search-eligible: Document, KnowledgeArticle, and Task (the same three named in SRS Part 30's indexing-priority requirement). On every INSERT or UPDATE to one of these tables, a database trigger writes a row to a dedicated outbox table, search_sync_outbox (columns: id, source_type, source_id, operation, enqueued_at, processed_at), implementing the transactional outbox pattern — this guarantees that a sync event is never lost even if the OpenSearch cluster is briefly unavailable, since the outbox row commits in the same transaction as the business data change.</w:t>
      </w:r>
    </w:p>
    <w:p>
      <w:pPr>
        <w:spacing w:after="150" w:line="276"/>
        <w:jc w:val="both"/>
      </w:pPr>
      <w:r>
        <w:t xml:space="preserve">A separate, lightweight worker process polls search_sync_outbox for unprocessed rows, fetches the current state of the referenced Document/KnowledgeArticle/Task row (plus its resolved taxonomy tags and access-control fields), and upserts the corresponding document into OpenSearch. This achieves the near-real-time (typically sub-5-second), eventually-consistent synchronisation named in Section 1.7, without making any user-facing write transaction wait on OpenSearch availability or latency.</w:t>
      </w:r>
    </w:p>
    <w:p>
      <w:pPr>
        <w:spacing w:after="150" w:line="276"/>
        <w:jc w:val="both"/>
      </w:pPr>
      <w:r>
        <w:t xml:space="preserve">The OpenSearch document schema for each indexed entity mirrors the corresponding SearchIndexEntry conceptual model (Section 3, Domain 14): an indexed full-text field (title + body/description concatenated and analysed), the resolved access-control fields needed for query-time permission filtering (access_level/visibility, state_id where applicable), and denormalised taxonomy term names (not just IDs) so that taxonomy-filtered search does not require a join back to PostgreSQL at query time.</w:t>
      </w:r>
    </w:p>
    <w:p>
      <w:pPr>
        <w:pStyle w:val="Heading1"/>
        <w:pBdr>
          <w:bottom w:val="single" w:color="5C2D91" w:sz="6" w:space="4"/>
        </w:pBdr>
        <w:spacing w:after="130" w:before="320"/>
      </w:pPr>
      <w:r>
        <w:t xml:space="preserve">12.3 Metadata, Tags, and Keywords</w:t>
      </w:r>
    </w:p>
    <w:p>
      <w:pPr>
        <w:spacing w:after="150" w:line="276"/>
        <w:jc w:val="both"/>
      </w:pPr>
      <w:r>
        <w:t xml:space="preserve">Every searchable entity carries the metadata fields catalogued in Section 4: Document and KnowledgeArticle both reference TaxonomyTerm for categorisation (category_id, a single primary category per SRS Part 12's requirement) and, at the OpenSearch layer, may carry additional free-text keywords extracted at index time from the title and body — free-text keywords are not separately modelled as a PostgreSQL column because they are a derived search-index artefact, not a fact requiring its own source-of-truth column, consistent with the 3NF-by-default principle in Section 1.8.</w:t>
      </w:r>
    </w:p>
    <w:p>
      <w:pPr>
        <w:spacing w:after="150" w:line="276"/>
        <w:jc w:val="both"/>
      </w:pPr>
      <w:r>
        <w:t xml:space="preserve">MediaAsset's alt_text field (Section 4, Domain 13) doubles as both an accessibility requirement (WCAG 2.1 AA, per SRS Part 34) and a search-metadata field — image and video assets are searchable by their alt_text content, meaning accessibility compliance and search coverage are satisfied by the same field rather than two redundant ones.</w:t>
      </w:r>
    </w:p>
    <w:p>
      <w:pPr>
        <w:pStyle w:val="Heading1"/>
        <w:pBdr>
          <w:bottom w:val="single" w:color="5C2D91" w:sz="6" w:space="4"/>
        </w:pBdr>
        <w:spacing w:after="130" w:before="320"/>
      </w:pPr>
      <w:r>
        <w:t xml:space="preserve">12.4 Taxonomy and Ontology</w:t>
      </w:r>
    </w:p>
    <w:p>
      <w:pPr>
        <w:spacing w:after="150" w:line="276"/>
        <w:jc w:val="both"/>
      </w:pPr>
      <w:r>
        <w:t xml:space="preserve">TaxonomyTerm (Section 3, Domain 12) implements a single self-referential hierarchical taxonomy — a tree, not a full ontology with cross-cutting relationships (a term has exactly one parent, not multiple parents or typed relationships to other terms). This is a deliberate Phase 1 scope decision: SRS Part 12 and the PDD's content-organisation requirements describe hierarchical browse-by-topic navigation, which a tree structure fully satisfies, and a general ontology (multiple inheritance, typed semantic relationships like "broader than" / "related to" / "replaces") would add modelling and curation overhead with no named Phase 1 requirement to justify it.</w:t>
      </w:r>
    </w:p>
    <w:p>
      <w:pPr>
        <w:spacing w:after="150" w:line="276"/>
        <w:jc w:val="both"/>
      </w:pPr>
      <w:r>
        <w:t xml:space="preserve">If a true ontology becomes a requirement in a future phase, the recommended extension is a separate taxonomy_term_relationship bridge table (term_id, related_term_id, relationship_type) layered on top of the existing tree, rather than restructuring TaxonomyTerm itself — named here so this DDS does not need to be revisited if that requirement emerges.</w:t>
      </w:r>
    </w:p>
    <w:p>
      <w:pPr>
        <w:pStyle w:val="Heading1"/>
        <w:pBdr>
          <w:bottom w:val="single" w:color="5C2D91" w:sz="6" w:space="4"/>
        </w:pBdr>
        <w:spacing w:after="130" w:before="320"/>
      </w:pPr>
      <w:r>
        <w:t xml:space="preserve">12.5 Semantic Search and Knowledge Graph Preparation (Phase 2)</w:t>
      </w:r>
    </w:p>
    <w:p>
      <w:pPr>
        <w:spacing w:after="150" w:line="276"/>
        <w:jc w:val="both"/>
      </w:pPr>
      <w:r>
        <w:t xml:space="preserve">AIKnowledgeEmbedding (Section 3, Domain 22) is the Phase 2 semantic-search foundation: a vector embedding of Document/KnowledgeArticle content, requiring the pgvector PostgreSQL extension (not part of the Phase 1 technology stack decision, EA Blueprint Section 10.3) or an external vector database. This is deliberately minimal in Phase 1 scope — modelled so the schema is not restructured later, but carrying no Phase 1 implementation obligation, consistent with SRS Part 22 and Part 38.</w:t>
      </w:r>
    </w:p>
    <w:p>
      <w:pPr>
        <w:spacing w:after="150" w:line="276"/>
        <w:jc w:val="both"/>
      </w:pPr>
      <w:r>
        <w:t xml:space="preserve">A knowledge graph — typed relationships between KnowledgeArticle content beyond the taxonomy tree (e.g. "this case study cites this publication", "this tool was used in this project") — is named in SRS Part 38 (Future Enhancements) as a Phase 2+ item and is not modelled in this DDS beyond noting that KnowledgeArticle's existing self-referential related-content links (Section 3, Domain 12 description) are the natural Phase 1 seed data a future knowledge graph would build 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2026-07-19T08:52:09.065Z</dcterms:created>
  <dcterms:modified xsi:type="dcterms:W3CDTF">2026-07-19T08:52:09.065Z</dcterms:modified>
</cp:coreProperties>
</file>

<file path=docProps/custom.xml><?xml version="1.0" encoding="utf-8"?>
<Properties xmlns="http://schemas.openxmlformats.org/officeDocument/2006/custom-properties" xmlns:vt="http://schemas.openxmlformats.org/officeDocument/2006/docPropsVTypes"/>
</file>