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13 — Reporting &amp; Analytics Model</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13.1 Reporting &amp; Analytics Model Overview</w:t>
      </w:r>
    </w:p>
    <w:p>
      <w:pPr>
        <w:spacing w:after="150" w:line="276"/>
        <w:jc w:val="both"/>
      </w:pPr>
      <w:r>
        <w:t xml:space="preserve">This Part specifies how the schema supports the six reports in the Report Catalogue (SRS Part 25), the ten dashboards in the Dashboard Catalogue (SRS Part 24), and the KPI-tracking requirement in SRS Part 3 and Part 16 of the PDD, building on ReportDefinition, ReportExecutionLog, KPITarget, AnalyticsSnapshot, and DashboardWidget already catalogued in Section 3 (Domains 3, 15, 16).</w:t>
      </w:r>
    </w:p>
    <w:p>
      <w:pPr>
        <w:pStyle w:val="Heading1"/>
        <w:pBdr>
          <w:bottom w:val="single" w:color="5C2D91" w:sz="6" w:space="4"/>
        </w:pBdr>
        <w:spacing w:after="130" w:before="320"/>
      </w:pPr>
      <w:r>
        <w:t xml:space="preserve">13.2 Reporting Entities and Generation Model</w:t>
      </w:r>
    </w:p>
    <w:p>
      <w:pPr>
        <w:spacing w:after="150" w:line="276"/>
        <w:jc w:val="both"/>
      </w:pPr>
      <w:r>
        <w:t xml:space="preserve">Reports are generated on demand against live operational tables (Project, Task, Document, Risk, Issue, WorkflowDecision) using parameterised queries defined by ReportDefinition.parameters_schema, not against a separate reporting copy of the data — Phase 1 data volumes (Section 1.4's projected entity counts, in the low thousands to tens of thousands per table by Year 3) do not justify a separate reporting database, and querying live tables guarantees report accuracy is never stale beyond the query's own execution time. ReportExecutionLog records every generation for audit, per Section 3's retention policy for that entity.</w:t>
      </w:r>
    </w:p>
    <w:p>
      <w:pPr>
        <w:spacing w:after="150" w:line="276"/>
        <w:jc w:val="both"/>
      </w:pPr>
      <w:r>
        <w:t xml:space="preserve">The Audit Trail Report (RPT in the Report Catalogue) is the one report type that queries audit_log directly rather than an operational table, and given audit_log's partition-by-month structure (Part 9), a date-range-filtered Audit Trail Report request should always include a bounded date range so PostgreSQL's partition pruning keeps the query fast — this is stated as an implementation constraint on the report's UI, not a database schema decision, but is noted here because it originates from the physical partitioning decision in Part 9.</w:t>
      </w:r>
    </w:p>
    <w:p>
      <w:pPr>
        <w:pStyle w:val="Heading1"/>
        <w:pBdr>
          <w:bottom w:val="single" w:color="5C2D91" w:sz="6" w:space="4"/>
        </w:pBdr>
        <w:spacing w:after="130" w:before="320"/>
      </w:pPr>
      <w:r>
        <w:t xml:space="preserve">13.3 Views and Materialized Views</w:t>
      </w:r>
    </w:p>
    <w:p>
      <w:pPr>
        <w:spacing w:after="150" w:line="276"/>
        <w:jc w:val="both"/>
      </w:pPr>
      <w:r>
        <w:t xml:space="preserve">Three materialized views are recommended to support the Executive Dashboard's under-3-second load target (SRS Part 33) without repeatedly aggregating across Project, Task, Risk, and Issue on every dashboard page load:</w:t>
      </w:r>
    </w:p>
    <w:p>
      <w:pPr>
        <w:pStyle w:val="ListParagraph"/>
        <w:numPr>
          <w:ilvl w:val="0"/>
          <w:numId w:val="1"/>
        </w:numPr>
        <w:spacing w:after="110" w:line="264"/>
      </w:pPr>
      <w:r>
        <w:t xml:space="preserve">mv_project_status_summary — pre-aggregated project counts and milestone-completion percentages grouped by state and status, refreshed every 15 minutes via a scheduled REFRESH MATERIALIZED VIEW CONCURRENTLY job. A 15-minute staleness window is acceptable against the Executive Dashboard's stated "data no more than 24 hours old" requirement (PDD Section 17.7) with substantial margin.</w:t>
      </w:r>
    </w:p>
    <w:p>
      <w:pPr>
        <w:pStyle w:val="ListParagraph"/>
        <w:numPr>
          <w:ilvl w:val="0"/>
          <w:numId w:val="1"/>
        </w:numPr>
        <w:spacing w:after="110" w:line="264"/>
      </w:pPr>
      <w:r>
        <w:t xml:space="preserve">mv_task_overdue_summary — count of overdue tasks grouped by state and assignee, refreshed every 15 minutes, backing the overdue-task widgets on both the Executive Dashboard and State Comparison Dashboard.</w:t>
      </w:r>
    </w:p>
    <w:p>
      <w:pPr>
        <w:pStyle w:val="ListParagraph"/>
        <w:numPr>
          <w:ilvl w:val="0"/>
          <w:numId w:val="1"/>
        </w:numPr>
        <w:spacing w:after="110" w:line="264"/>
      </w:pPr>
      <w:r>
        <w:t xml:space="preserve">mv_kpi_current_snapshot — the latest AnalyticsSnapshot value per KPITarget, refreshed daily immediately after the nightly snapshot job (Section 13.4), avoiding a window-function query over the full AnalyticsSnapshot history on every dashboard load.</w:t>
      </w:r>
    </w:p>
    <w:p>
      <w:pPr>
        <w:pStyle w:val="ListParagraph"/>
        <w:numPr>
          <w:ilvl w:val="0"/>
          <w:numId w:val="1"/>
        </w:numPr>
        <w:spacing w:after="110" w:line="264"/>
      </w:pPr>
      <w:r>
        <w:t xml:space="preserve">Ordinary (non-materialized) views are used for two convenience projections that do not need pre-aggregation performance: v_active_projects (Project WHERE deleted_at IS NULL AND status != 'cancelled') and v_pending_approvals (WorkflowItem JOIN WorkflowStage WHERE status = 'pending'), both simple row-filters rather than aggregations, where PostgreSQL's query planner handles the underlying indexed lookup efficiently without materialization.</w:t>
      </w:r>
    </w:p>
    <w:p>
      <w:pPr>
        <w:pStyle w:val="Heading1"/>
        <w:pBdr>
          <w:bottom w:val="single" w:color="5C2D91" w:sz="6" w:space="4"/>
        </w:pBdr>
        <w:spacing w:after="130" w:before="320"/>
      </w:pPr>
      <w:r>
        <w:t xml:space="preserve">13.4 KPI and Analytics Snapshot Model</w:t>
      </w:r>
    </w:p>
    <w:p>
      <w:pPr>
        <w:spacing w:after="150" w:line="276"/>
        <w:jc w:val="both"/>
      </w:pPr>
      <w:r>
        <w:t xml:space="preserve">KPITarget (Section 3, Domain 3) holds each KPI's current authoritative value; AnalyticsSnapshot (Domain 16) is the time-series history of that value, written once daily by a scheduled job that reads KPITarget.current_value and inserts a dated snapshot row. This two-table split — current value in one place, historical series in another — avoids the common anti-pattern of deriving "current value" from a MAX(snapshot_date) query against a large history table on every dashboard load; mv_kpi_current_snapshot (Section 13.3) further optimises this for the highest-traffic dashboard queries.</w:t>
      </w:r>
    </w:p>
    <w:p>
      <w:pPr>
        <w:spacing w:after="150" w:line="276"/>
        <w:jc w:val="both"/>
      </w:pPr>
      <w:r>
        <w:t xml:space="preserve">Downsampling (Part 9, Section 9.5, and Part 16) reduces AnalyticsSnapshot's long-term storage and query cost: daily granularity is retained for 2 years, after which snapshots are aggregated to weekly granularity and the daily rows are purged, consistent with the retention policy in Section 3's KPITarget/AnalyticsSnapshot entity cards.</w:t>
      </w:r>
    </w:p>
    <w:p>
      <w:pPr>
        <w:pStyle w:val="Heading1"/>
        <w:pBdr>
          <w:bottom w:val="single" w:color="5C2D91" w:sz="6" w:space="4"/>
        </w:pBdr>
        <w:spacing w:after="130" w:before="320"/>
      </w:pPr>
      <w:r>
        <w:t xml:space="preserve">13.5 Data Warehouse Readiness and Star Schema Considerations</w:t>
      </w:r>
    </w:p>
    <w:p>
      <w:pPr>
        <w:spacing w:after="150" w:line="276"/>
        <w:jc w:val="both"/>
      </w:pPr>
      <w:r>
        <w:t xml:space="preserve">Phase 1 does not build a separate data warehouse — the reporting and analytics needs named in SRS Parts 15, 16, 24, and 25 are fully served by the operational schema plus the materialized views in Section 13.3, and introducing a full star-schema data warehouse (fact and dimension tables, an ETL pipeline) for the data volumes projected in Section 1.4 would be substantial infrastructure with no corresponding named requirement. This is a considered exclusion, not an oversight, and Part 17 (Data Governance &amp; Future Readiness) names the volume and requirement thresholds that would justify revisiting this decision in a future phase.</w:t>
      </w:r>
    </w:p>
    <w:p>
      <w:pPr>
        <w:spacing w:after="150" w:line="276"/>
        <w:jc w:val="both"/>
      </w:pPr>
      <w:r>
        <w:t xml:space="preserve">If a data warehouse is built in a future phase, this schema is star-schema-ready without redesign: Project, Task, Document, Risk, and Issue are natural fact tables, and State, OrgUnit, ProgrammeComponent, Role, and a date dimension derived from any timestamp column are natural conformed dimensions — the entity model in Section 3 was kept in 3NF specifically so this transformation, if ever needed, is a well-understood ETL exercise rather than a schema rework.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2026-07-19T08:53:08.953Z</dcterms:created>
  <dcterms:modified xsi:type="dcterms:W3CDTF">2026-07-19T08:53:08.953Z</dcterms:modified>
</cp:coreProperties>
</file>

<file path=docProps/custom.xml><?xml version="1.0" encoding="utf-8"?>
<Properties xmlns="http://schemas.openxmlformats.org/officeDocument/2006/custom-properties" xmlns:vt="http://schemas.openxmlformats.org/officeDocument/2006/docPropsVTypes"/>
</file>