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14 — Data Migration Strategy</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14.1 Data Migration Strategy Overview</w:t>
      </w:r>
    </w:p>
    <w:p>
      <w:pPr>
        <w:spacing w:after="150" w:line="276"/>
        <w:jc w:val="both"/>
      </w:pPr>
      <w:r>
        <w:t xml:space="preserve">This Part converts the Methodology's Week 1 Knowledge Asset Audit and Sprint 6 Content Migration activities into a concrete data-level migration plan against the schema fixed in Section 3. Migration in this programme is overwhelmingly a content migration problem, not a legacy-database migration problem: SAPZ has no existing ESM or CKR system to migrate structured records out of — the TOR and PDD describe building both systems from a greenfield schema. The migration effort is therefore concentrated on KnowledgeArticle and MediaAsset (existing SAPZ knowledge assets — publications, reports, case studies, tools, multimedia) rather than on transactional data.</w:t>
      </w:r>
    </w:p>
    <w:p>
      <w:pPr>
        <w:pStyle w:val="Heading1"/>
        <w:pBdr>
          <w:bottom w:val="single" w:color="5C2D91" w:sz="6" w:space="4"/>
        </w:pBdr>
        <w:spacing w:after="130" w:before="320"/>
      </w:pPr>
      <w:r>
        <w:t xml:space="preserve">14.2 Legacy Source Mapping</w:t>
      </w:r>
    </w:p>
    <w:p>
      <w:pPr>
        <w:spacing w:after="150" w:line="276"/>
        <w:jc w:val="both"/>
      </w:pPr>
      <w:r>
        <w:t xml:space="preserve">The Week 1 Knowledge Asset Audit (Methodology Phase 1) identifies the actual source locations and formats; this table fixes the target mapping in advance so the audit's output can be loaded directly against a known schema rather than requiring schema design after the audit.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132"/>
        <w:gridCol w:w="2297"/>
        <w:gridCol w:w="5011"/>
      </w:tblGrid>
      <w:tr>
        <w:trPr>
          <w:tblHeader/>
        </w:trPr>
        <w:tc>
          <w:tcPr>
            <w:tcW w:type="dxa" w:w="3132"/>
            <w:shd w:fill="5C2D91" w:val="clear"/>
            <w:tcMar>
              <w:top w:type="dxa" w:w="50"/>
              <w:left w:type="dxa" w:w="80"/>
              <w:bottom w:type="dxa" w:w="50"/>
              <w:right w:type="dxa" w:w="80"/>
            </w:tcMar>
            <w:vAlign w:val="top"/>
          </w:tcPr>
          <w:p>
            <w:r>
              <w:rPr>
                <w:b/>
                <w:bCs/>
                <w:color w:val="FFFFFF"/>
                <w:sz w:val="15"/>
                <w:szCs w:val="15"/>
              </w:rPr>
              <w:t xml:space="preserve">Legacy Source (Typical)</w:t>
            </w:r>
          </w:p>
        </w:tc>
        <w:tc>
          <w:tcPr>
            <w:tcW w:type="dxa" w:w="2297"/>
            <w:shd w:fill="5C2D91" w:val="clear"/>
            <w:tcMar>
              <w:top w:type="dxa" w:w="50"/>
              <w:left w:type="dxa" w:w="80"/>
              <w:bottom w:type="dxa" w:w="50"/>
              <w:right w:type="dxa" w:w="80"/>
            </w:tcMar>
            <w:vAlign w:val="top"/>
          </w:tcPr>
          <w:p>
            <w:r>
              <w:rPr>
                <w:b/>
                <w:bCs/>
                <w:color w:val="FFFFFF"/>
                <w:sz w:val="15"/>
                <w:szCs w:val="15"/>
              </w:rPr>
              <w:t xml:space="preserve">Target Entity</w:t>
            </w:r>
          </w:p>
        </w:tc>
        <w:tc>
          <w:tcPr>
            <w:tcW w:type="dxa" w:w="5011"/>
            <w:shd w:fill="5C2D91" w:val="clear"/>
            <w:tcMar>
              <w:top w:type="dxa" w:w="50"/>
              <w:left w:type="dxa" w:w="80"/>
              <w:bottom w:type="dxa" w:w="50"/>
              <w:right w:type="dxa" w:w="80"/>
            </w:tcMar>
            <w:vAlign w:val="top"/>
          </w:tcPr>
          <w:p>
            <w:r>
              <w:rPr>
                <w:b/>
                <w:bCs/>
                <w:color w:val="FFFFFF"/>
                <w:sz w:val="15"/>
                <w:szCs w:val="15"/>
              </w:rPr>
              <w:t xml:space="preserve">Migration Approach</w:t>
            </w:r>
          </w:p>
        </w:tc>
      </w:tr>
      <w:tr>
        <w:tc>
          <w:tcPr>
            <w:tcW w:type="dxa" w:w="3132"/>
            <w:tcMar>
              <w:top w:type="dxa" w:w="50"/>
              <w:left w:type="dxa" w:w="80"/>
              <w:bottom w:type="dxa" w:w="50"/>
              <w:right w:type="dxa" w:w="80"/>
            </w:tcMar>
            <w:vAlign w:val="top"/>
          </w:tcPr>
          <w:p>
            <w:r>
              <w:rPr>
                <w:b/>
                <w:bCs/>
                <w:color w:val="000000"/>
                <w:sz w:val="15"/>
                <w:szCs w:val="15"/>
              </w:rPr>
              <w:t xml:space="preserve">Shared drive / email attachments of reports and publications</w:t>
            </w:r>
          </w:p>
        </w:tc>
        <w:tc>
          <w:tcPr>
            <w:tcW w:type="dxa" w:w="2297"/>
            <w:tcMar>
              <w:top w:type="dxa" w:w="50"/>
              <w:left w:type="dxa" w:w="80"/>
              <w:bottom w:type="dxa" w:w="50"/>
              <w:right w:type="dxa" w:w="80"/>
            </w:tcMar>
            <w:vAlign w:val="top"/>
          </w:tcPr>
          <w:p>
            <w:r>
              <w:rPr>
                <w:b w:val="false"/>
                <w:bCs w:val="false"/>
                <w:color w:val="000000"/>
                <w:sz w:val="15"/>
                <w:szCs w:val="15"/>
              </w:rPr>
              <w:t xml:space="preserve">KnowledgeArticle + DocumentVersion-style file reference</w:t>
            </w:r>
          </w:p>
        </w:tc>
        <w:tc>
          <w:tcPr>
            <w:tcW w:type="dxa" w:w="5011"/>
            <w:tcMar>
              <w:top w:type="dxa" w:w="50"/>
              <w:left w:type="dxa" w:w="80"/>
              <w:bottom w:type="dxa" w:w="50"/>
              <w:right w:type="dxa" w:w="80"/>
            </w:tcMar>
            <w:vAlign w:val="top"/>
          </w:tcPr>
          <w:p>
            <w:r>
              <w:rPr>
                <w:b w:val="false"/>
                <w:bCs w:val="false"/>
                <w:color w:val="000000"/>
                <w:sz w:val="15"/>
                <w:szCs w:val="15"/>
              </w:rPr>
              <w:t xml:space="preserve">Bulk-scanned, metadata extracted where present in filenames/folder structure, manually completed where absent (category, taxonomy tags)</w:t>
            </w:r>
          </w:p>
        </w:tc>
      </w:tr>
      <w:tr>
        <w:tc>
          <w:tcPr>
            <w:tcW w:type="dxa" w:w="3132"/>
            <w:tcMar>
              <w:top w:type="dxa" w:w="50"/>
              <w:left w:type="dxa" w:w="80"/>
              <w:bottom w:type="dxa" w:w="50"/>
              <w:right w:type="dxa" w:w="80"/>
            </w:tcMar>
            <w:vAlign w:val="top"/>
          </w:tcPr>
          <w:p>
            <w:r>
              <w:rPr>
                <w:b/>
                <w:bCs/>
                <w:color w:val="000000"/>
                <w:sz w:val="15"/>
                <w:szCs w:val="15"/>
              </w:rPr>
              <w:t xml:space="preserve">Existing SAPZ website media (images, event photos)</w:t>
            </w:r>
          </w:p>
        </w:tc>
        <w:tc>
          <w:tcPr>
            <w:tcW w:type="dxa" w:w="2297"/>
            <w:tcMar>
              <w:top w:type="dxa" w:w="50"/>
              <w:left w:type="dxa" w:w="80"/>
              <w:bottom w:type="dxa" w:w="50"/>
              <w:right w:type="dxa" w:w="80"/>
            </w:tcMar>
            <w:vAlign w:val="top"/>
          </w:tcPr>
          <w:p>
            <w:r>
              <w:rPr>
                <w:b w:val="false"/>
                <w:bCs w:val="false"/>
                <w:color w:val="000000"/>
                <w:sz w:val="15"/>
                <w:szCs w:val="15"/>
              </w:rPr>
              <w:t xml:space="preserve">MediaAsset, grouped into MediaAlbum by event/date</w:t>
            </w:r>
          </w:p>
        </w:tc>
        <w:tc>
          <w:tcPr>
            <w:tcW w:type="dxa" w:w="5011"/>
            <w:tcMar>
              <w:top w:type="dxa" w:w="50"/>
              <w:left w:type="dxa" w:w="80"/>
              <w:bottom w:type="dxa" w:w="50"/>
              <w:right w:type="dxa" w:w="80"/>
            </w:tcMar>
            <w:vAlign w:val="top"/>
          </w:tcPr>
          <w:p>
            <w:r>
              <w:rPr>
                <w:b w:val="false"/>
                <w:bCs w:val="false"/>
                <w:color w:val="000000"/>
                <w:sz w:val="15"/>
                <w:szCs w:val="15"/>
              </w:rPr>
              <w:t xml:space="preserve">Bulk-imported with alt_text backfilled manually — WCAG 2.1 AA compliance (Part 34) cannot be satisfied by an automated migration alone</w:t>
            </w:r>
          </w:p>
        </w:tc>
      </w:tr>
      <w:tr>
        <w:tc>
          <w:tcPr>
            <w:tcW w:type="dxa" w:w="3132"/>
            <w:tcMar>
              <w:top w:type="dxa" w:w="50"/>
              <w:left w:type="dxa" w:w="80"/>
              <w:bottom w:type="dxa" w:w="50"/>
              <w:right w:type="dxa" w:w="80"/>
            </w:tcMar>
            <w:vAlign w:val="top"/>
          </w:tcPr>
          <w:p>
            <w:r>
              <w:rPr>
                <w:b/>
                <w:bCs/>
                <w:color w:val="000000"/>
                <w:sz w:val="15"/>
                <w:szCs w:val="15"/>
              </w:rPr>
              <w:t xml:space="preserve">Any existing spreadsheet-based tracking of programme documents</w:t>
            </w:r>
          </w:p>
        </w:tc>
        <w:tc>
          <w:tcPr>
            <w:tcW w:type="dxa" w:w="2297"/>
            <w:tcMar>
              <w:top w:type="dxa" w:w="50"/>
              <w:left w:type="dxa" w:w="80"/>
              <w:bottom w:type="dxa" w:w="50"/>
              <w:right w:type="dxa" w:w="80"/>
            </w:tcMar>
            <w:vAlign w:val="top"/>
          </w:tcPr>
          <w:p>
            <w:r>
              <w:rPr>
                <w:b w:val="false"/>
                <w:bCs w:val="false"/>
                <w:color w:val="000000"/>
                <w:sz w:val="15"/>
                <w:szCs w:val="15"/>
              </w:rPr>
              <w:t xml:space="preserve">Document + DocumentCategory</w:t>
            </w:r>
          </w:p>
        </w:tc>
        <w:tc>
          <w:tcPr>
            <w:tcW w:type="dxa" w:w="5011"/>
            <w:tcMar>
              <w:top w:type="dxa" w:w="50"/>
              <w:left w:type="dxa" w:w="80"/>
              <w:bottom w:type="dxa" w:w="50"/>
              <w:right w:type="dxa" w:w="80"/>
            </w:tcMar>
            <w:vAlign w:val="top"/>
          </w:tcPr>
          <w:p>
            <w:r>
              <w:rPr>
                <w:b w:val="false"/>
                <w:bCs w:val="false"/>
                <w:color w:val="000000"/>
                <w:sz w:val="15"/>
                <w:szCs w:val="15"/>
              </w:rPr>
              <w:t xml:space="preserve">Row-by-row mapped where the spreadsheet has consistent structure; treated as a starting metadata source, not authoritative content (source files still individually verified)</w:t>
            </w:r>
          </w:p>
        </w:tc>
      </w:tr>
      <w:tr>
        <w:tc>
          <w:tcPr>
            <w:tcW w:type="dxa" w:w="3132"/>
            <w:tcMar>
              <w:top w:type="dxa" w:w="50"/>
              <w:left w:type="dxa" w:w="80"/>
              <w:bottom w:type="dxa" w:w="50"/>
              <w:right w:type="dxa" w:w="80"/>
            </w:tcMar>
            <w:vAlign w:val="top"/>
          </w:tcPr>
          <w:p>
            <w:r>
              <w:rPr>
                <w:b/>
                <w:bCs/>
                <w:color w:val="000000"/>
                <w:sz w:val="15"/>
                <w:szCs w:val="15"/>
              </w:rPr>
              <w:t xml:space="preserve">Existing organisational/partner contact lists</w:t>
            </w:r>
          </w:p>
        </w:tc>
        <w:tc>
          <w:tcPr>
            <w:tcW w:type="dxa" w:w="2297"/>
            <w:tcMar>
              <w:top w:type="dxa" w:w="50"/>
              <w:left w:type="dxa" w:w="80"/>
              <w:bottom w:type="dxa" w:w="50"/>
              <w:right w:type="dxa" w:w="80"/>
            </w:tcMar>
            <w:vAlign w:val="top"/>
          </w:tcPr>
          <w:p>
            <w:r>
              <w:rPr>
                <w:b w:val="false"/>
                <w:bCs w:val="false"/>
                <w:color w:val="000000"/>
                <w:sz w:val="15"/>
                <w:szCs w:val="15"/>
              </w:rPr>
              <w:t xml:space="preserve">Organization</w:t>
            </w:r>
          </w:p>
        </w:tc>
        <w:tc>
          <w:tcPr>
            <w:tcW w:type="dxa" w:w="5011"/>
            <w:tcMar>
              <w:top w:type="dxa" w:w="50"/>
              <w:left w:type="dxa" w:w="80"/>
              <w:bottom w:type="dxa" w:w="50"/>
              <w:right w:type="dxa" w:w="80"/>
            </w:tcMar>
            <w:vAlign w:val="top"/>
          </w:tcPr>
          <w:p>
            <w:r>
              <w:rPr>
                <w:b w:val="false"/>
                <w:bCs w:val="false"/>
                <w:color w:val="000000"/>
                <w:sz w:val="15"/>
                <w:szCs w:val="15"/>
              </w:rPr>
              <w:t xml:space="preserve">Deduplicated against the Organization.name unique-adjacent field before load (Section 14.4)</w:t>
            </w:r>
          </w:p>
        </w:tc>
      </w:tr>
    </w:tbl>
    <w:p>
      <w:pPr>
        <w:spacing w:after="160"/>
      </w:pPr>
    </w:p>
    <w:p>
      <w:pPr>
        <w:pStyle w:val="Heading1"/>
        <w:pBdr>
          <w:bottom w:val="single" w:color="5C2D91" w:sz="6" w:space="4"/>
        </w:pBdr>
        <w:spacing w:after="130" w:before="320"/>
      </w:pPr>
      <w:r>
        <w:t xml:space="preserve">14.3 Data Cleansing and Transformation Rules</w:t>
      </w:r>
    </w:p>
    <w:p>
      <w:pPr>
        <w:spacing w:after="150" w:line="276"/>
        <w:jc w:val="both"/>
      </w:pPr>
      <w:r>
        <w:t xml:space="preserve">Cleansing rules apply uniformly across all migrated KnowledgeArticle and MediaAsset content: file format standardisation (publications converted to PDF/A for long-term archival stability; video standardised to MP4; images to JPG/PNG, per the Methodology's Sprint 6 content migration activity), metadata completion (every migrated KnowledgeArticle must have a non-null category_id before load — content without an identifiable taxonomy category is held in a draft publication_status pending KM Unit categorisation rather than loaded as uncategorised), and character-encoding normalisation (all text fields normalised to UTF-8, since legacy documents may originate from older systems with inconsistent encoding).</w:t>
      </w:r>
    </w:p>
    <w:p>
      <w:pPr>
        <w:spacing w:after="150" w:line="276"/>
        <w:jc w:val="both"/>
      </w:pPr>
      <w:r>
        <w:t xml:space="preserve">Transformation rules convert source-specific structures into the schema's fields: a legacy document filename convention (if one exists, discovered during the Week 1 audit) is parsed to pre-populate title and a candidate category_id, always subject to KM Unit review before publication_status is set to 'published' — automated transformation populates a draft, it never auto-publishes.</w:t>
      </w:r>
    </w:p>
    <w:p>
      <w:pPr>
        <w:pStyle w:val="Heading1"/>
        <w:pBdr>
          <w:bottom w:val="single" w:color="5C2D91" w:sz="6" w:space="4"/>
        </w:pBdr>
        <w:spacing w:after="130" w:before="320"/>
      </w:pPr>
      <w:r>
        <w:t xml:space="preserve">14.4 Deduplication and Validation</w:t>
      </w:r>
    </w:p>
    <w:p>
      <w:pPr>
        <w:spacing w:after="150" w:line="276"/>
        <w:jc w:val="both"/>
      </w:pPr>
      <w:r>
        <w:t xml:space="preserve">Deduplication runs at two levels: exact-duplicate detection via checksum_sha256 (Section 4, DocumentVersion) comparison catches identical files uploaded to multiple legacy locations, and near-duplicate detection via title similarity (a fuzzy-match pass using PostgreSQL's pg_trgm extension against KnowledgeArticle.title) flags likely duplicates for KM Unit manual review rather than automatic merging, since two similarly-titled reports may legitimately be distinct documents (e.g. annual reports for different years).</w:t>
      </w:r>
    </w:p>
    <w:p>
      <w:pPr>
        <w:spacing w:after="150" w:line="276"/>
        <w:jc w:val="both"/>
      </w:pPr>
      <w:r>
        <w:t xml:space="preserve">Validation before load enforces every constraint fixed in Part 8: no migrated row bypasses the CHECK constraints, NOT NULL constraints, or foreign-key requirements that apply to manually-created rows — a migration script that cannot satisfy category_id NOT NULL, for example, holds that row in a staging table for manual completion rather than relaxing the constraint for migrated data.</w:t>
      </w:r>
    </w:p>
    <w:p>
      <w:pPr>
        <w:pStyle w:val="Heading1"/>
        <w:pBdr>
          <w:bottom w:val="single" w:color="5C2D91" w:sz="6" w:space="4"/>
        </w:pBdr>
        <w:spacing w:after="130" w:before="320"/>
      </w:pPr>
      <w:r>
        <w:t xml:space="preserve">14.5 Quality Checks</w:t>
      </w:r>
    </w:p>
    <w:p>
      <w:pPr>
        <w:spacing w:after="150" w:line="276"/>
        <w:jc w:val="both"/>
      </w:pPr>
      <w:r>
        <w:t xml:space="preserve">Post-load quality checks, run against the staging environment before the Sprint 6 production migration final sync (Methodology Phase 2), verify: every migrated MediaAsset renders and downloads correctly; every migrated KnowledgeArticle displays with correct metadata and taxonomy tags; a statistically sampled 10% of migrated records are manually spot-checked against their source file for content fidelity; and record counts reconcile between the source audit inventory (Week 1) and the loaded row counts, with any discrepancy investigated before proceeding.</w:t>
      </w:r>
    </w:p>
    <w:p>
      <w:pPr>
        <w:pStyle w:val="Heading1"/>
        <w:pBdr>
          <w:bottom w:val="single" w:color="5C2D91" w:sz="6" w:space="4"/>
        </w:pBdr>
        <w:spacing w:after="130" w:before="320"/>
      </w:pPr>
      <w:r>
        <w:t xml:space="preserve">14.6 Migration Risks</w:t>
      </w:r>
    </w:p>
    <w:p>
      <w:pPr>
        <w:spacing w:after="150" w:line="276"/>
        <w:jc w:val="both"/>
      </w:pPr>
      <w:r>
        <w:t xml:space="preserve">The dominant migration risk, already named in the Methodology's risk register, is data volume, format inconsistency, and quality issues in legacy content discovered only during the Week 1 audit — mitigated by running the audit early (Week 1, not deferred) and by the staged migration approach (staging environment first, Sprint 1; production final sync, Sprint 6/Week 11) that leaves five sprints of buffer between initial migration and go-live for issues to surface and be corrected. A secondary risk specific to this DDS is metadata incompleteness: legacy content frequently lacks structured metadata entirely, meaning the taxonomy-completion workload may be larger than anticipated — mitigated by the draft-until-categorised rule in Section 14.3, which prevents incomplete metadata from silently reaching production as published content.</w:t>
      </w:r>
    </w:p>
    <w:p>
      <w:pPr>
        <w:pStyle w:val="Heading1"/>
        <w:pBdr>
          <w:bottom w:val="single" w:color="5C2D91" w:sz="6" w:space="4"/>
        </w:pBdr>
        <w:spacing w:after="130" w:before="320"/>
      </w:pPr>
      <w:r>
        <w:t xml:space="preserve">14.7 Rollback Strategy</w:t>
      </w:r>
    </w:p>
    <w:p>
      <w:pPr>
        <w:spacing w:after="150" w:line="276"/>
        <w:jc w:val="both"/>
      </w:pPr>
      <w:r>
        <w:t xml:space="preserve">Migration rollback is straightforward because migration is additive, not destructive: no legacy source system is being decommissioned or overwritten by this migration (there is no existing ESM/CKR database to lose), so a failed or problematic migration batch can be rolled back by truncating the affected staging-loaded rows (identified by a batch_id tag applied to every migration-inserted row, distinguishing migrated content from organically created content) without any risk to the source files, which remain untouched on their original legacy storage until the KM Unit explicitly confirms migration success and archives the legacy source location.</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2026-07-19T08:54:40.543Z</dcterms:created>
  <dcterms:modified xsi:type="dcterms:W3CDTF">2026-07-19T08:54:40.544Z</dcterms:modified>
</cp:coreProperties>
</file>

<file path=docProps/custom.xml><?xml version="1.0" encoding="utf-8"?>
<Properties xmlns="http://schemas.openxmlformats.org/officeDocument/2006/custom-properties" xmlns:vt="http://schemas.openxmlformats.org/officeDocument/2006/docPropsVTypes"/>
</file>