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15 — Backup &amp; Recovery Strategy</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15.1 Backup &amp; Recovery Overview</w:t>
      </w:r>
    </w:p>
    <w:p>
      <w:pPr>
        <w:spacing w:after="150" w:line="276"/>
        <w:jc w:val="both"/>
      </w:pPr>
      <w:r>
        <w:t xml:space="preserve">This Part fixes the database-specific backup and recovery procedures implementing the Methodology's Sprint 4 and Sprint 6 backup/DR commitments and the EA Blueprint's infrastructure-level disaster recovery design, at the level of detail a database engineer needs to configure and operate PostgreSQL backups — the EA Blueprint fixes the infrastructure topology (multiple availability zones, offsite replication); this Part fixes what is actually backed up, how, and how it is restored.</w:t>
      </w:r>
    </w:p>
    <w:p>
      <w:pPr>
        <w:pStyle w:val="Heading1"/>
        <w:pBdr>
          <w:bottom w:val="single" w:color="5C2D91" w:sz="6" w:space="4"/>
        </w:pBdr>
        <w:spacing w:after="130" w:before="320"/>
      </w:pPr>
      <w:r>
        <w:t xml:space="preserve">15.2 Backup Strategy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06"/>
        <w:gridCol w:w="2088"/>
        <w:gridCol w:w="2297"/>
        <w:gridCol w:w="3550"/>
      </w:tblGrid>
      <w:tr>
        <w:trPr>
          <w:tblHeader/>
        </w:trPr>
        <w:tc>
          <w:tcPr>
            <w:tcW w:type="dxa" w:w="2506"/>
            <w:shd w:fill="5C2D91" w:val="clear"/>
            <w:tcMar>
              <w:top w:type="dxa" w:w="50"/>
              <w:left w:type="dxa" w:w="80"/>
              <w:bottom w:type="dxa" w:w="50"/>
              <w:right w:type="dxa" w:w="80"/>
            </w:tcMar>
            <w:vAlign w:val="top"/>
          </w:tcPr>
          <w:p>
            <w:r>
              <w:rPr>
                <w:b/>
                <w:bCs/>
                <w:color w:val="FFFFFF"/>
                <w:sz w:val="15"/>
                <w:szCs w:val="15"/>
              </w:rPr>
              <w:t xml:space="preserve">Backup Type</w:t>
            </w:r>
          </w:p>
        </w:tc>
        <w:tc>
          <w:tcPr>
            <w:tcW w:type="dxa" w:w="2088"/>
            <w:shd w:fill="5C2D91" w:val="clear"/>
            <w:tcMar>
              <w:top w:type="dxa" w:w="50"/>
              <w:left w:type="dxa" w:w="80"/>
              <w:bottom w:type="dxa" w:w="50"/>
              <w:right w:type="dxa" w:w="80"/>
            </w:tcMar>
            <w:vAlign w:val="top"/>
          </w:tcPr>
          <w:p>
            <w:r>
              <w:rPr>
                <w:b/>
                <w:bCs/>
                <w:color w:val="FFFFFF"/>
                <w:sz w:val="15"/>
                <w:szCs w:val="15"/>
              </w:rPr>
              <w:t xml:space="preserve">Frequency</w:t>
            </w:r>
          </w:p>
        </w:tc>
        <w:tc>
          <w:tcPr>
            <w:tcW w:type="dxa" w:w="2297"/>
            <w:shd w:fill="5C2D91" w:val="clear"/>
            <w:tcMar>
              <w:top w:type="dxa" w:w="50"/>
              <w:left w:type="dxa" w:w="80"/>
              <w:bottom w:type="dxa" w:w="50"/>
              <w:right w:type="dxa" w:w="80"/>
            </w:tcMar>
            <w:vAlign w:val="top"/>
          </w:tcPr>
          <w:p>
            <w:r>
              <w:rPr>
                <w:b/>
                <w:bCs/>
                <w:color w:val="FFFFFF"/>
                <w:sz w:val="15"/>
                <w:szCs w:val="15"/>
              </w:rPr>
              <w:t xml:space="preserve">Retention</w:t>
            </w:r>
          </w:p>
        </w:tc>
        <w:tc>
          <w:tcPr>
            <w:tcW w:type="dxa" w:w="3550"/>
            <w:shd w:fill="5C2D91" w:val="clear"/>
            <w:tcMar>
              <w:top w:type="dxa" w:w="50"/>
              <w:left w:type="dxa" w:w="80"/>
              <w:bottom w:type="dxa" w:w="50"/>
              <w:right w:type="dxa" w:w="80"/>
            </w:tcMar>
            <w:vAlign w:val="top"/>
          </w:tcPr>
          <w:p>
            <w:r>
              <w:rPr>
                <w:b/>
                <w:bCs/>
                <w:color w:val="FFFFFF"/>
                <w:sz w:val="15"/>
                <w:szCs w:val="15"/>
              </w:rPr>
              <w:t xml:space="preserve">Purpose</w:t>
            </w:r>
          </w:p>
        </w:tc>
      </w:tr>
      <w:tr>
        <w:tc>
          <w:tcPr>
            <w:tcW w:type="dxa" w:w="2506"/>
            <w:tcMar>
              <w:top w:type="dxa" w:w="50"/>
              <w:left w:type="dxa" w:w="80"/>
              <w:bottom w:type="dxa" w:w="50"/>
              <w:right w:type="dxa" w:w="80"/>
            </w:tcMar>
            <w:vAlign w:val="top"/>
          </w:tcPr>
          <w:p>
            <w:r>
              <w:rPr>
                <w:b/>
                <w:bCs/>
                <w:color w:val="000000"/>
                <w:sz w:val="14"/>
                <w:szCs w:val="14"/>
              </w:rPr>
              <w:t xml:space="preserve">Full base backup (pg_basebackup)</w:t>
            </w:r>
          </w:p>
        </w:tc>
        <w:tc>
          <w:tcPr>
            <w:tcW w:type="dxa" w:w="2088"/>
            <w:tcMar>
              <w:top w:type="dxa" w:w="50"/>
              <w:left w:type="dxa" w:w="80"/>
              <w:bottom w:type="dxa" w:w="50"/>
              <w:right w:type="dxa" w:w="80"/>
            </w:tcMar>
            <w:vAlign w:val="top"/>
          </w:tcPr>
          <w:p>
            <w:r>
              <w:rPr>
                <w:b w:val="false"/>
                <w:bCs w:val="false"/>
                <w:color w:val="000000"/>
                <w:sz w:val="14"/>
                <w:szCs w:val="14"/>
              </w:rPr>
              <w:t xml:space="preserve">Daily, 02:00 WAT (low-traffic window)</w:t>
            </w:r>
          </w:p>
        </w:tc>
        <w:tc>
          <w:tcPr>
            <w:tcW w:type="dxa" w:w="2297"/>
            <w:tcMar>
              <w:top w:type="dxa" w:w="50"/>
              <w:left w:type="dxa" w:w="80"/>
              <w:bottom w:type="dxa" w:w="50"/>
              <w:right w:type="dxa" w:w="80"/>
            </w:tcMar>
            <w:vAlign w:val="top"/>
          </w:tcPr>
          <w:p>
            <w:r>
              <w:rPr>
                <w:b w:val="false"/>
                <w:bCs w:val="false"/>
                <w:color w:val="000000"/>
                <w:sz w:val="14"/>
                <w:szCs w:val="14"/>
              </w:rPr>
              <w:t xml:space="preserve">7 daily backups retained on primary storage</w:t>
            </w:r>
          </w:p>
        </w:tc>
        <w:tc>
          <w:tcPr>
            <w:tcW w:type="dxa" w:w="3550"/>
            <w:tcMar>
              <w:top w:type="dxa" w:w="50"/>
              <w:left w:type="dxa" w:w="80"/>
              <w:bottom w:type="dxa" w:w="50"/>
              <w:right w:type="dxa" w:w="80"/>
            </w:tcMar>
            <w:vAlign w:val="top"/>
          </w:tcPr>
          <w:p>
            <w:r>
              <w:rPr>
                <w:b w:val="false"/>
                <w:bCs w:val="false"/>
                <w:color w:val="000000"/>
                <w:sz w:val="14"/>
                <w:szCs w:val="14"/>
              </w:rPr>
              <w:t xml:space="preserve">Fast full-database restore point</w:t>
            </w:r>
          </w:p>
        </w:tc>
      </w:tr>
      <w:tr>
        <w:tc>
          <w:tcPr>
            <w:tcW w:type="dxa" w:w="2506"/>
            <w:tcMar>
              <w:top w:type="dxa" w:w="50"/>
              <w:left w:type="dxa" w:w="80"/>
              <w:bottom w:type="dxa" w:w="50"/>
              <w:right w:type="dxa" w:w="80"/>
            </w:tcMar>
            <w:vAlign w:val="top"/>
          </w:tcPr>
          <w:p>
            <w:r>
              <w:rPr>
                <w:b/>
                <w:bCs/>
                <w:color w:val="000000"/>
                <w:sz w:val="14"/>
                <w:szCs w:val="14"/>
              </w:rPr>
              <w:t xml:space="preserve">Continuous WAL archiving</w:t>
            </w:r>
          </w:p>
        </w:tc>
        <w:tc>
          <w:tcPr>
            <w:tcW w:type="dxa" w:w="2088"/>
            <w:tcMar>
              <w:top w:type="dxa" w:w="50"/>
              <w:left w:type="dxa" w:w="80"/>
              <w:bottom w:type="dxa" w:w="50"/>
              <w:right w:type="dxa" w:w="80"/>
            </w:tcMar>
            <w:vAlign w:val="top"/>
          </w:tcPr>
          <w:p>
            <w:r>
              <w:rPr>
                <w:b w:val="false"/>
                <w:bCs w:val="false"/>
                <w:color w:val="000000"/>
                <w:sz w:val="14"/>
                <w:szCs w:val="14"/>
              </w:rPr>
              <w:t xml:space="preserve">Continuous (every WAL segment, ~16MB or 5 min, whichever first)</w:t>
            </w:r>
          </w:p>
        </w:tc>
        <w:tc>
          <w:tcPr>
            <w:tcW w:type="dxa" w:w="2297"/>
            <w:tcMar>
              <w:top w:type="dxa" w:w="50"/>
              <w:left w:type="dxa" w:w="80"/>
              <w:bottom w:type="dxa" w:w="50"/>
              <w:right w:type="dxa" w:w="80"/>
            </w:tcMar>
            <w:vAlign w:val="top"/>
          </w:tcPr>
          <w:p>
            <w:r>
              <w:rPr>
                <w:b w:val="false"/>
                <w:bCs w:val="false"/>
                <w:color w:val="000000"/>
                <w:sz w:val="14"/>
                <w:szCs w:val="14"/>
              </w:rPr>
              <w:t xml:space="preserve">35 days rolling</w:t>
            </w:r>
          </w:p>
        </w:tc>
        <w:tc>
          <w:tcPr>
            <w:tcW w:type="dxa" w:w="3550"/>
            <w:tcMar>
              <w:top w:type="dxa" w:w="50"/>
              <w:left w:type="dxa" w:w="80"/>
              <w:bottom w:type="dxa" w:w="50"/>
              <w:right w:type="dxa" w:w="80"/>
            </w:tcMar>
            <w:vAlign w:val="top"/>
          </w:tcPr>
          <w:p>
            <w:r>
              <w:rPr>
                <w:b w:val="false"/>
                <w:bCs w:val="false"/>
                <w:color w:val="000000"/>
                <w:sz w:val="14"/>
                <w:szCs w:val="14"/>
              </w:rPr>
              <w:t xml:space="preserve">Enables Point-in-Time Recovery (Section 15.3) to any second within the retention window</w:t>
            </w:r>
          </w:p>
        </w:tc>
      </w:tr>
      <w:tr>
        <w:tc>
          <w:tcPr>
            <w:tcW w:type="dxa" w:w="2506"/>
            <w:tcMar>
              <w:top w:type="dxa" w:w="50"/>
              <w:left w:type="dxa" w:w="80"/>
              <w:bottom w:type="dxa" w:w="50"/>
              <w:right w:type="dxa" w:w="80"/>
            </w:tcMar>
            <w:vAlign w:val="top"/>
          </w:tcPr>
          <w:p>
            <w:r>
              <w:rPr>
                <w:b/>
                <w:bCs/>
                <w:color w:val="000000"/>
                <w:sz w:val="14"/>
                <w:szCs w:val="14"/>
              </w:rPr>
              <w:t xml:space="preserve">Weekly full backup, offsite</w:t>
            </w:r>
          </w:p>
        </w:tc>
        <w:tc>
          <w:tcPr>
            <w:tcW w:type="dxa" w:w="2088"/>
            <w:tcMar>
              <w:top w:type="dxa" w:w="50"/>
              <w:left w:type="dxa" w:w="80"/>
              <w:bottom w:type="dxa" w:w="50"/>
              <w:right w:type="dxa" w:w="80"/>
            </w:tcMar>
            <w:vAlign w:val="top"/>
          </w:tcPr>
          <w:p>
            <w:r>
              <w:rPr>
                <w:b w:val="false"/>
                <w:bCs w:val="false"/>
                <w:color w:val="000000"/>
                <w:sz w:val="14"/>
                <w:szCs w:val="14"/>
              </w:rPr>
              <w:t xml:space="preserve">Weekly, Sunday 02:00 WAT</w:t>
            </w:r>
          </w:p>
        </w:tc>
        <w:tc>
          <w:tcPr>
            <w:tcW w:type="dxa" w:w="2297"/>
            <w:tcMar>
              <w:top w:type="dxa" w:w="50"/>
              <w:left w:type="dxa" w:w="80"/>
              <w:bottom w:type="dxa" w:w="50"/>
              <w:right w:type="dxa" w:w="80"/>
            </w:tcMar>
            <w:vAlign w:val="top"/>
          </w:tcPr>
          <w:p>
            <w:r>
              <w:rPr>
                <w:b w:val="false"/>
                <w:bCs w:val="false"/>
                <w:color w:val="000000"/>
                <w:sz w:val="14"/>
                <w:szCs w:val="14"/>
              </w:rPr>
              <w:t xml:space="preserve">12 weeks retained offsite</w:t>
            </w:r>
          </w:p>
        </w:tc>
        <w:tc>
          <w:tcPr>
            <w:tcW w:type="dxa" w:w="3550"/>
            <w:tcMar>
              <w:top w:type="dxa" w:w="50"/>
              <w:left w:type="dxa" w:w="80"/>
              <w:bottom w:type="dxa" w:w="50"/>
              <w:right w:type="dxa" w:w="80"/>
            </w:tcMar>
            <w:vAlign w:val="top"/>
          </w:tcPr>
          <w:p>
            <w:r>
              <w:rPr>
                <w:b w:val="false"/>
                <w:bCs w:val="false"/>
                <w:color w:val="000000"/>
                <w:sz w:val="14"/>
                <w:szCs w:val="14"/>
              </w:rPr>
              <w:t xml:space="preserve">Survives primary-region infrastructure loss, not just database-level corruption</w:t>
            </w:r>
          </w:p>
        </w:tc>
      </w:tr>
      <w:tr>
        <w:tc>
          <w:tcPr>
            <w:tcW w:type="dxa" w:w="2506"/>
            <w:tcMar>
              <w:top w:type="dxa" w:w="50"/>
              <w:left w:type="dxa" w:w="80"/>
              <w:bottom w:type="dxa" w:w="50"/>
              <w:right w:type="dxa" w:w="80"/>
            </w:tcMar>
            <w:vAlign w:val="top"/>
          </w:tcPr>
          <w:p>
            <w:r>
              <w:rPr>
                <w:b/>
                <w:bCs/>
                <w:color w:val="000000"/>
                <w:sz w:val="14"/>
                <w:szCs w:val="14"/>
              </w:rPr>
              <w:t xml:space="preserve">Monthly archival backup</w:t>
            </w:r>
          </w:p>
        </w:tc>
        <w:tc>
          <w:tcPr>
            <w:tcW w:type="dxa" w:w="2088"/>
            <w:tcMar>
              <w:top w:type="dxa" w:w="50"/>
              <w:left w:type="dxa" w:w="80"/>
              <w:bottom w:type="dxa" w:w="50"/>
              <w:right w:type="dxa" w:w="80"/>
            </w:tcMar>
            <w:vAlign w:val="top"/>
          </w:tcPr>
          <w:p>
            <w:r>
              <w:rPr>
                <w:b w:val="false"/>
                <w:bCs w:val="false"/>
                <w:color w:val="000000"/>
                <w:sz w:val="14"/>
                <w:szCs w:val="14"/>
              </w:rPr>
              <w:t xml:space="preserve">Monthly</w:t>
            </w:r>
          </w:p>
        </w:tc>
        <w:tc>
          <w:tcPr>
            <w:tcW w:type="dxa" w:w="2297"/>
            <w:tcMar>
              <w:top w:type="dxa" w:w="50"/>
              <w:left w:type="dxa" w:w="80"/>
              <w:bottom w:type="dxa" w:w="50"/>
              <w:right w:type="dxa" w:w="80"/>
            </w:tcMar>
            <w:vAlign w:val="top"/>
          </w:tcPr>
          <w:p>
            <w:r>
              <w:rPr>
                <w:b w:val="false"/>
                <w:bCs w:val="false"/>
                <w:color w:val="000000"/>
                <w:sz w:val="14"/>
                <w:szCs w:val="14"/>
              </w:rPr>
              <w:t xml:space="preserve">13 months retained in cold storage</w:t>
            </w:r>
          </w:p>
        </w:tc>
        <w:tc>
          <w:tcPr>
            <w:tcW w:type="dxa" w:w="3550"/>
            <w:tcMar>
              <w:top w:type="dxa" w:w="50"/>
              <w:left w:type="dxa" w:w="80"/>
              <w:bottom w:type="dxa" w:w="50"/>
              <w:right w:type="dxa" w:w="80"/>
            </w:tcMar>
            <w:vAlign w:val="top"/>
          </w:tcPr>
          <w:p>
            <w:r>
              <w:rPr>
                <w:b w:val="false"/>
                <w:bCs w:val="false"/>
                <w:color w:val="000000"/>
                <w:sz w:val="14"/>
                <w:szCs w:val="14"/>
              </w:rPr>
              <w:t xml:space="preserve">Long-horizon recovery point and donor-audit evidence of continuous operation</w:t>
            </w:r>
          </w:p>
        </w:tc>
      </w:tr>
      <w:tr>
        <w:tc>
          <w:tcPr>
            <w:tcW w:type="dxa" w:w="2506"/>
            <w:tcMar>
              <w:top w:type="dxa" w:w="50"/>
              <w:left w:type="dxa" w:w="80"/>
              <w:bottom w:type="dxa" w:w="50"/>
              <w:right w:type="dxa" w:w="80"/>
            </w:tcMar>
            <w:vAlign w:val="top"/>
          </w:tcPr>
          <w:p>
            <w:r>
              <w:rPr>
                <w:b/>
                <w:bCs/>
                <w:color w:val="000000"/>
                <w:sz w:val="14"/>
                <w:szCs w:val="14"/>
              </w:rPr>
              <w:t xml:space="preserve">Object storage (documents/media binary content)</w:t>
            </w:r>
          </w:p>
        </w:tc>
        <w:tc>
          <w:tcPr>
            <w:tcW w:type="dxa" w:w="2088"/>
            <w:tcMar>
              <w:top w:type="dxa" w:w="50"/>
              <w:left w:type="dxa" w:w="80"/>
              <w:bottom w:type="dxa" w:w="50"/>
              <w:right w:type="dxa" w:w="80"/>
            </w:tcMar>
            <w:vAlign w:val="top"/>
          </w:tcPr>
          <w:p>
            <w:r>
              <w:rPr>
                <w:b w:val="false"/>
                <w:bCs w:val="false"/>
                <w:color w:val="000000"/>
                <w:sz w:val="14"/>
                <w:szCs w:val="14"/>
              </w:rPr>
              <w:t xml:space="preserve">Continuous replication (storage-provider-native, e.g. S3 cross-region replication)</w:t>
            </w:r>
          </w:p>
        </w:tc>
        <w:tc>
          <w:tcPr>
            <w:tcW w:type="dxa" w:w="2297"/>
            <w:tcMar>
              <w:top w:type="dxa" w:w="50"/>
              <w:left w:type="dxa" w:w="80"/>
              <w:bottom w:type="dxa" w:w="50"/>
              <w:right w:type="dxa" w:w="80"/>
            </w:tcMar>
            <w:vAlign w:val="top"/>
          </w:tcPr>
          <w:p>
            <w:r>
              <w:rPr>
                <w:b w:val="false"/>
                <w:bCs w:val="false"/>
                <w:color w:val="000000"/>
                <w:sz w:val="14"/>
                <w:szCs w:val="14"/>
              </w:rPr>
              <w:t xml:space="preserve">Mirrors document/media retention per Section 3 entity cards</w:t>
            </w:r>
          </w:p>
        </w:tc>
        <w:tc>
          <w:tcPr>
            <w:tcW w:type="dxa" w:w="3550"/>
            <w:tcMar>
              <w:top w:type="dxa" w:w="50"/>
              <w:left w:type="dxa" w:w="80"/>
              <w:bottom w:type="dxa" w:w="50"/>
              <w:right w:type="dxa" w:w="80"/>
            </w:tcMar>
            <w:vAlign w:val="top"/>
          </w:tcPr>
          <w:p>
            <w:r>
              <w:rPr>
                <w:b w:val="false"/>
                <w:bCs w:val="false"/>
                <w:color w:val="000000"/>
                <w:sz w:val="14"/>
                <w:szCs w:val="14"/>
              </w:rPr>
              <w:t xml:space="preserve">Binary content (Document/MediaAsset files) is backed up independently of the PostgreSQL database that references it — see Section 15.5</w:t>
            </w:r>
          </w:p>
        </w:tc>
      </w:tr>
    </w:tbl>
    <w:p>
      <w:pPr>
        <w:spacing w:after="160"/>
      </w:pPr>
    </w:p>
    <w:p>
      <w:pPr>
        <w:pStyle w:val="Heading1"/>
        <w:pBdr>
          <w:bottom w:val="single" w:color="5C2D91" w:sz="6" w:space="4"/>
        </w:pBdr>
        <w:spacing w:after="130" w:before="320"/>
      </w:pPr>
      <w:r>
        <w:t xml:space="preserve">15.3 Point-in-Time Recovery (PITR)</w:t>
      </w:r>
    </w:p>
    <w:p>
      <w:pPr>
        <w:spacing w:after="150" w:line="276"/>
        <w:jc w:val="both"/>
      </w:pPr>
      <w:r>
        <w:t xml:space="preserve">The combination of daily base backups and continuous WAL archiving (Section 15.2) enables restoring the database to any point in time within the 35-day WAL retention window — critical for recovering from application-level data corruption (e.g. a bug that incorrectly bulk-updates a table) where the corruption itself has already been backed up in the next daily snapshot and a simple "restore latest backup" would restore the corrupted state. PITR recovery time is estimated at 30-90 minutes depending on how far back the target recovery point is from the most recent base backup, since WAL replay time scales with the gap.</w:t>
      </w:r>
    </w:p>
    <w:p>
      <w:pPr>
        <w:pStyle w:val="Heading1"/>
        <w:pBdr>
          <w:bottom w:val="single" w:color="5C2D91" w:sz="6" w:space="4"/>
        </w:pBdr>
        <w:spacing w:after="130" w:before="320"/>
      </w:pPr>
      <w:r>
        <w:t xml:space="preserve">15.4 Disaster Recovery, Replication, and Failover</w:t>
      </w:r>
    </w:p>
    <w:p>
      <w:pPr>
        <w:spacing w:after="150" w:line="276"/>
        <w:jc w:val="both"/>
      </w:pPr>
      <w:r>
        <w:t xml:space="preserve">A streaming replication standby (PostgreSQL native streaming replication, asynchronous) is maintained in a separate availability zone from the primary, per the EA Blueprint's high-availability requirement. The standby is promoted to primary on a failover event, with an RTO (Recovery Time Objective) target of under 15 minutes for an availability-zone-level failure and an RPO (Recovery Point Objective) of under 60 seconds of data loss, reflecting the asynchronous replication lag under normal operating conditions. These targets are consistent with, and slightly more specific than, the RTO/RPO commitment named generically in the Methodology's Week 2 Enterprise Architecture deliverable.</w:t>
      </w:r>
    </w:p>
    <w:p>
      <w:pPr>
        <w:spacing w:after="150" w:line="276"/>
        <w:jc w:val="both"/>
      </w:pPr>
      <w:r>
        <w:t xml:space="preserve">Failover is a documented, tested runbook procedure (promote standby, redirect application connection string via the connection pooler, verify replication lag was within RPO tolerance at the point of failure) rather than a fully automated failover in Phase 1 — automated failover (e.g. via Patroni or a managed database service's native failover) is named as a Phase 2 operational maturity improvement in Part 17, not a Phase 1 requirement, since manual failover with a well-tested runbook is an acceptable and lower-complexity starting point for a 12-week delivery window.</w:t>
      </w:r>
    </w:p>
    <w:p>
      <w:pPr>
        <w:pStyle w:val="Heading1"/>
        <w:pBdr>
          <w:bottom w:val="single" w:color="5C2D91" w:sz="6" w:space="4"/>
        </w:pBdr>
        <w:spacing w:after="130" w:before="320"/>
      </w:pPr>
      <w:r>
        <w:t xml:space="preserve">15.5 Archiving</w:t>
      </w:r>
    </w:p>
    <w:p>
      <w:pPr>
        <w:spacing w:after="150" w:line="276"/>
        <w:jc w:val="both"/>
      </w:pPr>
      <w:r>
        <w:t xml:space="preserve">Two distinct archiving mechanisms apply, corresponding to the two distinct data categories in this schema: entity-level archiving (Section 3's per-entity archive rules — e.g. "completed tasks archived after 2 years", "AuditLog partitions older than retention window archived to cold storage") moves data within PostgreSQL from active partitions/tables to a lower-cost storage tier or a dedicated archive schema, while remaining queryable if needed; and binary content archiving moves DocumentVersion.file_path and MediaAsset.file_path referenced objects from standard object storage to a cold-storage/infrequent-access storage tier once their parent entity is archived, reducing storage cost for the (large, by volume) binary content that PostgreSQL itself never stores directly.</w:t>
      </w:r>
    </w:p>
    <w:p>
      <w:pPr>
        <w:pStyle w:val="Heading1"/>
        <w:pBdr>
          <w:bottom w:val="single" w:color="5C2D91" w:sz="6" w:space="4"/>
        </w:pBdr>
        <w:spacing w:after="130" w:before="320"/>
      </w:pPr>
      <w:r>
        <w:t xml:space="preserve">15.6 Retention Alignment</w:t>
      </w:r>
    </w:p>
    <w:p>
      <w:pPr>
        <w:spacing w:after="150" w:line="276"/>
        <w:jc w:val="both"/>
      </w:pPr>
      <w:r>
        <w:t xml:space="preserve">Backup retention (Section 15.2) is deliberately shorter than most entities' business retention periods (Section 3) — backup retention protects against operational failure (corruption, accidental deletion, infrastructure loss) over a rolling recent window, while business retention (5+ years, or permanent for governance records like WorkflowDecision) is satisfied by the live database itself plus its archival tier (Section 15.5), not by keeping years of daily backups. Conflating the two would be both unnecessary (backup storage cost for years of daily snapshots) and insufficient (a backup alone is not a substitute for the queryable archive a 5-year audit retention requirement actually needs).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2026-07-19T08:55:28.245Z</dcterms:created>
  <dcterms:modified xsi:type="dcterms:W3CDTF">2026-07-19T08:55:28.245Z</dcterms:modified>
</cp:coreProperties>
</file>

<file path=docProps/custom.xml><?xml version="1.0" encoding="utf-8"?>
<Properties xmlns="http://schemas.openxmlformats.org/officeDocument/2006/custom-properties" xmlns:vt="http://schemas.openxmlformats.org/officeDocument/2006/docPropsVTypes"/>
</file>