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5C2D91"/>
          <w:sz w:val="32"/>
          <w:szCs w:val="32"/>
        </w:rPr>
        <w:t xml:space="preserve">Database Design Specification (DDS)</w:t>
      </w:r>
    </w:p>
    <w:p>
      <w:pPr>
        <w:spacing w:after="60"/>
        <w:jc w:val="center"/>
      </w:pPr>
      <w:r>
        <w:rPr>
          <w:b/>
          <w:bCs/>
          <w:color w:val="7A43B6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7A43B6"/>
          <w:sz w:val="24"/>
          <w:szCs w:val="24"/>
        </w:rPr>
        <w:t xml:space="preserve">Part 16 — Performance &amp; Scalability Strategy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16.1 Performance &amp; Scalability Overview</w:t>
      </w:r>
    </w:p>
    <w:p>
      <w:pPr>
        <w:spacing w:after="150" w:line="276"/>
        <w:jc w:val="both"/>
      </w:pPr>
      <w:r>
        <w:t xml:space="preserve">This Part consolidates the volume and growth estimates stated per-entity throughout Section 3 into a platform-wide capacity plan, and fixes the concurrency, caching, connection-pooling, and maintenance strategy needed to meet the response-time targets in SRS Part 33 (under 3 seconds for standard page loads; the Executive Dashboard's under-3-second load target repeated in the Methodology's Phase 3 performance testing scope).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16.2 Highest-Volume Tables and Year 1-3 Projection</w:t>
      </w:r>
    </w:p>
    <w:p>
      <w:pPr>
        <w:spacing w:after="150" w:line="276"/>
        <w:jc w:val="both"/>
      </w:pPr>
      <w:r>
        <w:t xml:space="preserve">The ten highest-volume tables by projected Year 1 row count, the tables most likely to need the partitioning (Part 9), composite indexing (Part 9), and materialized-view (Part 13) treatment already specified elsewhere in this DDS.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9"/>
        <w:gridCol w:w="1462"/>
        <w:gridCol w:w="2088"/>
        <w:gridCol w:w="5011"/>
      </w:tblGrid>
      <w:tr>
        <w:trPr>
          <w:tblHeader/>
        </w:trPr>
        <w:tc>
          <w:tcPr>
            <w:tcW w:type="dxa" w:w="1879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1462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Year 1 Volume</w:t>
            </w:r>
          </w:p>
        </w:tc>
        <w:tc>
          <w:tcPr>
            <w:tcW w:type="dxa" w:w="2088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Growth Rate</w:t>
            </w:r>
          </w:p>
        </w:tc>
        <w:tc>
          <w:tcPr>
            <w:tcW w:type="dxa" w:w="5011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Mitigations Already Specified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audit_log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~500,000+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Scales directly with platform usage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Monthly partitioning (Part 9.5); strict SELECT-only access (Part 11.7)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notification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~40,000/yr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Tracks platform activity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90-day retention cap on read notifications (Section 3, Domain 17)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document_version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~22,000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Tracks Document growth (~40%/yr)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Composite index on (document_id); binary content offloaded to object storage, not stored in PostgreSQL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search_index_entry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~19,000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Tracks indexed entity growth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Denormalised, rebuildable — lives primarily in OpenSearch, not a PostgreSQL scale concern (Part 12)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document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~15,000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~40%/yr — the fastest-growing core entity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Composite index on (project_id, status, access_level) — Part 9.3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analytics_snapshot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~15,000/yr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Linear, tied to KPITarget count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Monthly partitioning; downsampled after 2 years (Part 9.5, Part 13.4)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task_comment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~8,000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Tracks Task activity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Standard FK index on task_id sufficient at this volume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task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~2,500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~30%/yr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Composite indexes on (assignee_id, status, due_date) and (project_id, status) — Part 9.3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workflow_decision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~4,500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Tracks WorkflowItem × average tiers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Never updated/deleted (Section 8.3.1) — pure append, cheap to index</w:t>
            </w:r>
          </w:p>
        </w:tc>
      </w:tr>
      <w:tr>
        <w:tc>
          <w:tcPr>
            <w:tcW w:type="dxa" w:w="18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report_execution_log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~5,000/yr</w:t>
            </w:r>
          </w:p>
        </w:tc>
        <w:tc>
          <w:tcPr>
            <w:tcW w:type="dxa" w:w="20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Tracks report usage</w:t>
            </w:r>
          </w:p>
        </w:tc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2-year retention cap (Section 3, Domain 15)</w:t>
            </w:r>
          </w:p>
        </w:tc>
      </w:tr>
    </w:tbl>
    <w:p>
      <w:pPr>
        <w:spacing w:after="160"/>
      </w:pPr>
    </w:p>
    <w:p>
      <w:pPr>
        <w:spacing w:after="150" w:line="276"/>
        <w:jc w:val="both"/>
      </w:pPr>
      <w:r>
        <w:t xml:space="preserve">No table in this schema is projected to exceed roughly 2 million rows by end of Year 3 under these growth rates (audit_log, the largest, at ~500,000/yr compounding). This is comfortably within single-table PostgreSQL performance bounds given the indexing strategy in Part 9 — the partitioning applied to audit_log and analytics_snapshot is a proactive measure for query and maintenance efficiency, not a response to an already-observed performance problem.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16.3 Concurrency</w:t>
      </w:r>
    </w:p>
    <w:p>
      <w:pPr>
        <w:spacing w:after="150" w:line="276"/>
        <w:jc w:val="both"/>
      </w:pPr>
      <w:r>
        <w:t xml:space="preserve">Expected peak concurrency is modest relative to typical enterprise-scale systems: roughly 500 total Users (Section 3, Domain 1), of whom a realistic peak concurrent-session estimate is 15-20% during a working day (roughly 75-100 concurrent sessions), plus unauthenticated CKR public traffic, which is read-heavy and cacheable (Section 16.4) rather than a write-concurrency concern. Write concurrency hotspots are specifically anticipated at two points: WorkPlan submission deadlines (all 8 OrgUnits submitting within the same reporting-cycle window, Section 3 Domain 4) and Task status updates clustering around end-of-day/end-of-week reporting habits — both are handled by standard PostgreSQL MVCC (multi-version concurrency control) without special accommodation, since the actual write volume at these peaks (tens of concurrent writes) is far below PostgreSQL's capacity.</w:t>
      </w:r>
    </w:p>
    <w:p>
      <w:pPr>
        <w:spacing w:after="150" w:line="276"/>
        <w:jc w:val="both"/>
      </w:pPr>
      <w:r>
        <w:t xml:space="preserve">Optimistic concurrency control via version_no (Part 10.2) protects the specific collaborative-editing scenario named in SRS Parts 6 and 11: two users editing the same Task or Document concurrently. This is a correctness mechanism, not a performance mechanism, but is noted here because it is the schema's answer to the concurrency question most likely to be asked about this platform.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16.4 Caching Strategy</w:t>
      </w:r>
    </w:p>
    <w:p>
      <w:pPr>
        <w:spacing w:after="150" w:line="276"/>
        <w:jc w:val="both"/>
      </w:pPr>
      <w:r>
        <w:t xml:space="preserve">Redis (EA Blueprint Section 10.3) serves three caching roles distinct from PostgreSQL's own responsibilities: session state (authenticated user sessions, avoiding a database round-trip on every request to check authentication), rate-limiting counters (API Part 28's rate-limit enforcement), and a short-TTL (60-300 second) cache layer in front of the Executive Dashboard and State Comparison Dashboard's aggregate queries, complementing rather than replacing the materialized views in Part 13 — the materialized views reduce query cost when a cache miss occurs, and the Redis cache reduces how often that query runs at all under concurrent dashboard access from multiple Executives/Coordinators viewing the same data within the same few minutes.</w:t>
      </w:r>
    </w:p>
    <w:p>
      <w:pPr>
        <w:spacing w:after="150" w:line="276"/>
        <w:jc w:val="both"/>
      </w:pPr>
      <w:r>
        <w:t xml:space="preserve">CKR public content (KnowledgeArticle, MediaAsset with visibility = 'public') is additionally served through a CDN (EA Blueprint Section 10, Sprint 6 CDN configuration in the Methodology) for static asset delivery, moving cacheable read traffic off both PostgreSQL and the application server entirely for the platform's largest potential traffic source — unauthenticated public visitors.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16.5 Connection Pooling</w:t>
      </w:r>
    </w:p>
    <w:p>
      <w:pPr>
        <w:spacing w:after="150" w:line="276"/>
        <w:jc w:val="both"/>
      </w:pPr>
      <w:r>
        <w:t xml:space="preserve">A connection pooler (PgBouncer, in transaction-pooling mode) sits between the application servers and PostgreSQL, since PostgreSQL's per-connection memory overhead makes a large number of idle direct connections wasteful at any meaningful application server replica count. Transaction-pooling mode is chosen over session-pooling because this schema's Row-Level Security policies (Part 11.4) depend on per-transaction current_setting() values set at the start of each request — a pattern fully compatible with transaction pooling, unlike some session-level PostgreSQL features (e.g. session-level advisory locks, session-level temporary tables) that this schema does not use and therefore does not need to avoid this pooling mode for.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16.6 Query Optimization and Monitoring</w:t>
      </w:r>
    </w:p>
    <w:p>
      <w:pPr>
        <w:spacing w:after="150" w:line="276"/>
        <w:jc w:val="both"/>
      </w:pPr>
      <w:r>
        <w:t xml:space="preserve">pg_stat_statements is enabled from initial deployment, not added reactively after a performance problem is observed, giving the operations team continuous visibility into the actual query patterns and their cost from day one — matching this DDS's general principle (Section 1.8) that operational concerns are planned, not retrofitted. Slow-query logging (log_min_duration_statement set to flag any query exceeding 1 second, half the SRS Part 33 response-time budget) feeds the same monitoring and alerting infrastructure named in the Methodology's Sprint 6 "monitoring and alerting activated" deliverable.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16.7 Maintenance</w:t>
      </w:r>
    </w:p>
    <w:p>
      <w:pPr>
        <w:spacing w:after="150" w:line="276"/>
        <w:jc w:val="both"/>
      </w:pPr>
      <w:r>
        <w:t xml:space="preserve">Autovacuum is tuned more aggressively than PostgreSQL's conservative defaults specifically for the high-churn tables named in Section 16.2 (notification, task, workflow_item — tables with frequent UPDATEs to status fields, which under PostgreSQL's MVCC model generate dead tuples that autovacuum must reclaim) — a table-specific autovacuum_vacuum_scale_factor override, not a blanket instance-wide setting, avoids over-vacuuming the many low-churn reference and lookup tables (Part 6, Part 7) that need no special tuning. Materialized view refresh (Part 13.3) and the AuditLog/AnalyticsSnapshot partition-maintenance job (creating next month's partition ahead of time, dropping/archiving expired partitions per Section 15.5) are both scheduled maintenance jobs documented in the DevOps runbook referenced in the Methodology's Final Handover package.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5C2D91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7A43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2026-07-19T08:57:14.161Z</dcterms:created>
  <dcterms:modified xsi:type="dcterms:W3CDTF">2026-07-19T08:57:14.162Z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