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5C2D91"/>
          <w:sz w:val="32"/>
          <w:szCs w:val="32"/>
        </w:rPr>
        <w:t xml:space="preserve">Database Design Specification (DDS)</w:t>
      </w:r>
    </w:p>
    <w:p>
      <w:pPr>
        <w:spacing w:after="60"/>
        <w:jc w:val="center"/>
      </w:pPr>
      <w:r>
        <w:rPr>
          <w:b/>
          <w:bCs/>
          <w:color w:val="7A43B6"/>
          <w:sz w:val="22"/>
          <w:szCs w:val="22"/>
        </w:rPr>
        <w:t xml:space="preserve">Enterprise System Management (ESM) Platform and Central Knowledge Repository (CKR)</w:t>
      </w:r>
    </w:p>
    <w:p>
      <w:pPr>
        <w:spacing w:after="40"/>
        <w:jc w:val="center"/>
      </w:pPr>
      <w:r>
        <w:rPr>
          <w:b/>
          <w:bCs/>
          <w:color w:val="7A43B6"/>
          <w:sz w:val="24"/>
          <w:szCs w:val="24"/>
        </w:rPr>
        <w:t xml:space="preserve">Part 17 — Data Governance Framework</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5C2D91" w:sz="6" w:space="4"/>
        </w:pBdr>
        <w:spacing w:after="130" w:before="320"/>
      </w:pPr>
      <w:r>
        <w:t xml:space="preserve">17.1 Data Governance Overview</w:t>
      </w:r>
    </w:p>
    <w:p>
      <w:pPr>
        <w:spacing w:after="150" w:line="276"/>
        <w:jc w:val="both"/>
      </w:pPr>
      <w:r>
        <w:t xml:space="preserve">This Part fixes who is accountable for the schema's ongoing correctness after go-live, the standards that keep the schema consistent as it grows, and how the schema accommodates known future needs without requiring premature complexity now. It closes with Future Readiness (Section 17.7), deliberately placed alongside governance rather than as a separate document, because extensibility is itself a governance discipline — a schema that can be safely extended is one where naming, versioning, and change-control standards were followed from the start.</w:t>
      </w:r>
    </w:p>
    <w:p>
      <w:pPr>
        <w:pStyle w:val="Heading1"/>
        <w:pBdr>
          <w:bottom w:val="single" w:color="5C2D91" w:sz="6" w:space="4"/>
        </w:pBdr>
        <w:spacing w:after="130" w:before="320"/>
      </w:pPr>
      <w:r>
        <w:t xml:space="preserve">17.2 Data Owners and Data Stewards</w:t>
      </w:r>
    </w:p>
    <w:p>
      <w:pPr>
        <w:spacing w:after="150" w:line="276"/>
        <w:jc w:val="both"/>
      </w:pPr>
      <w:r>
        <w:t xml:space="preserve">A data owner is the accountable role for a domain's business correctness (defined per-domain in Section 6.2 and, more granularly, per-entity in Section 3's "Data Owner" attribute) — the person or role who can authoritatively answer "is this data correct" and who approves changes to what the domain captures. A data steward is the operational role responsible for day-to-day data quality within that domain — correcting bad entries, running the deduplication and quality checks named in Part 14, and enforcing the domain's specific business rules.</w:t>
      </w:r>
    </w:p>
    <w:p>
      <w:pPr>
        <w:spacing w:after="150" w:line="276"/>
        <w:jc w:val="both"/>
      </w:pPr>
      <w:r>
        <w:t xml:space="preserve">For this schema, the ICT Administrator role serves as data steward platform-wide (the only role with the technical access to run data-quality queries and corrections directly), while data ownership is distributed per-domain to the business role closest to that domain, per Section 6.2's Master Data Catalogue and Section 3's Entity Catalogue — this split (centralised technical stewardship, distributed business ownership) avoids both the failure mode of no one being accountable for data quality and the failure mode of every business role needing direct database access.</w:t>
      </w:r>
    </w:p>
    <w:p>
      <w:pPr>
        <w:pStyle w:val="Heading1"/>
        <w:pBdr>
          <w:bottom w:val="single" w:color="5C2D91" w:sz="6" w:space="4"/>
        </w:pBdr>
        <w:spacing w:after="130" w:before="320"/>
      </w:pPr>
      <w:r>
        <w:t xml:space="preserve">17.3 Naming Standards</w:t>
      </w:r>
    </w:p>
    <w:p>
      <w:pPr>
        <w:spacing w:after="150" w:line="276"/>
        <w:jc w:val="both"/>
      </w:pPr>
      <w:r>
        <w:t xml:space="preserve">Every identifier in this schema follows one consistent convention, applied without exception across all 62 entities and 335 fields in Section 4: snake_case for all table and column names (PostgreSQL's native convention, avoiding the quoting overhead of CamelCase identifiers); singular table names (project, not projects — a deliberate choice, since a row represents one project, and singular naming reads more naturally in the ORM model classes Antigravity will generate from this schema); _id suffix for every primary key and foreign key column (project_id, not just id, so that a column name alone always identifies what it references, critical in a schema with 87 foreign-key relationships per Section 5.2); and _at suffix for every timestamp column, _by suffix for every user-reference audit column, distinguishing them at a glance from business-data foreign keys.</w:t>
      </w:r>
    </w:p>
    <w:p>
      <w:pPr>
        <w:pStyle w:val="Heading1"/>
        <w:pBdr>
          <w:bottom w:val="single" w:color="5C2D91" w:sz="6" w:space="4"/>
        </w:pBdr>
        <w:spacing w:after="130" w:before="320"/>
      </w:pPr>
      <w:r>
        <w:t xml:space="preserve">17.4 Metadata Standards</w:t>
      </w:r>
    </w:p>
    <w:p>
      <w:pPr>
        <w:spacing w:after="150" w:line="276"/>
        <w:jc w:val="both"/>
      </w:pPr>
      <w:r>
        <w:t xml:space="preserve">Schema-level metadata (table and column COMMENT ON statements in PostgreSQL) is required for every table and every non-obvious column, populated from this DDS's own field descriptions (Section 4) at migration-script authoring time — this DDS is the authoritative source for that metadata, and the migration scripts should not need to invent descriptions independently, avoiding the drift risk of two separately-maintained descriptions of the same field.</w:t>
      </w:r>
    </w:p>
    <w:p>
      <w:pPr>
        <w:pStyle w:val="Heading1"/>
        <w:pBdr>
          <w:bottom w:val="single" w:color="5C2D91" w:sz="6" w:space="4"/>
        </w:pBdr>
        <w:spacing w:after="130" w:before="320"/>
      </w:pPr>
      <w:r>
        <w:t xml:space="preserve">17.5 Schema Versioning and Change Management</w:t>
      </w:r>
    </w:p>
    <w:p>
      <w:pPr>
        <w:spacing w:after="150" w:line="276"/>
        <w:jc w:val="both"/>
      </w:pPr>
      <w:r>
        <w:t xml:space="preserve">Schema changes are managed through sequentially-numbered, version-controlled migration files (the standard pattern for tools such as Flyway, Knex, or Prisma Migrate — the specific tool is an Antigravity implementation choice, not fixed by this DDS), each migration forward-only in production with a tested rollback script maintained alongside it. No schema change is applied directly against a production database outside the migration pipeline, including by an ICT Administrator with direct database access — this is a process discipline, not a technical constraint, and is named here because it is the single most common way well-designed schemas degrade over time in practice.</w:t>
      </w:r>
    </w:p>
    <w:p>
      <w:pPr>
        <w:spacing w:after="150" w:line="276"/>
        <w:jc w:val="both"/>
      </w:pPr>
      <w:r>
        <w:t xml:space="preserve">Breaking changes (removing a column, changing a column's type in an incompatible way, renaming a table) follow a two-step deprecation pattern: the old structure is marked deprecated (via a schema-level COMMENT and this DDS being updated) and coexists with the new structure for at least one full sprint cycle, giving any dependent code time to migrate, before the deprecated structure is actually dropped in a subsequent migration.</w:t>
      </w:r>
    </w:p>
    <w:p>
      <w:pPr>
        <w:pStyle w:val="Heading1"/>
        <w:pBdr>
          <w:bottom w:val="single" w:color="5C2D91" w:sz="6" w:space="4"/>
        </w:pBdr>
        <w:spacing w:after="130" w:before="320"/>
      </w:pPr>
      <w:r>
        <w:t xml:space="preserve">17.6 Data Quality Management</w:t>
      </w:r>
    </w:p>
    <w:p>
      <w:pPr>
        <w:spacing w:after="150" w:line="276"/>
        <w:jc w:val="both"/>
      </w:pPr>
      <w:r>
        <w:t xml:space="preserve">Ongoing data quality is managed through three mechanisms working together: the constraint layer (Part 8), which prevents invalid data from being written in the first place and is the strongest and cheapest quality control; scheduled data-quality queries (orphan-reference detection, stale draft-status content flagged for KM Unit follow-up, taxonomy terms with zero associated content flagged for pruning) run weekly and reported to the relevant data owner (Section 17.2); and the quality checks defined for the one-time migration effort (Part 14.5), whose sampling and reconciliation methodology is reused for periodic ongoing quality audits, not discarded once migration is complete.</w:t>
      </w:r>
    </w:p>
    <w:p>
      <w:pPr>
        <w:pStyle w:val="Heading1"/>
        <w:pBdr>
          <w:bottom w:val="single" w:color="5C2D91" w:sz="6" w:space="4"/>
        </w:pBdr>
        <w:spacing w:after="130" w:before="320"/>
      </w:pPr>
      <w:r>
        <w:t xml:space="preserve">17.7 Future Readiness</w:t>
      </w:r>
    </w:p>
    <w:p>
      <w:pPr>
        <w:spacing w:after="150" w:line="276"/>
        <w:jc w:val="both"/>
      </w:pPr>
      <w:r>
        <w:t xml:space="preserve">This schema deliberately accommodates six named future directions without requiring Phase 1 implementation of any of them — each is a considered inclusion, not scope creep, because each is already named somewhere in the SRS, PDD, or EA Blueprint as a Phase 2+ or conditional item.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88"/>
        <w:gridCol w:w="4385"/>
        <w:gridCol w:w="3967"/>
      </w:tblGrid>
      <w:tr>
        <w:trPr>
          <w:tblHeader/>
        </w:trPr>
        <w:tc>
          <w:tcPr>
            <w:tcW w:type="dxa" w:w="2088"/>
            <w:shd w:fill="5C2D91" w:val="clear"/>
            <w:tcMar>
              <w:top w:type="dxa" w:w="50"/>
              <w:left w:type="dxa" w:w="80"/>
              <w:bottom w:type="dxa" w:w="50"/>
              <w:right w:type="dxa" w:w="80"/>
            </w:tcMar>
            <w:vAlign w:val="top"/>
          </w:tcPr>
          <w:p>
            <w:r>
              <w:rPr>
                <w:b/>
                <w:bCs/>
                <w:color w:val="FFFFFF"/>
                <w:sz w:val="15"/>
                <w:szCs w:val="15"/>
              </w:rPr>
              <w:t xml:space="preserve">Future Direction</w:t>
            </w:r>
          </w:p>
        </w:tc>
        <w:tc>
          <w:tcPr>
            <w:tcW w:type="dxa" w:w="4385"/>
            <w:shd w:fill="5C2D91" w:val="clear"/>
            <w:tcMar>
              <w:top w:type="dxa" w:w="50"/>
              <w:left w:type="dxa" w:w="80"/>
              <w:bottom w:type="dxa" w:w="50"/>
              <w:right w:type="dxa" w:w="80"/>
            </w:tcMar>
            <w:vAlign w:val="top"/>
          </w:tcPr>
          <w:p>
            <w:r>
              <w:rPr>
                <w:b/>
                <w:bCs/>
                <w:color w:val="FFFFFF"/>
                <w:sz w:val="15"/>
                <w:szCs w:val="15"/>
              </w:rPr>
              <w:t xml:space="preserve">Schema Readiness Already Built In</w:t>
            </w:r>
          </w:p>
        </w:tc>
        <w:tc>
          <w:tcPr>
            <w:tcW w:type="dxa" w:w="3967"/>
            <w:shd w:fill="5C2D91" w:val="clear"/>
            <w:tcMar>
              <w:top w:type="dxa" w:w="50"/>
              <w:left w:type="dxa" w:w="80"/>
              <w:bottom w:type="dxa" w:w="50"/>
              <w:right w:type="dxa" w:w="80"/>
            </w:tcMar>
            <w:vAlign w:val="top"/>
          </w:tcPr>
          <w:p>
            <w:r>
              <w:rPr>
                <w:b/>
                <w:bCs/>
                <w:color w:val="FFFFFF"/>
                <w:sz w:val="15"/>
                <w:szCs w:val="15"/>
              </w:rPr>
              <w:t xml:space="preserve">What Remains for That Future Phase</w:t>
            </w:r>
          </w:p>
        </w:tc>
      </w:tr>
      <w:tr>
        <w:tc>
          <w:tcPr>
            <w:tcW w:type="dxa" w:w="2088"/>
            <w:tcMar>
              <w:top w:type="dxa" w:w="50"/>
              <w:left w:type="dxa" w:w="80"/>
              <w:bottom w:type="dxa" w:w="50"/>
              <w:right w:type="dxa" w:w="80"/>
            </w:tcMar>
            <w:vAlign w:val="top"/>
          </w:tcPr>
          <w:p>
            <w:r>
              <w:rPr>
                <w:b/>
                <w:bCs/>
                <w:color w:val="000000"/>
                <w:sz w:val="14"/>
                <w:szCs w:val="14"/>
              </w:rPr>
              <w:t xml:space="preserve">AI Features / Machine Learning</w:t>
            </w:r>
          </w:p>
        </w:tc>
        <w:tc>
          <w:tcPr>
            <w:tcW w:type="dxa" w:w="4385"/>
            <w:tcMar>
              <w:top w:type="dxa" w:w="50"/>
              <w:left w:type="dxa" w:w="80"/>
              <w:bottom w:type="dxa" w:w="50"/>
              <w:right w:type="dxa" w:w="80"/>
            </w:tcMar>
            <w:vAlign w:val="top"/>
          </w:tcPr>
          <w:p>
            <w:r>
              <w:rPr>
                <w:b w:val="false"/>
                <w:bCs w:val="false"/>
                <w:color w:val="000000"/>
                <w:sz w:val="14"/>
                <w:szCs w:val="14"/>
              </w:rPr>
              <w:t xml:space="preserve">AIQueryLog and AIKnowledgeEmbedding (Section 3, Domain 22) reserve the minimal schema footprint; user_id and source_type/source_id polymorphism patterns are already established elsewhere in the schema for reuse</w:t>
            </w:r>
          </w:p>
        </w:tc>
        <w:tc>
          <w:tcPr>
            <w:tcW w:type="dxa" w:w="3967"/>
            <w:tcMar>
              <w:top w:type="dxa" w:w="50"/>
              <w:left w:type="dxa" w:w="80"/>
              <w:bottom w:type="dxa" w:w="50"/>
              <w:right w:type="dxa" w:w="80"/>
            </w:tcMar>
            <w:vAlign w:val="top"/>
          </w:tcPr>
          <w:p>
            <w:r>
              <w:rPr>
                <w:b w:val="false"/>
                <w:bCs w:val="false"/>
                <w:color w:val="000000"/>
                <w:sz w:val="14"/>
                <w:szCs w:val="14"/>
              </w:rPr>
              <w:t xml:space="preserve">pgvector extension installation; the actual AI Assistant application logic (SRS Part 22)</w:t>
            </w:r>
          </w:p>
        </w:tc>
      </w:tr>
      <w:tr>
        <w:tc>
          <w:tcPr>
            <w:tcW w:type="dxa" w:w="2088"/>
            <w:tcMar>
              <w:top w:type="dxa" w:w="50"/>
              <w:left w:type="dxa" w:w="80"/>
              <w:bottom w:type="dxa" w:w="50"/>
              <w:right w:type="dxa" w:w="80"/>
            </w:tcMar>
            <w:vAlign w:val="top"/>
          </w:tcPr>
          <w:p>
            <w:r>
              <w:rPr>
                <w:b/>
                <w:bCs/>
                <w:color w:val="000000"/>
                <w:sz w:val="14"/>
                <w:szCs w:val="14"/>
              </w:rPr>
              <w:t xml:space="preserve">Recommendation Engine</w:t>
            </w:r>
          </w:p>
        </w:tc>
        <w:tc>
          <w:tcPr>
            <w:tcW w:type="dxa" w:w="4385"/>
            <w:tcMar>
              <w:top w:type="dxa" w:w="50"/>
              <w:left w:type="dxa" w:w="80"/>
              <w:bottom w:type="dxa" w:w="50"/>
              <w:right w:type="dxa" w:w="80"/>
            </w:tcMar>
            <w:vAlign w:val="top"/>
          </w:tcPr>
          <w:p>
            <w:r>
              <w:rPr>
                <w:b w:val="false"/>
                <w:bCs w:val="false"/>
                <w:color w:val="000000"/>
                <w:sz w:val="14"/>
                <w:szCs w:val="14"/>
              </w:rPr>
              <w:t xml:space="preserve">TaxonomyTerm's hierarchy and KnowledgeArticle's related-content self-reference (Domain 12) provide the content-similarity seed data a recommendation engine would train on</w:t>
            </w:r>
          </w:p>
        </w:tc>
        <w:tc>
          <w:tcPr>
            <w:tcW w:type="dxa" w:w="3967"/>
            <w:tcMar>
              <w:top w:type="dxa" w:w="50"/>
              <w:left w:type="dxa" w:w="80"/>
              <w:bottom w:type="dxa" w:w="50"/>
              <w:right w:type="dxa" w:w="80"/>
            </w:tcMar>
            <w:vAlign w:val="top"/>
          </w:tcPr>
          <w:p>
            <w:r>
              <w:rPr>
                <w:b w:val="false"/>
                <w:bCs w:val="false"/>
                <w:color w:val="000000"/>
                <w:sz w:val="14"/>
                <w:szCs w:val="14"/>
              </w:rPr>
              <w:t xml:space="preserve">A dedicated recommendation-scoring table/service; not named as a requirement anywhere in the current SRS/PDD, so deliberately unscoped further</w:t>
            </w:r>
          </w:p>
        </w:tc>
      </w:tr>
      <w:tr>
        <w:tc>
          <w:tcPr>
            <w:tcW w:type="dxa" w:w="2088"/>
            <w:tcMar>
              <w:top w:type="dxa" w:w="50"/>
              <w:left w:type="dxa" w:w="80"/>
              <w:bottom w:type="dxa" w:w="50"/>
              <w:right w:type="dxa" w:w="80"/>
            </w:tcMar>
            <w:vAlign w:val="top"/>
          </w:tcPr>
          <w:p>
            <w:r>
              <w:rPr>
                <w:b/>
                <w:bCs/>
                <w:color w:val="000000"/>
                <w:sz w:val="14"/>
                <w:szCs w:val="14"/>
              </w:rPr>
              <w:t xml:space="preserve">Knowledge Graph</w:t>
            </w:r>
          </w:p>
        </w:tc>
        <w:tc>
          <w:tcPr>
            <w:tcW w:type="dxa" w:w="4385"/>
            <w:tcMar>
              <w:top w:type="dxa" w:w="50"/>
              <w:left w:type="dxa" w:w="80"/>
              <w:bottom w:type="dxa" w:w="50"/>
              <w:right w:type="dxa" w:w="80"/>
            </w:tcMar>
            <w:vAlign w:val="top"/>
          </w:tcPr>
          <w:p>
            <w:r>
              <w:rPr>
                <w:b w:val="false"/>
                <w:bCs w:val="false"/>
                <w:color w:val="000000"/>
                <w:sz w:val="14"/>
                <w:szCs w:val="14"/>
              </w:rPr>
              <w:t xml:space="preserve">See Part 12.5 — KnowledgeArticle's existing related-content links are the Phase 1 seed a knowledge graph would extend</w:t>
            </w:r>
          </w:p>
        </w:tc>
        <w:tc>
          <w:tcPr>
            <w:tcW w:type="dxa" w:w="3967"/>
            <w:tcMar>
              <w:top w:type="dxa" w:w="50"/>
              <w:left w:type="dxa" w:w="80"/>
              <w:bottom w:type="dxa" w:w="50"/>
              <w:right w:type="dxa" w:w="80"/>
            </w:tcMar>
            <w:vAlign w:val="top"/>
          </w:tcPr>
          <w:p>
            <w:r>
              <w:rPr>
                <w:b w:val="false"/>
                <w:bCs w:val="false"/>
                <w:color w:val="000000"/>
                <w:sz w:val="14"/>
                <w:szCs w:val="14"/>
              </w:rPr>
              <w:t xml:space="preserve">A typed-relationship bridge table (Part 12.4); explicitly named as Phase 2+ in SRS Part 38</w:t>
            </w:r>
          </w:p>
        </w:tc>
      </w:tr>
      <w:tr>
        <w:tc>
          <w:tcPr>
            <w:tcW w:type="dxa" w:w="2088"/>
            <w:tcMar>
              <w:top w:type="dxa" w:w="50"/>
              <w:left w:type="dxa" w:w="80"/>
              <w:bottom w:type="dxa" w:w="50"/>
              <w:right w:type="dxa" w:w="80"/>
            </w:tcMar>
            <w:vAlign w:val="top"/>
          </w:tcPr>
          <w:p>
            <w:r>
              <w:rPr>
                <w:b/>
                <w:bCs/>
                <w:color w:val="000000"/>
                <w:sz w:val="14"/>
                <w:szCs w:val="14"/>
              </w:rPr>
              <w:t xml:space="preserve">Data Warehouse / Business Intelligence</w:t>
            </w:r>
          </w:p>
        </w:tc>
        <w:tc>
          <w:tcPr>
            <w:tcW w:type="dxa" w:w="4385"/>
            <w:tcMar>
              <w:top w:type="dxa" w:w="50"/>
              <w:left w:type="dxa" w:w="80"/>
              <w:bottom w:type="dxa" w:w="50"/>
              <w:right w:type="dxa" w:w="80"/>
            </w:tcMar>
            <w:vAlign w:val="top"/>
          </w:tcPr>
          <w:p>
            <w:r>
              <w:rPr>
                <w:b w:val="false"/>
                <w:bCs w:val="false"/>
                <w:color w:val="000000"/>
                <w:sz w:val="14"/>
                <w:szCs w:val="14"/>
              </w:rPr>
              <w:t xml:space="preserve">The schema is kept in 3NF specifically for star-schema readiness (Part 13.5); Project, Task, Document, Risk, Issue are natural fact tables</w:t>
            </w:r>
          </w:p>
        </w:tc>
        <w:tc>
          <w:tcPr>
            <w:tcW w:type="dxa" w:w="3967"/>
            <w:tcMar>
              <w:top w:type="dxa" w:w="50"/>
              <w:left w:type="dxa" w:w="80"/>
              <w:bottom w:type="dxa" w:w="50"/>
              <w:right w:type="dxa" w:w="80"/>
            </w:tcMar>
            <w:vAlign w:val="top"/>
          </w:tcPr>
          <w:p>
            <w:r>
              <w:rPr>
                <w:b w:val="false"/>
                <w:bCs w:val="false"/>
                <w:color w:val="000000"/>
                <w:sz w:val="14"/>
                <w:szCs w:val="14"/>
              </w:rPr>
              <w:t xml:space="preserve">ETL pipeline; a dedicated OLAP/warehouse platform; not justified by Phase 1-3 data volumes (Part 16.2)</w:t>
            </w:r>
          </w:p>
        </w:tc>
      </w:tr>
      <w:tr>
        <w:tc>
          <w:tcPr>
            <w:tcW w:type="dxa" w:w="2088"/>
            <w:tcMar>
              <w:top w:type="dxa" w:w="50"/>
              <w:left w:type="dxa" w:w="80"/>
              <w:bottom w:type="dxa" w:w="50"/>
              <w:right w:type="dxa" w:w="80"/>
            </w:tcMar>
            <w:vAlign w:val="top"/>
          </w:tcPr>
          <w:p>
            <w:r>
              <w:rPr>
                <w:b/>
                <w:bCs/>
                <w:color w:val="000000"/>
                <w:sz w:val="14"/>
                <w:szCs w:val="14"/>
              </w:rPr>
              <w:t xml:space="preserve">Mobile Applications</w:t>
            </w:r>
          </w:p>
        </w:tc>
        <w:tc>
          <w:tcPr>
            <w:tcW w:type="dxa" w:w="4385"/>
            <w:tcMar>
              <w:top w:type="dxa" w:w="50"/>
              <w:left w:type="dxa" w:w="80"/>
              <w:bottom w:type="dxa" w:w="50"/>
              <w:right w:type="dxa" w:w="80"/>
            </w:tcMar>
            <w:vAlign w:val="top"/>
          </w:tcPr>
          <w:p>
            <w:r>
              <w:rPr>
                <w:b w:val="false"/>
                <w:bCs w:val="false"/>
                <w:color w:val="000000"/>
                <w:sz w:val="14"/>
                <w:szCs w:val="14"/>
              </w:rPr>
              <w:t xml:space="preserve">The schema has no web-specific assumptions baked in (no session data stored client-side as the source of truth; all business data is API-accessible per Part 18's SRS Part 28 API layer)</w:t>
            </w:r>
          </w:p>
        </w:tc>
        <w:tc>
          <w:tcPr>
            <w:tcW w:type="dxa" w:w="3967"/>
            <w:tcMar>
              <w:top w:type="dxa" w:w="50"/>
              <w:left w:type="dxa" w:w="80"/>
              <w:bottom w:type="dxa" w:w="50"/>
              <w:right w:type="dxa" w:w="80"/>
            </w:tcMar>
            <w:vAlign w:val="top"/>
          </w:tcPr>
          <w:p>
            <w:r>
              <w:rPr>
                <w:b w:val="false"/>
                <w:bCs w:val="false"/>
                <w:color w:val="000000"/>
                <w:sz w:val="14"/>
                <w:szCs w:val="14"/>
              </w:rPr>
              <w:t xml:space="preserve">Native mobile app development; the SRS already treats the web platform as mobile-responsive (Part 34), so this is an additional client, not a schema change</w:t>
            </w:r>
          </w:p>
        </w:tc>
      </w:tr>
      <w:tr>
        <w:tc>
          <w:tcPr>
            <w:tcW w:type="dxa" w:w="2088"/>
            <w:tcMar>
              <w:top w:type="dxa" w:w="50"/>
              <w:left w:type="dxa" w:w="80"/>
              <w:bottom w:type="dxa" w:w="50"/>
              <w:right w:type="dxa" w:w="80"/>
            </w:tcMar>
            <w:vAlign w:val="top"/>
          </w:tcPr>
          <w:p>
            <w:r>
              <w:rPr>
                <w:b/>
                <w:bCs/>
                <w:color w:val="000000"/>
                <w:sz w:val="14"/>
                <w:szCs w:val="14"/>
              </w:rPr>
              <w:t xml:space="preserve">External APIs / Future ERP or M&amp;E Integration</w:t>
            </w:r>
          </w:p>
        </w:tc>
        <w:tc>
          <w:tcPr>
            <w:tcW w:type="dxa" w:w="4385"/>
            <w:tcMar>
              <w:top w:type="dxa" w:w="50"/>
              <w:left w:type="dxa" w:w="80"/>
              <w:bottom w:type="dxa" w:w="50"/>
              <w:right w:type="dxa" w:w="80"/>
            </w:tcMar>
            <w:vAlign w:val="top"/>
          </w:tcPr>
          <w:p>
            <w:r>
              <w:rPr>
                <w:b w:val="false"/>
                <w:bCs w:val="false"/>
                <w:color w:val="000000"/>
                <w:sz w:val="14"/>
                <w:szCs w:val="14"/>
              </w:rPr>
              <w:t xml:space="preserve">source_system is named in Part 10.3 as the Phase 2+ extension point for external-system provenance; the API layer (SRS Part 28) already exposes a REST interface future integrations would consume</w:t>
            </w:r>
          </w:p>
        </w:tc>
        <w:tc>
          <w:tcPr>
            <w:tcW w:type="dxa" w:w="3967"/>
            <w:tcMar>
              <w:top w:type="dxa" w:w="50"/>
              <w:left w:type="dxa" w:w="80"/>
              <w:bottom w:type="dxa" w:w="50"/>
              <w:right w:type="dxa" w:w="80"/>
            </w:tcMar>
            <w:vAlign w:val="top"/>
          </w:tcPr>
          <w:p>
            <w:r>
              <w:rPr>
                <w:b w:val="false"/>
                <w:bCs w:val="false"/>
                <w:color w:val="000000"/>
                <w:sz w:val="14"/>
                <w:szCs w:val="14"/>
              </w:rPr>
              <w:t xml:space="preserve">Actual integration-partner API contracts; source_system column addition; not scoped further since no specific external system is named in the current TOR/PDD</w:t>
            </w:r>
          </w:p>
        </w:tc>
      </w:tr>
    </w:tbl>
    <w:p>
      <w:pPr>
        <w:spacing w:after="160"/>
      </w:pP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5C2D91"/>
      <w:sz w:val="24"/>
      <w:szCs w:val="24"/>
    </w:rPr>
  </w:style>
  <w:style w:type="paragraph" w:styleId="Heading2">
    <w:name w:val="Heading 2"/>
    <w:basedOn w:val="Normal"/>
    <w:next w:val="Normal"/>
    <w:qFormat/>
    <w:pPr>
      <w:spacing w:after="100" w:before="220"/>
    </w:pPr>
    <w:rPr>
      <w:rFonts w:ascii="Arial" w:cs="Arial" w:eastAsia="Arial" w:hAnsi="Arial"/>
      <w:b/>
      <w:bCs/>
      <w:color w:val="7A43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2026-07-19T08:59:18.494Z</dcterms:created>
  <dcterms:modified xsi:type="dcterms:W3CDTF">2026-07-19T08:59:18.494Z</dcterms:modified>
</cp:coreProperties>
</file>

<file path=docProps/custom.xml><?xml version="1.0" encoding="utf-8"?>
<Properties xmlns="http://schemas.openxmlformats.org/officeDocument/2006/custom-properties" xmlns:vt="http://schemas.openxmlformats.org/officeDocument/2006/docPropsVTypes"/>
</file>