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SAPZ PROGRAMME — REF: NPCO/SAPZ/IFAD/26/1023/588</w:t>
      </w:r>
    </w:p>
    <w:p>
      <w:pPr>
        <w:spacing w:after="60"/>
        <w:jc w:val="center"/>
      </w:pPr>
      <w:r>
        <w:rPr>
          <w:b/>
          <w:bCs/>
          <w:color w:val="5C2D91"/>
          <w:sz w:val="32"/>
          <w:szCs w:val="32"/>
        </w:rPr>
        <w:t xml:space="preserve">Database Design Specification (DDS)</w:t>
      </w:r>
    </w:p>
    <w:p>
      <w:pPr>
        <w:spacing w:after="60"/>
        <w:jc w:val="center"/>
      </w:pPr>
      <w:r>
        <w:rPr>
          <w:b/>
          <w:bCs/>
          <w:color w:val="7A43B6"/>
          <w:sz w:val="22"/>
          <w:szCs w:val="22"/>
        </w:rPr>
        <w:t xml:space="preserve">Enterprise System Management (ESM) Platform and Central Knowledge Repository (CKR)</w:t>
      </w:r>
    </w:p>
    <w:p>
      <w:pPr>
        <w:spacing w:after="40"/>
        <w:jc w:val="center"/>
      </w:pPr>
      <w:r>
        <w:rPr>
          <w:b/>
          <w:bCs/>
          <w:color w:val="7A43B6"/>
          <w:sz w:val="24"/>
          <w:szCs w:val="24"/>
        </w:rPr>
        <w:t xml:space="preserve">Part 18 — Antigravity Database Handoff</w:t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Prepared for the SAPZ National Programme Coordination Office — Consultant: Ahmed Babajide Olanrewaju</w:t>
      </w: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Document Control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4"/>
        <w:gridCol w:w="7726"/>
      </w:tblGrid>
      <w:tr>
        <w:trPr>
          <w:tblHeader/>
        </w:trPr>
        <w:tc>
          <w:tcPr>
            <w:tcW w:type="dxa" w:w="271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772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Package Title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Antigravity Database Handoff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Programme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SAPZ Programme (Special Agro-Industrial Processing Zones)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Procurement Reference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NPCO/SAPZ/IFAD/26/1023/588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Prepared By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Ahmed Babajide Olanrewaju, Consultant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Prepared For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Antigravity Software Development Team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Source Documents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DDS Parts 1-17 (this Part consolidates, and does not replace, Parts 3-4's full Entity Catalogue and Data Dictionary)</w:t>
            </w:r>
          </w:p>
        </w:tc>
      </w:tr>
      <w:tr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Single consolidated database reference — entity inventory, relationships, constraints, indexes, master data, lookups, audit model, security model, migration strategy, and recommended ERD structure — so Antigravity can generate ER diagrams, SQL schemas, migration scripts, and backend models without cross-referencing 17 separate documents.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Introduction</w:t>
      </w:r>
    </w:p>
    <w:p>
      <w:pPr>
        <w:spacing w:after="150" w:line="276"/>
        <w:jc w:val="both"/>
      </w:pPr>
      <w:r>
        <w:t xml:space="preserve">This handoff consolidates the structural facts from DDS Parts 1-17 that a development team needs at the start of implementation. It deliberately does not re-print the full 335-field Data Dictionary (Part 4) or the full 62-entity Entity Catalogue (Part 3) verbatim — both remain the authoritative, complete references and are pointed to explicitly in Section 2 below, rather than duplicated, consistent with this DDS's QA principle of eliminating redundant tables and fields. What this handoff does provide in full is everything not already provided as a complete table elsewhere: the relationship graph, the constraint and index summary, and the recommended approach to visualising and building from this schema.</w:t>
      </w: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Section 1 — Entity Inventory</w:t>
      </w:r>
    </w:p>
    <w:p>
      <w:pPr>
        <w:spacing w:after="150" w:line="276"/>
        <w:jc w:val="both"/>
      </w:pPr>
      <w:r>
        <w:t xml:space="preserve">All 62 entities, grouped by domain, with field count and primary key — the fastest way to see the full schema's shape. Full attributes for each entity are in Part 3; full fields are in Part 4.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2"/>
        <w:gridCol w:w="2297"/>
        <w:gridCol w:w="2506"/>
        <w:gridCol w:w="1044"/>
        <w:gridCol w:w="3132"/>
      </w:tblGrid>
      <w:tr>
        <w:trPr>
          <w:tblHeader/>
        </w:trPr>
        <w:tc>
          <w:tcPr>
            <w:tcW w:type="dxa" w:w="1462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297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Domain</w:t>
            </w:r>
          </w:p>
        </w:tc>
        <w:tc>
          <w:tcPr>
            <w:tcW w:type="dxa" w:w="104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Fields</w:t>
            </w:r>
          </w:p>
        </w:tc>
        <w:tc>
          <w:tcPr>
            <w:tcW w:type="dxa" w:w="3132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Primary Key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ENT-IAM-01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User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Identity &amp; Access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user_id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ENT-IAM-02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Role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Identity &amp; Access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role_id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ENT-IAM-03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Permission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Identity &amp; Access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permission_id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ENT-IAM-04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RolePermission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Identity &amp; Access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role_id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ENT-IAM-05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MFAToken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Identity &amp; Access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mfa_token_id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ENT-ORG-01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State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Organizations &amp; Reference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state_id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ENT-ORG-02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Organization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Organizations &amp; Reference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organization_id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ENT-ORG-03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OrgUnit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Organizations &amp; Reference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org_unit_id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ENT-EXE-01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StrategicPriority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Executive Oversight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priority_id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ENT-EXE-02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KPITarget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Executive Oversight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kpi_target_id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ENT-PRG-01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Programme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Programme Management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programme_id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ENT-PRG-02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ProgrammeComponent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Programme Management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component_id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ENT-PRG-03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WorkPlan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Programme Management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work_plan_id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ENT-PROJ-01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Project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Projects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project_id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ENT-PROJ-02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ProjectMilestone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Projects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milestone_id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ENT-PROJ-03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ProjectTeamAssignment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Projects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project_id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ENT-TASK-01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Task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Tasks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task_id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ENT-TASK-02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TaskDependency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Tasks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task_dependency_id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ENT-TASK-03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TaskComment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Tasks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comment_id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ENT-WF-01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WorkflowTemplate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Workflow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template_id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ENT-WF-02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WorkflowStage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Workflow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stage_id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ENT-WF-03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WorkflowItem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Workflow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workflow_item_id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ENT-APR-01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WorkflowDecision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Approvals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decision_id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ENT-APR-02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ApprovalDelegate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Approvals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delegate_id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ENT-SEC-01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AuditLog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Security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audit_log_id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ENT-SEC-02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SecurityIncident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Security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incident_id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ENT-ADM-01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SystemSetting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Administration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setting_key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ENT-ADM-02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Announcement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Administration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announcement_id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ENT-DOC-01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Document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Documents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document_id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ENT-DOC-02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DocumentVersion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Documents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document_version_id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ENT-DOC-03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DocumentCategory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Documents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category_id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ENT-KNOW-01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KnowledgeArticle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Knowledge Repository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article_id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ENT-KNOW-02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TaxonomyTerm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Knowledge Repository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term_id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ENT-KNOW-03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KnowledgeReview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Knowledge Repository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review_id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ENT-MED-01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MediaAsset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Media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media_asset_id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ENT-MED-02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MediaAlbum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Media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album_id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ENT-SRCH-01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SearchIndexEntry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Search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index_entry_id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ENT-SRCH-02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SavedSearch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Search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saved_search_id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ENT-RPT-01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ReportDefinition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Reporting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report_definition_id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ENT-RPT-02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ReportExecutionLog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Reporting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execution_id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ENT-ANL-01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AnalyticsSnapshot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Analytics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snapshot_id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ENT-ANL-02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DashboardWidget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Analytics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widget_id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ENT-NOT-01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Notification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Notifications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notification_id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ENT-NOT-02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NotificationTemplate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Notifications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template_id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ENT-TRN-01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TrainingCourse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Training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course_id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ENT-TRN-02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TrainingEnrollment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Training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enrollment_id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ENT-TRN-03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TrainingCertificate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Training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certificate_id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ENT-SUP-01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SupportTicket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Support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ticket_id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ENT-SUP-02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SupportTicketComment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Support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comment_id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ENT-HD-01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HelpDeskArticle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Help Desk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hd_article_id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ENT-HD-02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HelpDeskCategory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Help Desk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category_id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ENT-PUB-01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PortalPage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Public Portal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page_id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ENT-PUB-02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PortalSubscriber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Public Portal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subscriber_id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ENT-PUB-03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PortalContactMessage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Public Portal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message_id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ENT-AI-01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AIQueryLog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AI Assistant (Phase 2)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query_id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ENT-AI-02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AIKnowledgeEmbedding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AI Assistant (Phase 2)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embedding_id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ENT-GOV-01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Risk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Governance Registers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risk_id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ENT-GOV-02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Issue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Governance Registers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issue_id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ENT-GOV-03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Decision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Governance Registers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decision_id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ENT-MTG-01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Meeting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Meetings &amp; Calendar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meeting_id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ENT-MTG-02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MeetingActionItem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Meetings &amp; Calendar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action_item_id</w:t>
            </w:r>
          </w:p>
        </w:tc>
      </w:tr>
      <w:tr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ENT-MTG-03</w:t>
            </w:r>
          </w:p>
        </w:tc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CalendarEvent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Meetings &amp; Calendar</w:t>
            </w:r>
          </w:p>
        </w:tc>
        <w:tc>
          <w:tcPr>
            <w:tcW w:type="dxa" w:w="10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calendar_event_id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Section 2 — Relationship Summary</w:t>
      </w:r>
    </w:p>
    <w:p>
      <w:pPr>
        <w:spacing w:after="150" w:line="276"/>
        <w:jc w:val="both"/>
      </w:pPr>
      <w:r>
        <w:t xml:space="preserve">The complete, auto-extracted relationship summary (87 foreign-key relationships) is fixed in DDS Part 5, Section 5.2, with self-referential/recursive relationships in 5.3, bridge tables in 5.4, and polymorphic relationships in 5.5. In summary: 87 standard foreign-key relationships, 2 self-referential/recursive relationships (TaxonomyTerm, TaskDependency), 3 bridge (many-to-many) tables (RolePermission, ProjectTeamAssignment, TaskDependency), and 6 polymorphic relationships (WorkflowItem, AuditLog, Notification, CalendarEvent, SearchIndexEntry, AIKnowledgeEmbedding) requiring application-layer rather than database-layer integrity enforcement — this last point is the single most important implementation note for Antigravity's ORM layer, since it is the one place database-level referential integrity (Part 8) does not apply.</w:t>
      </w: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Section 3 — Data Dictionary Reference</w:t>
      </w:r>
    </w:p>
    <w:p>
      <w:pPr>
        <w:spacing w:after="150" w:line="276"/>
        <w:jc w:val="both"/>
      </w:pPr>
      <w:r>
        <w:t xml:space="preserve">The complete field-level Data Dictionary — all 335 fields across all 62 entities, with type, nullability, default, key/index role, sensitivity, validation, and example — is fixed in DDS Part 4 and is not reproduced here. Part 4 is organised by domain in the same order as this handoff's Section 1, so locating any entity's full field list is a direct lookup.</w:t>
      </w: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Section 4 — Key Constraints</w:t>
      </w:r>
    </w:p>
    <w:p>
      <w:pPr>
        <w:spacing w:after="150" w:line="276"/>
        <w:jc w:val="both"/>
      </w:pPr>
      <w:r>
        <w:t xml:space="preserve">Full constraint specification is DDS Part 8. The binding rules Antigravity's migration scripts must implement without exception: every foreign key is ON DELETE RESTRICT (no cascading hard deletes anywhere in Phase 1, Part 8.3); soft delete (deleted_at) is the default deletion mechanism for all entities except the four named hard-delete exceptions (Part 8.3.1: MFAToken, SavedSearch, SearchIndexEntry, downsampled AnalyticsSnapshot rows); 15 fields carry UNIQUE constraints (Part 8.4); and 11 named CHECK constraints enforce numeric ranges, date ordering, and self-reference exclusions (Part 8.5).</w:t>
      </w: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Section 5 — Index Strategy</w:t>
      </w:r>
    </w:p>
    <w:p>
      <w:pPr>
        <w:spacing w:after="150" w:line="276"/>
        <w:jc w:val="both"/>
      </w:pPr>
      <w:r>
        <w:t xml:space="preserve">Full indexing detail is DDS Part 9. The ten composite indexes below are the highest-value indexes in the schema, each tied to a specific dashboard or list-screen query pattern: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923"/>
        <w:gridCol w:w="5846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Table</w:t>
            </w:r>
          </w:p>
        </w:tc>
        <w:tc>
          <w:tcPr>
            <w:tcW w:type="dxa" w:w="2923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Composite Index</w:t>
            </w:r>
          </w:p>
        </w:tc>
        <w:tc>
          <w:tcPr>
            <w:tcW w:type="dxa" w:w="584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Query Pattern Supported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project</w:t>
            </w:r>
          </w:p>
        </w:tc>
        <w:tc>
          <w:tcPr>
            <w:tcW w:type="dxa" w:w="29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(state_id, status)</w:t>
            </w:r>
          </w:p>
        </w:tc>
        <w:tc>
          <w:tcPr>
            <w:tcW w:type="dxa" w:w="58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Executive Dashboard and State Comparison Dashboard filtering active/on-hold projects by state — SRS Part 33's under-3-second load target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task</w:t>
            </w:r>
          </w:p>
        </w:tc>
        <w:tc>
          <w:tcPr>
            <w:tcW w:type="dxa" w:w="29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(assignee_id, status, due_date)</w:t>
            </w:r>
          </w:p>
        </w:tc>
        <w:tc>
          <w:tcPr>
            <w:tcW w:type="dxa" w:w="58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"My Work" screen (SCR-TASK) — a User's own tasks filtered by status, sorted by due date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task</w:t>
            </w:r>
          </w:p>
        </w:tc>
        <w:tc>
          <w:tcPr>
            <w:tcW w:type="dxa" w:w="29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(project_id, status)</w:t>
            </w:r>
          </w:p>
        </w:tc>
        <w:tc>
          <w:tcPr>
            <w:tcW w:type="dxa" w:w="58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Project detail screen's task list, filtered to a single project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risk</w:t>
            </w:r>
          </w:p>
        </w:tc>
        <w:tc>
          <w:tcPr>
            <w:tcW w:type="dxa" w:w="29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(state_id, status)</w:t>
            </w:r>
          </w:p>
        </w:tc>
        <w:tc>
          <w:tcPr>
            <w:tcW w:type="dxa" w:w="58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Risk Register screen and Executive Dashboard risk-exposure widget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issue</w:t>
            </w:r>
          </w:p>
        </w:tc>
        <w:tc>
          <w:tcPr>
            <w:tcW w:type="dxa" w:w="29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(state_id, status)</w:t>
            </w:r>
          </w:p>
        </w:tc>
        <w:tc>
          <w:tcPr>
            <w:tcW w:type="dxa" w:w="58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Issue Register screen, mirroring the Risk pattern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document</w:t>
            </w:r>
          </w:p>
        </w:tc>
        <w:tc>
          <w:tcPr>
            <w:tcW w:type="dxa" w:w="29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(project_id, status, access_level)</w:t>
            </w:r>
          </w:p>
        </w:tc>
        <w:tc>
          <w:tcPr>
            <w:tcW w:type="dxa" w:w="58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Document repository list screen — filtered by project and lifecycle state, permission-checked against access_level in the same index scan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workflow_item</w:t>
            </w:r>
          </w:p>
        </w:tc>
        <w:tc>
          <w:tcPr>
            <w:tcW w:type="dxa" w:w="29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(status, escalation_timer_expiry)</w:t>
            </w:r>
          </w:p>
        </w:tc>
        <w:tc>
          <w:tcPr>
            <w:tcW w:type="dxa" w:w="58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Escalation-detection job (BR-WF-02) — a partial index (WHERE status = 'pending') is recommended here, since only pending items are ever scanned for escalation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audit_log</w:t>
            </w:r>
          </w:p>
        </w:tc>
        <w:tc>
          <w:tcPr>
            <w:tcW w:type="dxa" w:w="29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(entity_type, entity_id, occurred_at DESC)</w:t>
            </w:r>
          </w:p>
        </w:tc>
        <w:tc>
          <w:tcPr>
            <w:tcW w:type="dxa" w:w="58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"View audit history for this record" screen pattern, used across Documents, WorkflowItem, and Decision detail screens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notification</w:t>
            </w:r>
          </w:p>
        </w:tc>
        <w:tc>
          <w:tcPr>
            <w:tcW w:type="dxa" w:w="29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(recipient_id, read_status, sent_at DESC)</w:t>
            </w:r>
          </w:p>
        </w:tc>
        <w:tc>
          <w:tcPr>
            <w:tcW w:type="dxa" w:w="58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In-app notification badge/list — a User's unread notifications, most recent first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knowledge_article</w:t>
            </w:r>
          </w:p>
        </w:tc>
        <w:tc>
          <w:tcPr>
            <w:tcW w:type="dxa" w:w="292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(visibility, publication_status, category_id)</w:t>
            </w:r>
          </w:p>
        </w:tc>
        <w:tc>
          <w:tcPr>
            <w:tcW w:type="dxa" w:w="584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CKR public browse-by-topic screen, filtered to published + public content within a taxonomy branch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Section 6 — Master Data and Lookup Tables</w:t>
      </w:r>
    </w:p>
    <w:p>
      <w:pPr>
        <w:spacing w:after="150" w:line="276"/>
        <w:jc w:val="both"/>
      </w:pPr>
      <w:r>
        <w:t xml:space="preserve">Full detail is DDS Part 6 (Master Data Catalogue, 11 tables with governance model) and Part 7 (Lookup Tables, 31 consolidated value-sets with the recommended lookup-table-over-native-ENUM implementation pattern, Part 7.2).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1462"/>
        <w:gridCol w:w="3132"/>
        <w:gridCol w:w="1462"/>
        <w:gridCol w:w="271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Master Data Table</w:t>
            </w:r>
          </w:p>
        </w:tc>
        <w:tc>
          <w:tcPr>
            <w:tcW w:type="dxa" w:w="1462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Domain</w:t>
            </w:r>
          </w:p>
        </w:tc>
        <w:tc>
          <w:tcPr>
            <w:tcW w:type="dxa" w:w="3132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Business Purpose</w:t>
            </w:r>
          </w:p>
        </w:tc>
        <w:tc>
          <w:tcPr>
            <w:tcW w:type="dxa" w:w="1462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Owner</w:t>
            </w:r>
          </w:p>
        </w:tc>
        <w:tc>
          <w:tcPr>
            <w:tcW w:type="dxa" w:w="271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Maintenance Model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3"/>
                <w:szCs w:val="13"/>
              </w:rPr>
              <w:t xml:space="preserve">State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Organizations &amp; Reference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The 8 SAPZ geographic units (7 states + FCT)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ICT Administrator</w:t>
            </w:r>
          </w:p>
        </w:tc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Seeded at implementation; effectively immutable — Nigeria's SAPZ state list is fixed by the TOR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3"/>
                <w:szCs w:val="13"/>
              </w:rPr>
              <w:t xml:space="preserve">Organization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Organizations &amp; Reference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External bodies: donors, implementing partners, private sector, government, community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KM Unit</w:t>
            </w:r>
          </w:p>
        </w:tc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Self-service creation by KM Unit as new partners engage; soft-deactivated, never hard-deleted (referenced by historical content)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3"/>
                <w:szCs w:val="13"/>
              </w:rPr>
              <w:t xml:space="preserve">OrgUnit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Organizations &amp; Reference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Internal NPCO organisational units (national + 8 state offices)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ICT Administrator</w:t>
            </w:r>
          </w:p>
        </w:tc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Seeded at implementation; changes only if NPCO's organisational structure changes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3"/>
                <w:szCs w:val="13"/>
              </w:rPr>
              <w:t xml:space="preserve">Role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Identity &amp; Access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The 10 (11 at Phase 2) fixed role archetypes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ICT Administrator</w:t>
            </w:r>
          </w:p>
        </w:tc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Configured once in Sprint 4 per SRS Part 2; new roles require an SRS amendment, not ad hoc creation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3"/>
                <w:szCs w:val="13"/>
              </w:rPr>
              <w:t xml:space="preserve">Permission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Identity &amp; Access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~180 atomic module.action permission units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ICT Administrator</w:t>
            </w:r>
          </w:p>
        </w:tc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Grows only when a new module or action is added to the platform; maintained alongside the Screen Catalogue (SRS Part 23)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3"/>
                <w:szCs w:val="13"/>
              </w:rPr>
              <w:t xml:space="preserve">DocumentCategory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Documents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Document classification driving default workflow and retention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ICT Administrator</w:t>
            </w:r>
          </w:p>
        </w:tc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Configured in Sprint 1-2; extensible by ICT Administrator as new document classes are identified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3"/>
                <w:szCs w:val="13"/>
              </w:rPr>
              <w:t xml:space="preserve">TaxonomyTerm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Knowledge Repository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Hierarchical subject taxonomy shared by Document and KnowledgeArticle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KM Unit</w:t>
            </w:r>
          </w:p>
        </w:tc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Curated growth — KM Unit reviews and approves new terms quarterly to prevent taxonomy sprawl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3"/>
                <w:szCs w:val="13"/>
              </w:rPr>
              <w:t xml:space="preserve">HelpDeskCategory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Help Desk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Grouping for self-service FAQ content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ICT Administrator</w:t>
            </w:r>
          </w:p>
        </w:tc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Low-frequency changes as the platform's common-question patterns evolve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3"/>
                <w:szCs w:val="13"/>
              </w:rPr>
              <w:t xml:space="preserve">WorkflowTemplate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Workflow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Configured approval chains per document/item class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ICT Administrator</w:t>
            </w:r>
          </w:p>
        </w:tc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Configured in Sprint 2; changes go through a change-control step since altering a live template affects in-flight WorkflowItem records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3"/>
                <w:szCs w:val="13"/>
              </w:rPr>
              <w:t xml:space="preserve">NotificationTemplate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Notifications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Message templates for the 20 catalogued notification types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ICT Administrator</w:t>
            </w:r>
          </w:p>
        </w:tc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Fixed at implementation per the Notification Catalogue (SRS Part 26); wording revisions permitted without schema change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3"/>
                <w:szCs w:val="13"/>
              </w:rPr>
              <w:t xml:space="preserve">TrainingCourse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Training</w:t>
            </w:r>
          </w:p>
        </w:tc>
        <w:tc>
          <w:tcPr>
            <w:tcW w:type="dxa" w:w="31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The training catalogue (4 tracks per the Methodology's Training Programme)</w:t>
            </w:r>
          </w:p>
        </w:tc>
        <w:tc>
          <w:tcPr>
            <w:tcW w:type="dxa" w:w="146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ICT Administrator / KM Unit</w:t>
            </w:r>
          </w:p>
        </w:tc>
        <w:tc>
          <w:tcPr>
            <w:tcW w:type="dxa" w:w="27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Extended as new training needs are identified post-go-live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Section 7 — Audit Model</w:t>
      </w:r>
    </w:p>
    <w:p>
      <w:pPr>
        <w:spacing w:after="150" w:line="276"/>
        <w:jc w:val="both"/>
      </w:pPr>
      <w:r>
        <w:t xml:space="preserve">Full detail is DDS Part 10. Every transactional table (58 of 62 entities; 4 named exceptions in Part 10.4) carries these six universal fields: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7"/>
        <w:gridCol w:w="1775"/>
        <w:gridCol w:w="835"/>
        <w:gridCol w:w="6473"/>
      </w:tblGrid>
      <w:tr>
        <w:trPr>
          <w:tblHeader/>
        </w:trPr>
        <w:tc>
          <w:tcPr>
            <w:tcW w:type="dxa" w:w="1357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1775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835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Nullable</w:t>
            </w:r>
          </w:p>
        </w:tc>
        <w:tc>
          <w:tcPr>
            <w:tcW w:type="dxa" w:w="6473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Purpose</w:t>
            </w:r>
          </w:p>
        </w:tc>
      </w:tr>
      <w:tr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created_by</w:t>
            </w:r>
          </w:p>
        </w:tc>
        <w:tc>
          <w:tcPr>
            <w:tcW w:type="dxa" w:w="17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UUID (FK → User)</w:t>
            </w:r>
          </w:p>
        </w:tc>
        <w:tc>
          <w:tcPr>
            <w:tcW w:type="dxa" w:w="8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</w:t>
            </w:r>
          </w:p>
        </w:tc>
        <w:tc>
          <w:tcPr>
            <w:tcW w:type="dxa" w:w="64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The user who created the row. System-generated rows (scheduled jobs) reference a reserved system User account rather than leaving this null, so every row has a traceable actor.</w:t>
            </w:r>
          </w:p>
        </w:tc>
      </w:tr>
      <w:tr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created_at</w:t>
            </w:r>
          </w:p>
        </w:tc>
        <w:tc>
          <w:tcPr>
            <w:tcW w:type="dxa" w:w="17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</w:t>
            </w:r>
          </w:p>
        </w:tc>
        <w:tc>
          <w:tcPr>
            <w:tcW w:type="dxa" w:w="64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Server-generated timestamp (now()) at row creation. Never client-supplied, to prevent timestamp manipulation.</w:t>
            </w:r>
          </w:p>
        </w:tc>
      </w:tr>
      <w:tr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updated_by</w:t>
            </w:r>
          </w:p>
        </w:tc>
        <w:tc>
          <w:tcPr>
            <w:tcW w:type="dxa" w:w="17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UUID (FK → User)</w:t>
            </w:r>
          </w:p>
        </w:tc>
        <w:tc>
          <w:tcPr>
            <w:tcW w:type="dxa" w:w="8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Y</w:t>
            </w:r>
          </w:p>
        </w:tc>
        <w:tc>
          <w:tcPr>
            <w:tcW w:type="dxa" w:w="64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The user who most recently modified the row, including the user who soft-deleted it — a deletion is recorded as an update setting deleted_at, so a separate deleted_by column would duplicate updated_by at the moment of deletion and is deliberately not included.</w:t>
            </w:r>
          </w:p>
        </w:tc>
      </w:tr>
      <w:tr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updated_at</w:t>
            </w:r>
          </w:p>
        </w:tc>
        <w:tc>
          <w:tcPr>
            <w:tcW w:type="dxa" w:w="17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Y</w:t>
            </w:r>
          </w:p>
        </w:tc>
        <w:tc>
          <w:tcPr>
            <w:tcW w:type="dxa" w:w="64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Server-generated timestamp of the most recent modification, including soft-deletion.</w:t>
            </w:r>
          </w:p>
        </w:tc>
      </w:tr>
      <w:tr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deleted_at</w:t>
            </w:r>
          </w:p>
        </w:tc>
        <w:tc>
          <w:tcPr>
            <w:tcW w:type="dxa" w:w="17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8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Y</w:t>
            </w:r>
          </w:p>
        </w:tc>
        <w:tc>
          <w:tcPr>
            <w:tcW w:type="dxa" w:w="64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NULL for an active row; populated at the moment of soft-deletion. This nullable timestamp is itself the soft-delete flag — WHERE deleted_at IS NULL is the standard active-row predicate — so a separate boolean soft_delete_flag column is deliberately not included, avoiding the data-drift risk of two columns that must always agree with each other.</w:t>
            </w:r>
          </w:p>
        </w:tc>
      </w:tr>
      <w:tr>
        <w:tc>
          <w:tcPr>
            <w:tcW w:type="dxa" w:w="13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4"/>
                <w:szCs w:val="14"/>
              </w:rPr>
              <w:t xml:space="preserve">version_no</w:t>
            </w:r>
          </w:p>
        </w:tc>
        <w:tc>
          <w:tcPr>
            <w:tcW w:type="dxa" w:w="17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INTEGER, default 1</w:t>
            </w:r>
          </w:p>
        </w:tc>
        <w:tc>
          <w:tcPr>
            <w:tcW w:type="dxa" w:w="8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</w:t>
            </w:r>
          </w:p>
        </w:tc>
        <w:tc>
          <w:tcPr>
            <w:tcW w:type="dxa" w:w="64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Incremented on every update, supporting optimistic concurrency control: an update is rejected if the submitted version_no does not match the current row, preventing silent overwrite when two users edit the same record concurrently — most relevant for Document, Task, and WorkPlan, which SRS Parts 6, 11, and 4 all describe as collaboratively edited.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Section 8 — Security Model</w:t>
      </w:r>
    </w:p>
    <w:p>
      <w:pPr>
        <w:spacing w:after="150" w:line="276"/>
        <w:jc w:val="both"/>
      </w:pPr>
      <w:r>
        <w:t xml:space="preserve">Full detail is DDS Part 11. Eleven fields across the schema are flagged Sensitive and require column-level encryption at rest (Part 11.2-11.3); Row-Level Security policies enforce state-scoping on six entities (Project, Task, Document, Risk, Issue, WorkPlan) and visibility-scoping on CKR content (Part 11.4); password_hash and MFAToken.secret_encrypted are never selectable by any application-level database role (Part 11.5); and audit_log itself permits SELECT only, no UPDATE or DELETE, to any role (Part 11.7).</w:t>
      </w: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Section 9 — Migration Strategy</w:t>
      </w:r>
    </w:p>
    <w:p>
      <w:pPr>
        <w:spacing w:after="150" w:line="276"/>
        <w:jc w:val="both"/>
      </w:pPr>
      <w:r>
        <w:t xml:space="preserve">Full detail is DDS Part 14. Migration is predominantly a content migration (KnowledgeArticle, MediaAsset from existing SAPZ knowledge assets), not a legacy-database migration — there is no existing structured ESM/CKR system to migrate out of. Migrated content is held in draft publication_status pending KM Unit categorisation rather than auto-published, and migration is fully additive (no legacy source is overwritten), making rollback a matter of truncating batch-tagged staging rows.</w:t>
      </w: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Section 10 — Recommended ERD Structure</w:t>
      </w:r>
    </w:p>
    <w:p>
      <w:pPr>
        <w:spacing w:after="150" w:line="276"/>
        <w:jc w:val="both"/>
      </w:pPr>
      <w:r>
        <w:t xml:space="preserve">A single entity-relationship diagram covering all 62 entities and 87 relationships would be unreadable at any usable zoom level. This DDS recommends Antigravity generate one ERD per domain (24 diagrams, matching Section 2 of Part 2's Domain Model) for day-to-day engineering reference, plus three cross-cutting diagrams for onboarding and architecture review:</w:t>
      </w:r>
    </w:p>
    <w:p>
      <w:pPr>
        <w:pStyle w:val="ListParagraph"/>
        <w:numPr>
          <w:ilvl w:val="0"/>
          <w:numId w:val="1"/>
        </w:numPr>
        <w:spacing w:after="110" w:line="264"/>
      </w:pPr>
      <w:r>
        <w:t xml:space="preserve">Core Operational ERD — Project, Task, WorkPlan, Document, WorkflowItem, WorkflowDecision and their immediate relationships — the entities a new engineer needs to understand first, since they cover the majority of the SRS Parts 3-11 functional requirements.</w:t>
      </w:r>
    </w:p>
    <w:p>
      <w:pPr>
        <w:pStyle w:val="ListParagraph"/>
        <w:numPr>
          <w:ilvl w:val="0"/>
          <w:numId w:val="1"/>
        </w:numPr>
        <w:spacing w:after="110" w:line="264"/>
      </w:pPr>
      <w:r>
        <w:t xml:space="preserve">Identity &amp; Security ERD — User, Role, Permission, RolePermission, OrgUnit, MFAToken, AuditLog, SecurityIncident — the cross-cutting access-control model referenced from nearly every other domain.</w:t>
      </w:r>
    </w:p>
    <w:p>
      <w:pPr>
        <w:pStyle w:val="ListParagraph"/>
        <w:numPr>
          <w:ilvl w:val="0"/>
          <w:numId w:val="1"/>
        </w:numPr>
        <w:spacing w:after="110" w:line="264"/>
      </w:pPr>
      <w:r>
        <w:t xml:space="preserve">Content &amp; Knowledge ERD — Document, DocumentVersion, KnowledgeArticle, TaxonomyTerm, MediaAsset, SearchIndexEntry — the CKR-facing content model, including the search synchronisation relationship detailed in Part 12.</w:t>
      </w:r>
    </w:p>
    <w:p>
      <w:pPr>
        <w:pStyle w:val="ListParagraph"/>
        <w:numPr>
          <w:ilvl w:val="0"/>
          <w:numId w:val="1"/>
        </w:numPr>
        <w:spacing w:after="110" w:line="264"/>
      </w:pPr>
      <w:r>
        <w:t xml:space="preserve">Each domain-level ERD (Section 2 grouping) should be auto-generated directly from the schema's actual foreign-key constraints using a standard tool (e.g. SchemaSpy, dbdiagram.io import, or the ORM's own diagram generator) rather than hand-drawn, so the diagrams never drift out of sync with the implemented schema — hand-maintained ERDs are a common source of documentation rot this recommendation is intended to avoid.</w:t>
      </w: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Closing Note</w:t>
      </w:r>
    </w:p>
    <w:p>
      <w:pPr>
        <w:spacing w:after="150" w:line="276"/>
        <w:jc w:val="both"/>
      </w:pPr>
      <w:r>
        <w:t xml:space="preserve">This handoff, together with DDS Parts 1-17 in full and the earlier Antigravity Engineering Handoff Package (built from the SRS), gives the development team everything fixed about this schema and everything still open for implementation-level decision (exact migration tooling, exact ORM, table storage parameters beyond what Part 16 specifies). Where this handoff and an earlier Part appear to conflict, the detailed Part (3-17) is authoritative — this document is a navigation aid and consolidation, not a competing source of truth.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Arial" w:cs="Arial" w:eastAsia="Arial" w:hAnsi="Arial"/>
      <w:b/>
      <w:bCs/>
      <w:color w:val="5C2D91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Arial" w:cs="Arial" w:eastAsia="Arial" w:hAnsi="Arial"/>
      <w:b/>
      <w:bCs/>
      <w:color w:val="7A43B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2026-07-19T09:01:13.720Z</dcterms:created>
  <dcterms:modified xsi:type="dcterms:W3CDTF">2026-07-19T09:01:13.721Z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