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5C2D91"/>
          <w:sz w:val="32"/>
          <w:szCs w:val="32"/>
        </w:rPr>
        <w:t xml:space="preserve">Database Design Specification (DDS)</w:t>
      </w:r>
    </w:p>
    <w:p>
      <w:pPr>
        <w:spacing w:after="60"/>
        <w:jc w:val="center"/>
      </w:pPr>
      <w:r>
        <w:rPr>
          <w:b/>
          <w:bCs/>
          <w:color w:val="7A43B6"/>
          <w:sz w:val="22"/>
          <w:szCs w:val="22"/>
        </w:rPr>
        <w:t xml:space="preserve">Enterprise System Management (ESM) Platform and Central Knowledge Repository (CKR)</w:t>
      </w:r>
    </w:p>
    <w:p>
      <w:pPr>
        <w:spacing w:after="40"/>
        <w:jc w:val="center"/>
      </w:pPr>
      <w:r>
        <w:rPr>
          <w:b/>
          <w:bCs/>
          <w:color w:val="7A43B6"/>
          <w:sz w:val="24"/>
          <w:szCs w:val="24"/>
        </w:rPr>
        <w:t xml:space="preserve">Part 19 — Database Design Review</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5C2D91" w:sz="6" w:space="4"/>
        </w:pBdr>
        <w:spacing w:after="130" w:before="320"/>
      </w:pPr>
      <w:r>
        <w:t xml:space="preserve">19.1 Review Overview</w:t>
      </w:r>
    </w:p>
    <w:p>
      <w:pPr>
        <w:spacing w:after="150" w:line="276"/>
        <w:jc w:val="both"/>
      </w:pPr>
      <w:r>
        <w:t xml:space="preserve">This closing Part performs the quality-assurance pass required by the DDS brief: verifying traceability, eliminating redundancy, validating naming consistency and normalisation decisions, and surfacing every assumption made during the design so the reviewing engineering team inherits an explicit list rather than needs to reverse-engineer this DDS's reasoning from 18 Parts of prose.</w:t>
      </w:r>
    </w:p>
    <w:p>
      <w:pPr>
        <w:pStyle w:val="Heading1"/>
        <w:pBdr>
          <w:bottom w:val="single" w:color="5C2D91" w:sz="6" w:space="4"/>
        </w:pBdr>
        <w:spacing w:after="130" w:before="320"/>
      </w:pPr>
      <w:r>
        <w:t xml:space="preserve">19.2 Traceability Check</w:t>
      </w:r>
    </w:p>
    <w:p>
      <w:pPr>
        <w:spacing w:after="150" w:line="276"/>
        <w:jc w:val="both"/>
      </w:pPr>
      <w:r>
        <w:t xml:space="preserve">Every one of the 24 domains in Section 2 carries an explicit SRS/PDD/EA Blueprint reference (verified programmatically against the domain dataset that generated Sections 2-4 of this DDS — no domain lacks a source reference). Every one of the 62 entities in Section 3 inherits its domain's traceability and additionally states its own business purpose in the entity's own words, so a reviewer can verify the entity is not merely domain-adjacent but individually justified. The one domain with a qualified reference is Domain 22 (AI Assistant, Phase 2) — traced to SRS Part 22 and Part 38 specifically as a Phase 2 item, not a Phase 1 requirement, which is the correct and intentional traceability status for that domain, not a gap.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385"/>
        <w:gridCol w:w="1462"/>
        <w:gridCol w:w="4594"/>
      </w:tblGrid>
      <w:tr>
        <w:trPr>
          <w:tblHeader/>
        </w:trPr>
        <w:tc>
          <w:tcPr>
            <w:tcW w:type="dxa" w:w="4385"/>
            <w:shd w:fill="5C2D91" w:val="clear"/>
            <w:tcMar>
              <w:top w:type="dxa" w:w="50"/>
              <w:left w:type="dxa" w:w="80"/>
              <w:bottom w:type="dxa" w:w="50"/>
              <w:right w:type="dxa" w:w="80"/>
            </w:tcMar>
            <w:vAlign w:val="top"/>
          </w:tcPr>
          <w:p>
            <w:r>
              <w:rPr>
                <w:b/>
                <w:bCs/>
                <w:color w:val="FFFFFF"/>
                <w:sz w:val="15"/>
                <w:szCs w:val="15"/>
              </w:rPr>
              <w:t xml:space="preserve">Domain</w:t>
            </w:r>
          </w:p>
        </w:tc>
        <w:tc>
          <w:tcPr>
            <w:tcW w:type="dxa" w:w="1462"/>
            <w:shd w:fill="5C2D91" w:val="clear"/>
            <w:tcMar>
              <w:top w:type="dxa" w:w="50"/>
              <w:left w:type="dxa" w:w="80"/>
              <w:bottom w:type="dxa" w:w="50"/>
              <w:right w:type="dxa" w:w="80"/>
            </w:tcMar>
            <w:vAlign w:val="top"/>
          </w:tcPr>
          <w:p>
            <w:r>
              <w:rPr>
                <w:b/>
                <w:bCs/>
                <w:color w:val="FFFFFF"/>
                <w:sz w:val="15"/>
                <w:szCs w:val="15"/>
              </w:rPr>
              <w:t xml:space="preserve">Entities</w:t>
            </w:r>
          </w:p>
        </w:tc>
        <w:tc>
          <w:tcPr>
            <w:tcW w:type="dxa" w:w="4594"/>
            <w:shd w:fill="5C2D91" w:val="clear"/>
            <w:tcMar>
              <w:top w:type="dxa" w:w="50"/>
              <w:left w:type="dxa" w:w="80"/>
              <w:bottom w:type="dxa" w:w="50"/>
              <w:right w:type="dxa" w:w="80"/>
            </w:tcMar>
            <w:vAlign w:val="top"/>
          </w:tcPr>
          <w:p>
            <w:r>
              <w:rPr>
                <w:b/>
                <w:bCs/>
                <w:color w:val="FFFFFF"/>
                <w:sz w:val="15"/>
                <w:szCs w:val="15"/>
              </w:rPr>
              <w:t xml:space="preserve">Traced To</w:t>
            </w:r>
          </w:p>
        </w:tc>
      </w:tr>
      <w:tr>
        <w:tc>
          <w:tcPr>
            <w:tcW w:type="dxa" w:w="4385"/>
            <w:tcMar>
              <w:top w:type="dxa" w:w="50"/>
              <w:left w:type="dxa" w:w="80"/>
              <w:bottom w:type="dxa" w:w="50"/>
              <w:right w:type="dxa" w:w="80"/>
            </w:tcMar>
            <w:vAlign w:val="top"/>
          </w:tcPr>
          <w:p>
            <w:r>
              <w:rPr>
                <w:b/>
                <w:bCs/>
                <w:color w:val="000000"/>
                <w:sz w:val="15"/>
                <w:szCs w:val="15"/>
              </w:rPr>
              <w:t xml:space="preserve">Identity &amp; Access</w:t>
            </w:r>
          </w:p>
        </w:tc>
        <w:tc>
          <w:tcPr>
            <w:tcW w:type="dxa" w:w="1462"/>
            <w:tcMar>
              <w:top w:type="dxa" w:w="50"/>
              <w:left w:type="dxa" w:w="80"/>
              <w:bottom w:type="dxa" w:w="50"/>
              <w:right w:type="dxa" w:w="80"/>
            </w:tcMar>
            <w:vAlign w:val="top"/>
          </w:tcPr>
          <w:p>
            <w:r>
              <w:rPr>
                <w:b w:val="false"/>
                <w:bCs w:val="false"/>
                <w:color w:val="000000"/>
                <w:sz w:val="15"/>
                <w:szCs w:val="15"/>
              </w:rPr>
              <w:t xml:space="preserve">5</w:t>
            </w:r>
          </w:p>
        </w:tc>
        <w:tc>
          <w:tcPr>
            <w:tcW w:type="dxa" w:w="4594"/>
            <w:tcMar>
              <w:top w:type="dxa" w:w="50"/>
              <w:left w:type="dxa" w:w="80"/>
              <w:bottom w:type="dxa" w:w="50"/>
              <w:right w:type="dxa" w:w="80"/>
            </w:tcMar>
            <w:vAlign w:val="top"/>
          </w:tcPr>
          <w:p>
            <w:r>
              <w:rPr>
                <w:b w:val="false"/>
                <w:bCs w:val="false"/>
                <w:color w:val="000000"/>
                <w:sz w:val="15"/>
                <w:szCs w:val="15"/>
              </w:rPr>
              <w:t xml:space="preserve">SRS Part 2, Part 9, Part 10</w:t>
            </w:r>
          </w:p>
        </w:tc>
      </w:tr>
      <w:tr>
        <w:tc>
          <w:tcPr>
            <w:tcW w:type="dxa" w:w="4385"/>
            <w:tcMar>
              <w:top w:type="dxa" w:w="50"/>
              <w:left w:type="dxa" w:w="80"/>
              <w:bottom w:type="dxa" w:w="50"/>
              <w:right w:type="dxa" w:w="80"/>
            </w:tcMar>
            <w:vAlign w:val="top"/>
          </w:tcPr>
          <w:p>
            <w:r>
              <w:rPr>
                <w:b/>
                <w:bCs/>
                <w:color w:val="000000"/>
                <w:sz w:val="15"/>
                <w:szCs w:val="15"/>
              </w:rPr>
              <w:t xml:space="preserve">Organizations &amp; Reference</w:t>
            </w:r>
          </w:p>
        </w:tc>
        <w:tc>
          <w:tcPr>
            <w:tcW w:type="dxa" w:w="1462"/>
            <w:tcMar>
              <w:top w:type="dxa" w:w="50"/>
              <w:left w:type="dxa" w:w="80"/>
              <w:bottom w:type="dxa" w:w="50"/>
              <w:right w:type="dxa" w:w="80"/>
            </w:tcMar>
            <w:vAlign w:val="top"/>
          </w:tcPr>
          <w:p>
            <w:r>
              <w:rPr>
                <w:b w:val="false"/>
                <w:bCs w:val="false"/>
                <w:color w:val="000000"/>
                <w:sz w:val="15"/>
                <w:szCs w:val="15"/>
              </w:rPr>
              <w:t xml:space="preserve">3</w:t>
            </w:r>
          </w:p>
        </w:tc>
        <w:tc>
          <w:tcPr>
            <w:tcW w:type="dxa" w:w="4594"/>
            <w:tcMar>
              <w:top w:type="dxa" w:w="50"/>
              <w:left w:type="dxa" w:w="80"/>
              <w:bottom w:type="dxa" w:w="50"/>
              <w:right w:type="dxa" w:w="80"/>
            </w:tcMar>
            <w:vAlign w:val="top"/>
          </w:tcPr>
          <w:p>
            <w:r>
              <w:rPr>
                <w:b w:val="false"/>
                <w:bCs w:val="false"/>
                <w:color w:val="000000"/>
                <w:sz w:val="15"/>
                <w:szCs w:val="15"/>
              </w:rPr>
              <w:t xml:space="preserve">SRS Part 2, Part 10</w:t>
            </w:r>
          </w:p>
        </w:tc>
      </w:tr>
      <w:tr>
        <w:tc>
          <w:tcPr>
            <w:tcW w:type="dxa" w:w="4385"/>
            <w:tcMar>
              <w:top w:type="dxa" w:w="50"/>
              <w:left w:type="dxa" w:w="80"/>
              <w:bottom w:type="dxa" w:w="50"/>
              <w:right w:type="dxa" w:w="80"/>
            </w:tcMar>
            <w:vAlign w:val="top"/>
          </w:tcPr>
          <w:p>
            <w:r>
              <w:rPr>
                <w:b/>
                <w:bCs/>
                <w:color w:val="000000"/>
                <w:sz w:val="15"/>
                <w:szCs w:val="15"/>
              </w:rPr>
              <w:t xml:space="preserve">Executive Oversight</w:t>
            </w:r>
          </w:p>
        </w:tc>
        <w:tc>
          <w:tcPr>
            <w:tcW w:type="dxa" w:w="1462"/>
            <w:tcMar>
              <w:top w:type="dxa" w:w="50"/>
              <w:left w:type="dxa" w:w="80"/>
              <w:bottom w:type="dxa" w:w="50"/>
              <w:right w:type="dxa" w:w="80"/>
            </w:tcMar>
            <w:vAlign w:val="top"/>
          </w:tcPr>
          <w:p>
            <w:r>
              <w:rPr>
                <w:b w:val="false"/>
                <w:bCs w:val="false"/>
                <w:color w:val="000000"/>
                <w:sz w:val="15"/>
                <w:szCs w:val="15"/>
              </w:rPr>
              <w:t xml:space="preserve">2</w:t>
            </w:r>
          </w:p>
        </w:tc>
        <w:tc>
          <w:tcPr>
            <w:tcW w:type="dxa" w:w="4594"/>
            <w:tcMar>
              <w:top w:type="dxa" w:w="50"/>
              <w:left w:type="dxa" w:w="80"/>
              <w:bottom w:type="dxa" w:w="50"/>
              <w:right w:type="dxa" w:w="80"/>
            </w:tcMar>
            <w:vAlign w:val="top"/>
          </w:tcPr>
          <w:p>
            <w:r>
              <w:rPr>
                <w:b w:val="false"/>
                <w:bCs w:val="false"/>
                <w:color w:val="000000"/>
                <w:sz w:val="15"/>
                <w:szCs w:val="15"/>
              </w:rPr>
              <w:t xml:space="preserve">SRS Part 3</w:t>
            </w:r>
          </w:p>
        </w:tc>
      </w:tr>
      <w:tr>
        <w:tc>
          <w:tcPr>
            <w:tcW w:type="dxa" w:w="4385"/>
            <w:tcMar>
              <w:top w:type="dxa" w:w="50"/>
              <w:left w:type="dxa" w:w="80"/>
              <w:bottom w:type="dxa" w:w="50"/>
              <w:right w:type="dxa" w:w="80"/>
            </w:tcMar>
            <w:vAlign w:val="top"/>
          </w:tcPr>
          <w:p>
            <w:r>
              <w:rPr>
                <w:b/>
                <w:bCs/>
                <w:color w:val="000000"/>
                <w:sz w:val="15"/>
                <w:szCs w:val="15"/>
              </w:rPr>
              <w:t xml:space="preserve">Programme Management</w:t>
            </w:r>
          </w:p>
        </w:tc>
        <w:tc>
          <w:tcPr>
            <w:tcW w:type="dxa" w:w="1462"/>
            <w:tcMar>
              <w:top w:type="dxa" w:w="50"/>
              <w:left w:type="dxa" w:w="80"/>
              <w:bottom w:type="dxa" w:w="50"/>
              <w:right w:type="dxa" w:w="80"/>
            </w:tcMar>
            <w:vAlign w:val="top"/>
          </w:tcPr>
          <w:p>
            <w:r>
              <w:rPr>
                <w:b w:val="false"/>
                <w:bCs w:val="false"/>
                <w:color w:val="000000"/>
                <w:sz w:val="15"/>
                <w:szCs w:val="15"/>
              </w:rPr>
              <w:t xml:space="preserve">3</w:t>
            </w:r>
          </w:p>
        </w:tc>
        <w:tc>
          <w:tcPr>
            <w:tcW w:type="dxa" w:w="4594"/>
            <w:tcMar>
              <w:top w:type="dxa" w:w="50"/>
              <w:left w:type="dxa" w:w="80"/>
              <w:bottom w:type="dxa" w:w="50"/>
              <w:right w:type="dxa" w:w="80"/>
            </w:tcMar>
            <w:vAlign w:val="top"/>
          </w:tcPr>
          <w:p>
            <w:r>
              <w:rPr>
                <w:b w:val="false"/>
                <w:bCs w:val="false"/>
                <w:color w:val="000000"/>
                <w:sz w:val="15"/>
                <w:szCs w:val="15"/>
              </w:rPr>
              <w:t xml:space="preserve">SRS Part 4</w:t>
            </w:r>
          </w:p>
        </w:tc>
      </w:tr>
      <w:tr>
        <w:tc>
          <w:tcPr>
            <w:tcW w:type="dxa" w:w="4385"/>
            <w:tcMar>
              <w:top w:type="dxa" w:w="50"/>
              <w:left w:type="dxa" w:w="80"/>
              <w:bottom w:type="dxa" w:w="50"/>
              <w:right w:type="dxa" w:w="80"/>
            </w:tcMar>
            <w:vAlign w:val="top"/>
          </w:tcPr>
          <w:p>
            <w:r>
              <w:rPr>
                <w:b/>
                <w:bCs/>
                <w:color w:val="000000"/>
                <w:sz w:val="15"/>
                <w:szCs w:val="15"/>
              </w:rPr>
              <w:t xml:space="preserve">Projects</w:t>
            </w:r>
          </w:p>
        </w:tc>
        <w:tc>
          <w:tcPr>
            <w:tcW w:type="dxa" w:w="1462"/>
            <w:tcMar>
              <w:top w:type="dxa" w:w="50"/>
              <w:left w:type="dxa" w:w="80"/>
              <w:bottom w:type="dxa" w:w="50"/>
              <w:right w:type="dxa" w:w="80"/>
            </w:tcMar>
            <w:vAlign w:val="top"/>
          </w:tcPr>
          <w:p>
            <w:r>
              <w:rPr>
                <w:b w:val="false"/>
                <w:bCs w:val="false"/>
                <w:color w:val="000000"/>
                <w:sz w:val="15"/>
                <w:szCs w:val="15"/>
              </w:rPr>
              <w:t xml:space="preserve">3</w:t>
            </w:r>
          </w:p>
        </w:tc>
        <w:tc>
          <w:tcPr>
            <w:tcW w:type="dxa" w:w="4594"/>
            <w:tcMar>
              <w:top w:type="dxa" w:w="50"/>
              <w:left w:type="dxa" w:w="80"/>
              <w:bottom w:type="dxa" w:w="50"/>
              <w:right w:type="dxa" w:w="80"/>
            </w:tcMar>
            <w:vAlign w:val="top"/>
          </w:tcPr>
          <w:p>
            <w:r>
              <w:rPr>
                <w:b w:val="false"/>
                <w:bCs w:val="false"/>
                <w:color w:val="000000"/>
                <w:sz w:val="15"/>
                <w:szCs w:val="15"/>
              </w:rPr>
              <w:t xml:space="preserve">SRS Part 5</w:t>
            </w:r>
          </w:p>
        </w:tc>
      </w:tr>
      <w:tr>
        <w:tc>
          <w:tcPr>
            <w:tcW w:type="dxa" w:w="4385"/>
            <w:tcMar>
              <w:top w:type="dxa" w:w="50"/>
              <w:left w:type="dxa" w:w="80"/>
              <w:bottom w:type="dxa" w:w="50"/>
              <w:right w:type="dxa" w:w="80"/>
            </w:tcMar>
            <w:vAlign w:val="top"/>
          </w:tcPr>
          <w:p>
            <w:r>
              <w:rPr>
                <w:b/>
                <w:bCs/>
                <w:color w:val="000000"/>
                <w:sz w:val="15"/>
                <w:szCs w:val="15"/>
              </w:rPr>
              <w:t xml:space="preserve">Tasks</w:t>
            </w:r>
          </w:p>
        </w:tc>
        <w:tc>
          <w:tcPr>
            <w:tcW w:type="dxa" w:w="1462"/>
            <w:tcMar>
              <w:top w:type="dxa" w:w="50"/>
              <w:left w:type="dxa" w:w="80"/>
              <w:bottom w:type="dxa" w:w="50"/>
              <w:right w:type="dxa" w:w="80"/>
            </w:tcMar>
            <w:vAlign w:val="top"/>
          </w:tcPr>
          <w:p>
            <w:r>
              <w:rPr>
                <w:b w:val="false"/>
                <w:bCs w:val="false"/>
                <w:color w:val="000000"/>
                <w:sz w:val="15"/>
                <w:szCs w:val="15"/>
              </w:rPr>
              <w:t xml:space="preserve">3</w:t>
            </w:r>
          </w:p>
        </w:tc>
        <w:tc>
          <w:tcPr>
            <w:tcW w:type="dxa" w:w="4594"/>
            <w:tcMar>
              <w:top w:type="dxa" w:w="50"/>
              <w:left w:type="dxa" w:w="80"/>
              <w:bottom w:type="dxa" w:w="50"/>
              <w:right w:type="dxa" w:w="80"/>
            </w:tcMar>
            <w:vAlign w:val="top"/>
          </w:tcPr>
          <w:p>
            <w:r>
              <w:rPr>
                <w:b w:val="false"/>
                <w:bCs w:val="false"/>
                <w:color w:val="000000"/>
                <w:sz w:val="15"/>
                <w:szCs w:val="15"/>
              </w:rPr>
              <w:t xml:space="preserve">SRS Part 6</w:t>
            </w:r>
          </w:p>
        </w:tc>
      </w:tr>
      <w:tr>
        <w:tc>
          <w:tcPr>
            <w:tcW w:type="dxa" w:w="4385"/>
            <w:tcMar>
              <w:top w:type="dxa" w:w="50"/>
              <w:left w:type="dxa" w:w="80"/>
              <w:bottom w:type="dxa" w:w="50"/>
              <w:right w:type="dxa" w:w="80"/>
            </w:tcMar>
            <w:vAlign w:val="top"/>
          </w:tcPr>
          <w:p>
            <w:r>
              <w:rPr>
                <w:b/>
                <w:bCs/>
                <w:color w:val="000000"/>
                <w:sz w:val="15"/>
                <w:szCs w:val="15"/>
              </w:rPr>
              <w:t xml:space="preserve">Workflow</w:t>
            </w:r>
          </w:p>
        </w:tc>
        <w:tc>
          <w:tcPr>
            <w:tcW w:type="dxa" w:w="1462"/>
            <w:tcMar>
              <w:top w:type="dxa" w:w="50"/>
              <w:left w:type="dxa" w:w="80"/>
              <w:bottom w:type="dxa" w:w="50"/>
              <w:right w:type="dxa" w:w="80"/>
            </w:tcMar>
            <w:vAlign w:val="top"/>
          </w:tcPr>
          <w:p>
            <w:r>
              <w:rPr>
                <w:b w:val="false"/>
                <w:bCs w:val="false"/>
                <w:color w:val="000000"/>
                <w:sz w:val="15"/>
                <w:szCs w:val="15"/>
              </w:rPr>
              <w:t xml:space="preserve">3</w:t>
            </w:r>
          </w:p>
        </w:tc>
        <w:tc>
          <w:tcPr>
            <w:tcW w:type="dxa" w:w="4594"/>
            <w:tcMar>
              <w:top w:type="dxa" w:w="50"/>
              <w:left w:type="dxa" w:w="80"/>
              <w:bottom w:type="dxa" w:w="50"/>
              <w:right w:type="dxa" w:w="80"/>
            </w:tcMar>
            <w:vAlign w:val="top"/>
          </w:tcPr>
          <w:p>
            <w:r>
              <w:rPr>
                <w:b w:val="false"/>
                <w:bCs w:val="false"/>
                <w:color w:val="000000"/>
                <w:sz w:val="15"/>
                <w:szCs w:val="15"/>
              </w:rPr>
              <w:t xml:space="preserve">SRS Part 7</w:t>
            </w:r>
          </w:p>
        </w:tc>
      </w:tr>
      <w:tr>
        <w:tc>
          <w:tcPr>
            <w:tcW w:type="dxa" w:w="4385"/>
            <w:tcMar>
              <w:top w:type="dxa" w:w="50"/>
              <w:left w:type="dxa" w:w="80"/>
              <w:bottom w:type="dxa" w:w="50"/>
              <w:right w:type="dxa" w:w="80"/>
            </w:tcMar>
            <w:vAlign w:val="top"/>
          </w:tcPr>
          <w:p>
            <w:r>
              <w:rPr>
                <w:b/>
                <w:bCs/>
                <w:color w:val="000000"/>
                <w:sz w:val="15"/>
                <w:szCs w:val="15"/>
              </w:rPr>
              <w:t xml:space="preserve">Approvals</w:t>
            </w:r>
          </w:p>
        </w:tc>
        <w:tc>
          <w:tcPr>
            <w:tcW w:type="dxa" w:w="1462"/>
            <w:tcMar>
              <w:top w:type="dxa" w:w="50"/>
              <w:left w:type="dxa" w:w="80"/>
              <w:bottom w:type="dxa" w:w="50"/>
              <w:right w:type="dxa" w:w="80"/>
            </w:tcMar>
            <w:vAlign w:val="top"/>
          </w:tcPr>
          <w:p>
            <w:r>
              <w:rPr>
                <w:b w:val="false"/>
                <w:bCs w:val="false"/>
                <w:color w:val="000000"/>
                <w:sz w:val="15"/>
                <w:szCs w:val="15"/>
              </w:rPr>
              <w:t xml:space="preserve">2</w:t>
            </w:r>
          </w:p>
        </w:tc>
        <w:tc>
          <w:tcPr>
            <w:tcW w:type="dxa" w:w="4594"/>
            <w:tcMar>
              <w:top w:type="dxa" w:w="50"/>
              <w:left w:type="dxa" w:w="80"/>
              <w:bottom w:type="dxa" w:w="50"/>
              <w:right w:type="dxa" w:w="80"/>
            </w:tcMar>
            <w:vAlign w:val="top"/>
          </w:tcPr>
          <w:p>
            <w:r>
              <w:rPr>
                <w:b w:val="false"/>
                <w:bCs w:val="false"/>
                <w:color w:val="000000"/>
                <w:sz w:val="15"/>
                <w:szCs w:val="15"/>
              </w:rPr>
              <w:t xml:space="preserve">SRS Part 8</w:t>
            </w:r>
          </w:p>
        </w:tc>
      </w:tr>
      <w:tr>
        <w:tc>
          <w:tcPr>
            <w:tcW w:type="dxa" w:w="4385"/>
            <w:tcMar>
              <w:top w:type="dxa" w:w="50"/>
              <w:left w:type="dxa" w:w="80"/>
              <w:bottom w:type="dxa" w:w="50"/>
              <w:right w:type="dxa" w:w="80"/>
            </w:tcMar>
            <w:vAlign w:val="top"/>
          </w:tcPr>
          <w:p>
            <w:r>
              <w:rPr>
                <w:b/>
                <w:bCs/>
                <w:color w:val="000000"/>
                <w:sz w:val="15"/>
                <w:szCs w:val="15"/>
              </w:rPr>
              <w:t xml:space="preserve">Security</w:t>
            </w:r>
          </w:p>
        </w:tc>
        <w:tc>
          <w:tcPr>
            <w:tcW w:type="dxa" w:w="1462"/>
            <w:tcMar>
              <w:top w:type="dxa" w:w="50"/>
              <w:left w:type="dxa" w:w="80"/>
              <w:bottom w:type="dxa" w:w="50"/>
              <w:right w:type="dxa" w:w="80"/>
            </w:tcMar>
            <w:vAlign w:val="top"/>
          </w:tcPr>
          <w:p>
            <w:r>
              <w:rPr>
                <w:b w:val="false"/>
                <w:bCs w:val="false"/>
                <w:color w:val="000000"/>
                <w:sz w:val="15"/>
                <w:szCs w:val="15"/>
              </w:rPr>
              <w:t xml:space="preserve">2</w:t>
            </w:r>
          </w:p>
        </w:tc>
        <w:tc>
          <w:tcPr>
            <w:tcW w:type="dxa" w:w="4594"/>
            <w:tcMar>
              <w:top w:type="dxa" w:w="50"/>
              <w:left w:type="dxa" w:w="80"/>
              <w:bottom w:type="dxa" w:w="50"/>
              <w:right w:type="dxa" w:w="80"/>
            </w:tcMar>
            <w:vAlign w:val="top"/>
          </w:tcPr>
          <w:p>
            <w:r>
              <w:rPr>
                <w:b w:val="false"/>
                <w:bCs w:val="false"/>
                <w:color w:val="000000"/>
                <w:sz w:val="15"/>
                <w:szCs w:val="15"/>
              </w:rPr>
              <w:t xml:space="preserve">SRS Part 9, Part 32</w:t>
            </w:r>
          </w:p>
        </w:tc>
      </w:tr>
      <w:tr>
        <w:tc>
          <w:tcPr>
            <w:tcW w:type="dxa" w:w="4385"/>
            <w:tcMar>
              <w:top w:type="dxa" w:w="50"/>
              <w:left w:type="dxa" w:w="80"/>
              <w:bottom w:type="dxa" w:w="50"/>
              <w:right w:type="dxa" w:w="80"/>
            </w:tcMar>
            <w:vAlign w:val="top"/>
          </w:tcPr>
          <w:p>
            <w:r>
              <w:rPr>
                <w:b/>
                <w:bCs/>
                <w:color w:val="000000"/>
                <w:sz w:val="15"/>
                <w:szCs w:val="15"/>
              </w:rPr>
              <w:t xml:space="preserve">Administration</w:t>
            </w:r>
          </w:p>
        </w:tc>
        <w:tc>
          <w:tcPr>
            <w:tcW w:type="dxa" w:w="1462"/>
            <w:tcMar>
              <w:top w:type="dxa" w:w="50"/>
              <w:left w:type="dxa" w:w="80"/>
              <w:bottom w:type="dxa" w:w="50"/>
              <w:right w:type="dxa" w:w="80"/>
            </w:tcMar>
            <w:vAlign w:val="top"/>
          </w:tcPr>
          <w:p>
            <w:r>
              <w:rPr>
                <w:b w:val="false"/>
                <w:bCs w:val="false"/>
                <w:color w:val="000000"/>
                <w:sz w:val="15"/>
                <w:szCs w:val="15"/>
              </w:rPr>
              <w:t xml:space="preserve">2</w:t>
            </w:r>
          </w:p>
        </w:tc>
        <w:tc>
          <w:tcPr>
            <w:tcW w:type="dxa" w:w="4594"/>
            <w:tcMar>
              <w:top w:type="dxa" w:w="50"/>
              <w:left w:type="dxa" w:w="80"/>
              <w:bottom w:type="dxa" w:w="50"/>
              <w:right w:type="dxa" w:w="80"/>
            </w:tcMar>
            <w:vAlign w:val="top"/>
          </w:tcPr>
          <w:p>
            <w:r>
              <w:rPr>
                <w:b w:val="false"/>
                <w:bCs w:val="false"/>
                <w:color w:val="000000"/>
                <w:sz w:val="15"/>
                <w:szCs w:val="15"/>
              </w:rPr>
              <w:t xml:space="preserve">SRS Part 10</w:t>
            </w:r>
          </w:p>
        </w:tc>
      </w:tr>
      <w:tr>
        <w:tc>
          <w:tcPr>
            <w:tcW w:type="dxa" w:w="4385"/>
            <w:tcMar>
              <w:top w:type="dxa" w:w="50"/>
              <w:left w:type="dxa" w:w="80"/>
              <w:bottom w:type="dxa" w:w="50"/>
              <w:right w:type="dxa" w:w="80"/>
            </w:tcMar>
            <w:vAlign w:val="top"/>
          </w:tcPr>
          <w:p>
            <w:r>
              <w:rPr>
                <w:b/>
                <w:bCs/>
                <w:color w:val="000000"/>
                <w:sz w:val="15"/>
                <w:szCs w:val="15"/>
              </w:rPr>
              <w:t xml:space="preserve">Documents</w:t>
            </w:r>
          </w:p>
        </w:tc>
        <w:tc>
          <w:tcPr>
            <w:tcW w:type="dxa" w:w="1462"/>
            <w:tcMar>
              <w:top w:type="dxa" w:w="50"/>
              <w:left w:type="dxa" w:w="80"/>
              <w:bottom w:type="dxa" w:w="50"/>
              <w:right w:type="dxa" w:w="80"/>
            </w:tcMar>
            <w:vAlign w:val="top"/>
          </w:tcPr>
          <w:p>
            <w:r>
              <w:rPr>
                <w:b w:val="false"/>
                <w:bCs w:val="false"/>
                <w:color w:val="000000"/>
                <w:sz w:val="15"/>
                <w:szCs w:val="15"/>
              </w:rPr>
              <w:t xml:space="preserve">3</w:t>
            </w:r>
          </w:p>
        </w:tc>
        <w:tc>
          <w:tcPr>
            <w:tcW w:type="dxa" w:w="4594"/>
            <w:tcMar>
              <w:top w:type="dxa" w:w="50"/>
              <w:left w:type="dxa" w:w="80"/>
              <w:bottom w:type="dxa" w:w="50"/>
              <w:right w:type="dxa" w:w="80"/>
            </w:tcMar>
            <w:vAlign w:val="top"/>
          </w:tcPr>
          <w:p>
            <w:r>
              <w:rPr>
                <w:b w:val="false"/>
                <w:bCs w:val="false"/>
                <w:color w:val="000000"/>
                <w:sz w:val="15"/>
                <w:szCs w:val="15"/>
              </w:rPr>
              <w:t xml:space="preserve">SRS Part 11</w:t>
            </w:r>
          </w:p>
        </w:tc>
      </w:tr>
      <w:tr>
        <w:tc>
          <w:tcPr>
            <w:tcW w:type="dxa" w:w="4385"/>
            <w:tcMar>
              <w:top w:type="dxa" w:w="50"/>
              <w:left w:type="dxa" w:w="80"/>
              <w:bottom w:type="dxa" w:w="50"/>
              <w:right w:type="dxa" w:w="80"/>
            </w:tcMar>
            <w:vAlign w:val="top"/>
          </w:tcPr>
          <w:p>
            <w:r>
              <w:rPr>
                <w:b/>
                <w:bCs/>
                <w:color w:val="000000"/>
                <w:sz w:val="15"/>
                <w:szCs w:val="15"/>
              </w:rPr>
              <w:t xml:space="preserve">Knowledge Repository</w:t>
            </w:r>
          </w:p>
        </w:tc>
        <w:tc>
          <w:tcPr>
            <w:tcW w:type="dxa" w:w="1462"/>
            <w:tcMar>
              <w:top w:type="dxa" w:w="50"/>
              <w:left w:type="dxa" w:w="80"/>
              <w:bottom w:type="dxa" w:w="50"/>
              <w:right w:type="dxa" w:w="80"/>
            </w:tcMar>
            <w:vAlign w:val="top"/>
          </w:tcPr>
          <w:p>
            <w:r>
              <w:rPr>
                <w:b w:val="false"/>
                <w:bCs w:val="false"/>
                <w:color w:val="000000"/>
                <w:sz w:val="15"/>
                <w:szCs w:val="15"/>
              </w:rPr>
              <w:t xml:space="preserve">3</w:t>
            </w:r>
          </w:p>
        </w:tc>
        <w:tc>
          <w:tcPr>
            <w:tcW w:type="dxa" w:w="4594"/>
            <w:tcMar>
              <w:top w:type="dxa" w:w="50"/>
              <w:left w:type="dxa" w:w="80"/>
              <w:bottom w:type="dxa" w:w="50"/>
              <w:right w:type="dxa" w:w="80"/>
            </w:tcMar>
            <w:vAlign w:val="top"/>
          </w:tcPr>
          <w:p>
            <w:r>
              <w:rPr>
                <w:b w:val="false"/>
                <w:bCs w:val="false"/>
                <w:color w:val="000000"/>
                <w:sz w:val="15"/>
                <w:szCs w:val="15"/>
              </w:rPr>
              <w:t xml:space="preserve">SRS Part 12</w:t>
            </w:r>
          </w:p>
        </w:tc>
      </w:tr>
      <w:tr>
        <w:tc>
          <w:tcPr>
            <w:tcW w:type="dxa" w:w="4385"/>
            <w:tcMar>
              <w:top w:type="dxa" w:w="50"/>
              <w:left w:type="dxa" w:w="80"/>
              <w:bottom w:type="dxa" w:w="50"/>
              <w:right w:type="dxa" w:w="80"/>
            </w:tcMar>
            <w:vAlign w:val="top"/>
          </w:tcPr>
          <w:p>
            <w:r>
              <w:rPr>
                <w:b/>
                <w:bCs/>
                <w:color w:val="000000"/>
                <w:sz w:val="15"/>
                <w:szCs w:val="15"/>
              </w:rPr>
              <w:t xml:space="preserve">Media</w:t>
            </w:r>
          </w:p>
        </w:tc>
        <w:tc>
          <w:tcPr>
            <w:tcW w:type="dxa" w:w="1462"/>
            <w:tcMar>
              <w:top w:type="dxa" w:w="50"/>
              <w:left w:type="dxa" w:w="80"/>
              <w:bottom w:type="dxa" w:w="50"/>
              <w:right w:type="dxa" w:w="80"/>
            </w:tcMar>
            <w:vAlign w:val="top"/>
          </w:tcPr>
          <w:p>
            <w:r>
              <w:rPr>
                <w:b w:val="false"/>
                <w:bCs w:val="false"/>
                <w:color w:val="000000"/>
                <w:sz w:val="15"/>
                <w:szCs w:val="15"/>
              </w:rPr>
              <w:t xml:space="preserve">2</w:t>
            </w:r>
          </w:p>
        </w:tc>
        <w:tc>
          <w:tcPr>
            <w:tcW w:type="dxa" w:w="4594"/>
            <w:tcMar>
              <w:top w:type="dxa" w:w="50"/>
              <w:left w:type="dxa" w:w="80"/>
              <w:bottom w:type="dxa" w:w="50"/>
              <w:right w:type="dxa" w:w="80"/>
            </w:tcMar>
            <w:vAlign w:val="top"/>
          </w:tcPr>
          <w:p>
            <w:r>
              <w:rPr>
                <w:b w:val="false"/>
                <w:bCs w:val="false"/>
                <w:color w:val="000000"/>
                <w:sz w:val="15"/>
                <w:szCs w:val="15"/>
              </w:rPr>
              <w:t xml:space="preserve">SRS Part 13</w:t>
            </w:r>
          </w:p>
        </w:tc>
      </w:tr>
      <w:tr>
        <w:tc>
          <w:tcPr>
            <w:tcW w:type="dxa" w:w="4385"/>
            <w:tcMar>
              <w:top w:type="dxa" w:w="50"/>
              <w:left w:type="dxa" w:w="80"/>
              <w:bottom w:type="dxa" w:w="50"/>
              <w:right w:type="dxa" w:w="80"/>
            </w:tcMar>
            <w:vAlign w:val="top"/>
          </w:tcPr>
          <w:p>
            <w:r>
              <w:rPr>
                <w:b/>
                <w:bCs/>
                <w:color w:val="000000"/>
                <w:sz w:val="15"/>
                <w:szCs w:val="15"/>
              </w:rPr>
              <w:t xml:space="preserve">Search</w:t>
            </w:r>
          </w:p>
        </w:tc>
        <w:tc>
          <w:tcPr>
            <w:tcW w:type="dxa" w:w="1462"/>
            <w:tcMar>
              <w:top w:type="dxa" w:w="50"/>
              <w:left w:type="dxa" w:w="80"/>
              <w:bottom w:type="dxa" w:w="50"/>
              <w:right w:type="dxa" w:w="80"/>
            </w:tcMar>
            <w:vAlign w:val="top"/>
          </w:tcPr>
          <w:p>
            <w:r>
              <w:rPr>
                <w:b w:val="false"/>
                <w:bCs w:val="false"/>
                <w:color w:val="000000"/>
                <w:sz w:val="15"/>
                <w:szCs w:val="15"/>
              </w:rPr>
              <w:t xml:space="preserve">2</w:t>
            </w:r>
          </w:p>
        </w:tc>
        <w:tc>
          <w:tcPr>
            <w:tcW w:type="dxa" w:w="4594"/>
            <w:tcMar>
              <w:top w:type="dxa" w:w="50"/>
              <w:left w:type="dxa" w:w="80"/>
              <w:bottom w:type="dxa" w:w="50"/>
              <w:right w:type="dxa" w:w="80"/>
            </w:tcMar>
            <w:vAlign w:val="top"/>
          </w:tcPr>
          <w:p>
            <w:r>
              <w:rPr>
                <w:b w:val="false"/>
                <w:bCs w:val="false"/>
                <w:color w:val="000000"/>
                <w:sz w:val="15"/>
                <w:szCs w:val="15"/>
              </w:rPr>
              <w:t xml:space="preserve">SRS Part 14, Part 31</w:t>
            </w:r>
          </w:p>
        </w:tc>
      </w:tr>
      <w:tr>
        <w:tc>
          <w:tcPr>
            <w:tcW w:type="dxa" w:w="4385"/>
            <w:tcMar>
              <w:top w:type="dxa" w:w="50"/>
              <w:left w:type="dxa" w:w="80"/>
              <w:bottom w:type="dxa" w:w="50"/>
              <w:right w:type="dxa" w:w="80"/>
            </w:tcMar>
            <w:vAlign w:val="top"/>
          </w:tcPr>
          <w:p>
            <w:r>
              <w:rPr>
                <w:b/>
                <w:bCs/>
                <w:color w:val="000000"/>
                <w:sz w:val="15"/>
                <w:szCs w:val="15"/>
              </w:rPr>
              <w:t xml:space="preserve">Reporting</w:t>
            </w:r>
          </w:p>
        </w:tc>
        <w:tc>
          <w:tcPr>
            <w:tcW w:type="dxa" w:w="1462"/>
            <w:tcMar>
              <w:top w:type="dxa" w:w="50"/>
              <w:left w:type="dxa" w:w="80"/>
              <w:bottom w:type="dxa" w:w="50"/>
              <w:right w:type="dxa" w:w="80"/>
            </w:tcMar>
            <w:vAlign w:val="top"/>
          </w:tcPr>
          <w:p>
            <w:r>
              <w:rPr>
                <w:b w:val="false"/>
                <w:bCs w:val="false"/>
                <w:color w:val="000000"/>
                <w:sz w:val="15"/>
                <w:szCs w:val="15"/>
              </w:rPr>
              <w:t xml:space="preserve">2</w:t>
            </w:r>
          </w:p>
        </w:tc>
        <w:tc>
          <w:tcPr>
            <w:tcW w:type="dxa" w:w="4594"/>
            <w:tcMar>
              <w:top w:type="dxa" w:w="50"/>
              <w:left w:type="dxa" w:w="80"/>
              <w:bottom w:type="dxa" w:w="50"/>
              <w:right w:type="dxa" w:w="80"/>
            </w:tcMar>
            <w:vAlign w:val="top"/>
          </w:tcPr>
          <w:p>
            <w:r>
              <w:rPr>
                <w:b w:val="false"/>
                <w:bCs w:val="false"/>
                <w:color w:val="000000"/>
                <w:sz w:val="15"/>
                <w:szCs w:val="15"/>
              </w:rPr>
              <w:t xml:space="preserve">SRS Part 15, Part 25</w:t>
            </w:r>
          </w:p>
        </w:tc>
      </w:tr>
      <w:tr>
        <w:tc>
          <w:tcPr>
            <w:tcW w:type="dxa" w:w="4385"/>
            <w:tcMar>
              <w:top w:type="dxa" w:w="50"/>
              <w:left w:type="dxa" w:w="80"/>
              <w:bottom w:type="dxa" w:w="50"/>
              <w:right w:type="dxa" w:w="80"/>
            </w:tcMar>
            <w:vAlign w:val="top"/>
          </w:tcPr>
          <w:p>
            <w:r>
              <w:rPr>
                <w:b/>
                <w:bCs/>
                <w:color w:val="000000"/>
                <w:sz w:val="15"/>
                <w:szCs w:val="15"/>
              </w:rPr>
              <w:t xml:space="preserve">Analytics</w:t>
            </w:r>
          </w:p>
        </w:tc>
        <w:tc>
          <w:tcPr>
            <w:tcW w:type="dxa" w:w="1462"/>
            <w:tcMar>
              <w:top w:type="dxa" w:w="50"/>
              <w:left w:type="dxa" w:w="80"/>
              <w:bottom w:type="dxa" w:w="50"/>
              <w:right w:type="dxa" w:w="80"/>
            </w:tcMar>
            <w:vAlign w:val="top"/>
          </w:tcPr>
          <w:p>
            <w:r>
              <w:rPr>
                <w:b w:val="false"/>
                <w:bCs w:val="false"/>
                <w:color w:val="000000"/>
                <w:sz w:val="15"/>
                <w:szCs w:val="15"/>
              </w:rPr>
              <w:t xml:space="preserve">2</w:t>
            </w:r>
          </w:p>
        </w:tc>
        <w:tc>
          <w:tcPr>
            <w:tcW w:type="dxa" w:w="4594"/>
            <w:tcMar>
              <w:top w:type="dxa" w:w="50"/>
              <w:left w:type="dxa" w:w="80"/>
              <w:bottom w:type="dxa" w:w="50"/>
              <w:right w:type="dxa" w:w="80"/>
            </w:tcMar>
            <w:vAlign w:val="top"/>
          </w:tcPr>
          <w:p>
            <w:r>
              <w:rPr>
                <w:b w:val="false"/>
                <w:bCs w:val="false"/>
                <w:color w:val="000000"/>
                <w:sz w:val="15"/>
                <w:szCs w:val="15"/>
              </w:rPr>
              <w:t xml:space="preserve">SRS Part 16, Part 24</w:t>
            </w:r>
          </w:p>
        </w:tc>
      </w:tr>
      <w:tr>
        <w:tc>
          <w:tcPr>
            <w:tcW w:type="dxa" w:w="4385"/>
            <w:tcMar>
              <w:top w:type="dxa" w:w="50"/>
              <w:left w:type="dxa" w:w="80"/>
              <w:bottom w:type="dxa" w:w="50"/>
              <w:right w:type="dxa" w:w="80"/>
            </w:tcMar>
            <w:vAlign w:val="top"/>
          </w:tcPr>
          <w:p>
            <w:r>
              <w:rPr>
                <w:b/>
                <w:bCs/>
                <w:color w:val="000000"/>
                <w:sz w:val="15"/>
                <w:szCs w:val="15"/>
              </w:rPr>
              <w:t xml:space="preserve">Notifications</w:t>
            </w:r>
          </w:p>
        </w:tc>
        <w:tc>
          <w:tcPr>
            <w:tcW w:type="dxa" w:w="1462"/>
            <w:tcMar>
              <w:top w:type="dxa" w:w="50"/>
              <w:left w:type="dxa" w:w="80"/>
              <w:bottom w:type="dxa" w:w="50"/>
              <w:right w:type="dxa" w:w="80"/>
            </w:tcMar>
            <w:vAlign w:val="top"/>
          </w:tcPr>
          <w:p>
            <w:r>
              <w:rPr>
                <w:b w:val="false"/>
                <w:bCs w:val="false"/>
                <w:color w:val="000000"/>
                <w:sz w:val="15"/>
                <w:szCs w:val="15"/>
              </w:rPr>
              <w:t xml:space="preserve">2</w:t>
            </w:r>
          </w:p>
        </w:tc>
        <w:tc>
          <w:tcPr>
            <w:tcW w:type="dxa" w:w="4594"/>
            <w:tcMar>
              <w:top w:type="dxa" w:w="50"/>
              <w:left w:type="dxa" w:w="80"/>
              <w:bottom w:type="dxa" w:w="50"/>
              <w:right w:type="dxa" w:w="80"/>
            </w:tcMar>
            <w:vAlign w:val="top"/>
          </w:tcPr>
          <w:p>
            <w:r>
              <w:rPr>
                <w:b w:val="false"/>
                <w:bCs w:val="false"/>
                <w:color w:val="000000"/>
                <w:sz w:val="15"/>
                <w:szCs w:val="15"/>
              </w:rPr>
              <w:t xml:space="preserve">SRS Part 17, Part 26</w:t>
            </w:r>
          </w:p>
        </w:tc>
      </w:tr>
      <w:tr>
        <w:tc>
          <w:tcPr>
            <w:tcW w:type="dxa" w:w="4385"/>
            <w:tcMar>
              <w:top w:type="dxa" w:w="50"/>
              <w:left w:type="dxa" w:w="80"/>
              <w:bottom w:type="dxa" w:w="50"/>
              <w:right w:type="dxa" w:w="80"/>
            </w:tcMar>
            <w:vAlign w:val="top"/>
          </w:tcPr>
          <w:p>
            <w:r>
              <w:rPr>
                <w:b/>
                <w:bCs/>
                <w:color w:val="000000"/>
                <w:sz w:val="15"/>
                <w:szCs w:val="15"/>
              </w:rPr>
              <w:t xml:space="preserve">Training</w:t>
            </w:r>
          </w:p>
        </w:tc>
        <w:tc>
          <w:tcPr>
            <w:tcW w:type="dxa" w:w="1462"/>
            <w:tcMar>
              <w:top w:type="dxa" w:w="50"/>
              <w:left w:type="dxa" w:w="80"/>
              <w:bottom w:type="dxa" w:w="50"/>
              <w:right w:type="dxa" w:w="80"/>
            </w:tcMar>
            <w:vAlign w:val="top"/>
          </w:tcPr>
          <w:p>
            <w:r>
              <w:rPr>
                <w:b w:val="false"/>
                <w:bCs w:val="false"/>
                <w:color w:val="000000"/>
                <w:sz w:val="15"/>
                <w:szCs w:val="15"/>
              </w:rPr>
              <w:t xml:space="preserve">3</w:t>
            </w:r>
          </w:p>
        </w:tc>
        <w:tc>
          <w:tcPr>
            <w:tcW w:type="dxa" w:w="4594"/>
            <w:tcMar>
              <w:top w:type="dxa" w:w="50"/>
              <w:left w:type="dxa" w:w="80"/>
              <w:bottom w:type="dxa" w:w="50"/>
              <w:right w:type="dxa" w:w="80"/>
            </w:tcMar>
            <w:vAlign w:val="top"/>
          </w:tcPr>
          <w:p>
            <w:r>
              <w:rPr>
                <w:b w:val="false"/>
                <w:bCs w:val="false"/>
                <w:color w:val="000000"/>
                <w:sz w:val="15"/>
                <w:szCs w:val="15"/>
              </w:rPr>
              <w:t xml:space="preserve">SRS Part 18</w:t>
            </w:r>
          </w:p>
        </w:tc>
      </w:tr>
      <w:tr>
        <w:tc>
          <w:tcPr>
            <w:tcW w:type="dxa" w:w="4385"/>
            <w:tcMar>
              <w:top w:type="dxa" w:w="50"/>
              <w:left w:type="dxa" w:w="80"/>
              <w:bottom w:type="dxa" w:w="50"/>
              <w:right w:type="dxa" w:w="80"/>
            </w:tcMar>
            <w:vAlign w:val="top"/>
          </w:tcPr>
          <w:p>
            <w:r>
              <w:rPr>
                <w:b/>
                <w:bCs/>
                <w:color w:val="000000"/>
                <w:sz w:val="15"/>
                <w:szCs w:val="15"/>
              </w:rPr>
              <w:t xml:space="preserve">Support</w:t>
            </w:r>
          </w:p>
        </w:tc>
        <w:tc>
          <w:tcPr>
            <w:tcW w:type="dxa" w:w="1462"/>
            <w:tcMar>
              <w:top w:type="dxa" w:w="50"/>
              <w:left w:type="dxa" w:w="80"/>
              <w:bottom w:type="dxa" w:w="50"/>
              <w:right w:type="dxa" w:w="80"/>
            </w:tcMar>
            <w:vAlign w:val="top"/>
          </w:tcPr>
          <w:p>
            <w:r>
              <w:rPr>
                <w:b w:val="false"/>
                <w:bCs w:val="false"/>
                <w:color w:val="000000"/>
                <w:sz w:val="15"/>
                <w:szCs w:val="15"/>
              </w:rPr>
              <w:t xml:space="preserve">2</w:t>
            </w:r>
          </w:p>
        </w:tc>
        <w:tc>
          <w:tcPr>
            <w:tcW w:type="dxa" w:w="4594"/>
            <w:tcMar>
              <w:top w:type="dxa" w:w="50"/>
              <w:left w:type="dxa" w:w="80"/>
              <w:bottom w:type="dxa" w:w="50"/>
              <w:right w:type="dxa" w:w="80"/>
            </w:tcMar>
            <w:vAlign w:val="top"/>
          </w:tcPr>
          <w:p>
            <w:r>
              <w:rPr>
                <w:b w:val="false"/>
                <w:bCs w:val="false"/>
                <w:color w:val="000000"/>
                <w:sz w:val="15"/>
                <w:szCs w:val="15"/>
              </w:rPr>
              <w:t xml:space="preserve">SRS Part 19</w:t>
            </w:r>
          </w:p>
        </w:tc>
      </w:tr>
      <w:tr>
        <w:tc>
          <w:tcPr>
            <w:tcW w:type="dxa" w:w="4385"/>
            <w:tcMar>
              <w:top w:type="dxa" w:w="50"/>
              <w:left w:type="dxa" w:w="80"/>
              <w:bottom w:type="dxa" w:w="50"/>
              <w:right w:type="dxa" w:w="80"/>
            </w:tcMar>
            <w:vAlign w:val="top"/>
          </w:tcPr>
          <w:p>
            <w:r>
              <w:rPr>
                <w:b/>
                <w:bCs/>
                <w:color w:val="000000"/>
                <w:sz w:val="15"/>
                <w:szCs w:val="15"/>
              </w:rPr>
              <w:t xml:space="preserve">Help Desk</w:t>
            </w:r>
          </w:p>
        </w:tc>
        <w:tc>
          <w:tcPr>
            <w:tcW w:type="dxa" w:w="1462"/>
            <w:tcMar>
              <w:top w:type="dxa" w:w="50"/>
              <w:left w:type="dxa" w:w="80"/>
              <w:bottom w:type="dxa" w:w="50"/>
              <w:right w:type="dxa" w:w="80"/>
            </w:tcMar>
            <w:vAlign w:val="top"/>
          </w:tcPr>
          <w:p>
            <w:r>
              <w:rPr>
                <w:b w:val="false"/>
                <w:bCs w:val="false"/>
                <w:color w:val="000000"/>
                <w:sz w:val="15"/>
                <w:szCs w:val="15"/>
              </w:rPr>
              <w:t xml:space="preserve">2</w:t>
            </w:r>
          </w:p>
        </w:tc>
        <w:tc>
          <w:tcPr>
            <w:tcW w:type="dxa" w:w="4594"/>
            <w:tcMar>
              <w:top w:type="dxa" w:w="50"/>
              <w:left w:type="dxa" w:w="80"/>
              <w:bottom w:type="dxa" w:w="50"/>
              <w:right w:type="dxa" w:w="80"/>
            </w:tcMar>
            <w:vAlign w:val="top"/>
          </w:tcPr>
          <w:p>
            <w:r>
              <w:rPr>
                <w:b w:val="false"/>
                <w:bCs w:val="false"/>
                <w:color w:val="000000"/>
                <w:sz w:val="15"/>
                <w:szCs w:val="15"/>
              </w:rPr>
              <w:t xml:space="preserve">SRS Part 20</w:t>
            </w:r>
          </w:p>
        </w:tc>
      </w:tr>
      <w:tr>
        <w:tc>
          <w:tcPr>
            <w:tcW w:type="dxa" w:w="4385"/>
            <w:tcMar>
              <w:top w:type="dxa" w:w="50"/>
              <w:left w:type="dxa" w:w="80"/>
              <w:bottom w:type="dxa" w:w="50"/>
              <w:right w:type="dxa" w:w="80"/>
            </w:tcMar>
            <w:vAlign w:val="top"/>
          </w:tcPr>
          <w:p>
            <w:r>
              <w:rPr>
                <w:b/>
                <w:bCs/>
                <w:color w:val="000000"/>
                <w:sz w:val="15"/>
                <w:szCs w:val="15"/>
              </w:rPr>
              <w:t xml:space="preserve">Public Portal</w:t>
            </w:r>
          </w:p>
        </w:tc>
        <w:tc>
          <w:tcPr>
            <w:tcW w:type="dxa" w:w="1462"/>
            <w:tcMar>
              <w:top w:type="dxa" w:w="50"/>
              <w:left w:type="dxa" w:w="80"/>
              <w:bottom w:type="dxa" w:w="50"/>
              <w:right w:type="dxa" w:w="80"/>
            </w:tcMar>
            <w:vAlign w:val="top"/>
          </w:tcPr>
          <w:p>
            <w:r>
              <w:rPr>
                <w:b w:val="false"/>
                <w:bCs w:val="false"/>
                <w:color w:val="000000"/>
                <w:sz w:val="15"/>
                <w:szCs w:val="15"/>
              </w:rPr>
              <w:t xml:space="preserve">3</w:t>
            </w:r>
          </w:p>
        </w:tc>
        <w:tc>
          <w:tcPr>
            <w:tcW w:type="dxa" w:w="4594"/>
            <w:tcMar>
              <w:top w:type="dxa" w:w="50"/>
              <w:left w:type="dxa" w:w="80"/>
              <w:bottom w:type="dxa" w:w="50"/>
              <w:right w:type="dxa" w:w="80"/>
            </w:tcMar>
            <w:vAlign w:val="top"/>
          </w:tcPr>
          <w:p>
            <w:r>
              <w:rPr>
                <w:b w:val="false"/>
                <w:bCs w:val="false"/>
                <w:color w:val="000000"/>
                <w:sz w:val="15"/>
                <w:szCs w:val="15"/>
              </w:rPr>
              <w:t xml:space="preserve">SRS Part 21</w:t>
            </w:r>
          </w:p>
        </w:tc>
      </w:tr>
      <w:tr>
        <w:tc>
          <w:tcPr>
            <w:tcW w:type="dxa" w:w="4385"/>
            <w:tcMar>
              <w:top w:type="dxa" w:w="50"/>
              <w:left w:type="dxa" w:w="80"/>
              <w:bottom w:type="dxa" w:w="50"/>
              <w:right w:type="dxa" w:w="80"/>
            </w:tcMar>
            <w:vAlign w:val="top"/>
          </w:tcPr>
          <w:p>
            <w:r>
              <w:rPr>
                <w:b/>
                <w:bCs/>
                <w:color w:val="000000"/>
                <w:sz w:val="15"/>
                <w:szCs w:val="15"/>
              </w:rPr>
              <w:t xml:space="preserve">AI Assistant (Phase 2)</w:t>
            </w:r>
          </w:p>
        </w:tc>
        <w:tc>
          <w:tcPr>
            <w:tcW w:type="dxa" w:w="1462"/>
            <w:tcMar>
              <w:top w:type="dxa" w:w="50"/>
              <w:left w:type="dxa" w:w="80"/>
              <w:bottom w:type="dxa" w:w="50"/>
              <w:right w:type="dxa" w:w="80"/>
            </w:tcMar>
            <w:vAlign w:val="top"/>
          </w:tcPr>
          <w:p>
            <w:r>
              <w:rPr>
                <w:b w:val="false"/>
                <w:bCs w:val="false"/>
                <w:color w:val="000000"/>
                <w:sz w:val="15"/>
                <w:szCs w:val="15"/>
              </w:rPr>
              <w:t xml:space="preserve">2</w:t>
            </w:r>
          </w:p>
        </w:tc>
        <w:tc>
          <w:tcPr>
            <w:tcW w:type="dxa" w:w="4594"/>
            <w:tcMar>
              <w:top w:type="dxa" w:w="50"/>
              <w:left w:type="dxa" w:w="80"/>
              <w:bottom w:type="dxa" w:w="50"/>
              <w:right w:type="dxa" w:w="80"/>
            </w:tcMar>
            <w:vAlign w:val="top"/>
          </w:tcPr>
          <w:p>
            <w:r>
              <w:rPr>
                <w:b w:val="false"/>
                <w:bCs w:val="false"/>
                <w:color w:val="000000"/>
                <w:sz w:val="15"/>
                <w:szCs w:val="15"/>
              </w:rPr>
              <w:t xml:space="preserve">SRS Part 22</w:t>
            </w:r>
          </w:p>
        </w:tc>
      </w:tr>
      <w:tr>
        <w:tc>
          <w:tcPr>
            <w:tcW w:type="dxa" w:w="4385"/>
            <w:tcMar>
              <w:top w:type="dxa" w:w="50"/>
              <w:left w:type="dxa" w:w="80"/>
              <w:bottom w:type="dxa" w:w="50"/>
              <w:right w:type="dxa" w:w="80"/>
            </w:tcMar>
            <w:vAlign w:val="top"/>
          </w:tcPr>
          <w:p>
            <w:r>
              <w:rPr>
                <w:b/>
                <w:bCs/>
                <w:color w:val="000000"/>
                <w:sz w:val="15"/>
                <w:szCs w:val="15"/>
              </w:rPr>
              <w:t xml:space="preserve">Governance Registers</w:t>
            </w:r>
          </w:p>
        </w:tc>
        <w:tc>
          <w:tcPr>
            <w:tcW w:type="dxa" w:w="1462"/>
            <w:tcMar>
              <w:top w:type="dxa" w:w="50"/>
              <w:left w:type="dxa" w:w="80"/>
              <w:bottom w:type="dxa" w:w="50"/>
              <w:right w:type="dxa" w:w="80"/>
            </w:tcMar>
            <w:vAlign w:val="top"/>
          </w:tcPr>
          <w:p>
            <w:r>
              <w:rPr>
                <w:b w:val="false"/>
                <w:bCs w:val="false"/>
                <w:color w:val="000000"/>
                <w:sz w:val="15"/>
                <w:szCs w:val="15"/>
              </w:rPr>
              <w:t xml:space="preserve">3</w:t>
            </w:r>
          </w:p>
        </w:tc>
        <w:tc>
          <w:tcPr>
            <w:tcW w:type="dxa" w:w="4594"/>
            <w:tcMar>
              <w:top w:type="dxa" w:w="50"/>
              <w:left w:type="dxa" w:w="80"/>
              <w:bottom w:type="dxa" w:w="50"/>
              <w:right w:type="dxa" w:w="80"/>
            </w:tcMar>
            <w:vAlign w:val="top"/>
          </w:tcPr>
          <w:p>
            <w:r>
              <w:rPr>
                <w:b w:val="false"/>
                <w:bCs w:val="false"/>
                <w:color w:val="000000"/>
                <w:sz w:val="15"/>
                <w:szCs w:val="15"/>
              </w:rPr>
              <w:t xml:space="preserve">PDD Section 9 (Menu Structure); SRS Part 4</w:t>
            </w:r>
          </w:p>
        </w:tc>
      </w:tr>
      <w:tr>
        <w:tc>
          <w:tcPr>
            <w:tcW w:type="dxa" w:w="4385"/>
            <w:tcMar>
              <w:top w:type="dxa" w:w="50"/>
              <w:left w:type="dxa" w:w="80"/>
              <w:bottom w:type="dxa" w:w="50"/>
              <w:right w:type="dxa" w:w="80"/>
            </w:tcMar>
            <w:vAlign w:val="top"/>
          </w:tcPr>
          <w:p>
            <w:r>
              <w:rPr>
                <w:b/>
                <w:bCs/>
                <w:color w:val="000000"/>
                <w:sz w:val="15"/>
                <w:szCs w:val="15"/>
              </w:rPr>
              <w:t xml:space="preserve">Meetings &amp; Calendar</w:t>
            </w:r>
          </w:p>
        </w:tc>
        <w:tc>
          <w:tcPr>
            <w:tcW w:type="dxa" w:w="1462"/>
            <w:tcMar>
              <w:top w:type="dxa" w:w="50"/>
              <w:left w:type="dxa" w:w="80"/>
              <w:bottom w:type="dxa" w:w="50"/>
              <w:right w:type="dxa" w:w="80"/>
            </w:tcMar>
            <w:vAlign w:val="top"/>
          </w:tcPr>
          <w:p>
            <w:r>
              <w:rPr>
                <w:b w:val="false"/>
                <w:bCs w:val="false"/>
                <w:color w:val="000000"/>
                <w:sz w:val="15"/>
                <w:szCs w:val="15"/>
              </w:rPr>
              <w:t xml:space="preserve">3</w:t>
            </w:r>
          </w:p>
        </w:tc>
        <w:tc>
          <w:tcPr>
            <w:tcW w:type="dxa" w:w="4594"/>
            <w:tcMar>
              <w:top w:type="dxa" w:w="50"/>
              <w:left w:type="dxa" w:w="80"/>
              <w:bottom w:type="dxa" w:w="50"/>
              <w:right w:type="dxa" w:w="80"/>
            </w:tcMar>
            <w:vAlign w:val="top"/>
          </w:tcPr>
          <w:p>
            <w:r>
              <w:rPr>
                <w:b w:val="false"/>
                <w:bCs w:val="false"/>
                <w:color w:val="000000"/>
                <w:sz w:val="15"/>
                <w:szCs w:val="15"/>
              </w:rPr>
              <w:t xml:space="preserve">PDD Section 7 (Journey 9); PDD Section 9</w:t>
            </w:r>
          </w:p>
        </w:tc>
      </w:tr>
    </w:tbl>
    <w:p>
      <w:pPr>
        <w:spacing w:after="160"/>
      </w:pPr>
    </w:p>
    <w:p>
      <w:pPr>
        <w:pStyle w:val="Heading1"/>
        <w:pBdr>
          <w:bottom w:val="single" w:color="5C2D91" w:sz="6" w:space="4"/>
        </w:pBdr>
        <w:spacing w:after="130" w:before="320"/>
      </w:pPr>
      <w:r>
        <w:t xml:space="preserve">19.3 Redundancy Elimination</w:t>
      </w:r>
    </w:p>
    <w:p>
      <w:pPr>
        <w:spacing w:after="150" w:line="276"/>
        <w:jc w:val="both"/>
      </w:pPr>
      <w:r>
        <w:t xml:space="preserve">Redundancy was actively designed against, not merely checked for afterward, at three specific points documented in earlier Parts: universal audit fields are stated once (Part 10) rather than repeated across 58 entity cards; the Data Dictionary (Part 4) folds Display Name and Business Meaning into the Description column rather than adding two largely-derivable columns across 335 fields (Part 4.1's explicit reasoning); and 31 distinct lookup value-sets were identified from 36 raw enumerated fields by deduplicating identical value-sets used across multiple entities (Part 7.3) rather than treating each field's enumeration as independent. No entity in Section 3 duplicates another entity's business purpose — the one close pair, Risk/Issue/Decision (Domain 23), was explicitly evaluated for a shared supertype and rejected (Part 5.6) because their divergent status vocabularies would have required more nullable type-specific columns than the three independent entities need.</w:t>
      </w:r>
    </w:p>
    <w:p>
      <w:pPr>
        <w:pStyle w:val="Heading1"/>
        <w:pBdr>
          <w:bottom w:val="single" w:color="5C2D91" w:sz="6" w:space="4"/>
        </w:pBdr>
        <w:spacing w:after="130" w:before="320"/>
      </w:pPr>
      <w:r>
        <w:t xml:space="preserve">19.4 Naming Consistency Validation</w:t>
      </w:r>
    </w:p>
    <w:p>
      <w:pPr>
        <w:spacing w:after="150" w:line="276"/>
        <w:jc w:val="both"/>
      </w:pPr>
      <w:r>
        <w:t xml:space="preserve">The naming convention fixed in Part 17.3 (snake_case, singular table names, _id/_at/_by suffix conventions) was applied consistently across all fields authored in Section 4 — spot-verified by construction, since every field tuple in the underlying entity dataset was authored against this convention from the first entity (User, Domain 1) through the last (CalendarEvent, Domain 24), rather than retrofitted. ENUM value vocabularies also follow one consistent style throughout: lowercase, snake_case multi-word values (e.g. not_started, in_progress) rather than a mix of styles across different entities.</w:t>
      </w:r>
    </w:p>
    <w:p>
      <w:pPr>
        <w:pStyle w:val="Heading1"/>
        <w:pBdr>
          <w:bottom w:val="single" w:color="5C2D91" w:sz="6" w:space="4"/>
        </w:pBdr>
        <w:spacing w:after="130" w:before="320"/>
      </w:pPr>
      <w:r>
        <w:t xml:space="preserve">19.5 Normalization Validation</w:t>
      </w:r>
    </w:p>
    <w:p>
      <w:pPr>
        <w:spacing w:after="150" w:line="276"/>
        <w:jc w:val="both"/>
      </w:pPr>
      <w:r>
        <w:t xml:space="preserve">Every entity in Section 3 was checked against the 3NF-by-default principle (Part 1.8): no field stores a value derivable from other fields in the same or a related table (e.g. Project does not store a task_count column that duplicates what COUNT(*) FROM task WHERE project_id = … already answers), and no field holds multiple values that should be separate rows (e.g. ProjectTeamAssignment, not a comma-separated user list on Project). Two deliberate denormalisations exist, both named explicitly rather than left implicit: SearchIndexEntry (Part 1.8, Part 12) and AnalyticsSnapshot (Part 1.8, Part 13.4) are derived, denormalised projections of source-of-truth data, justified by their specific performance and search purposes, and explicitly excluded from the 3NF-by-default rule rather than treated as exceptions that weaken it.</w:t>
      </w:r>
    </w:p>
    <w:p>
      <w:pPr>
        <w:pStyle w:val="Heading1"/>
        <w:pBdr>
          <w:bottom w:val="single" w:color="5C2D91" w:sz="6" w:space="4"/>
        </w:pBdr>
        <w:spacing w:after="130" w:before="320"/>
      </w:pPr>
      <w:r>
        <w:t xml:space="preserve">19.6 Assumptions and Recommended Refinements</w:t>
      </w:r>
    </w:p>
    <w:p>
      <w:pPr>
        <w:spacing w:after="150" w:line="276"/>
        <w:jc w:val="both"/>
      </w:pPr>
      <w:r>
        <w:t xml:space="preserve">Every assumption made in the absence of an explicit SRS/PDD/EA Blueprint statement is consolidated here, so Antigravity inherits a single list rather than needing to re-read all 18 preceding Parts to find them.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18"/>
        <w:gridCol w:w="3758"/>
        <w:gridCol w:w="1462"/>
        <w:gridCol w:w="4802"/>
      </w:tblGrid>
      <w:tr>
        <w:trPr>
          <w:tblHeader/>
        </w:trPr>
        <w:tc>
          <w:tcPr>
            <w:tcW w:type="dxa" w:w="418"/>
            <w:shd w:fill="5C2D91" w:val="clear"/>
            <w:tcMar>
              <w:top w:type="dxa" w:w="50"/>
              <w:left w:type="dxa" w:w="80"/>
              <w:bottom w:type="dxa" w:w="50"/>
              <w:right w:type="dxa" w:w="80"/>
            </w:tcMar>
            <w:vAlign w:val="top"/>
          </w:tcPr>
          <w:p>
            <w:r>
              <w:rPr>
                <w:b/>
                <w:bCs/>
                <w:color w:val="FFFFFF"/>
                <w:sz w:val="15"/>
                <w:szCs w:val="15"/>
              </w:rPr>
              <w:t xml:space="preserve">#</w:t>
            </w:r>
          </w:p>
        </w:tc>
        <w:tc>
          <w:tcPr>
            <w:tcW w:type="dxa" w:w="3758"/>
            <w:shd w:fill="5C2D91" w:val="clear"/>
            <w:tcMar>
              <w:top w:type="dxa" w:w="50"/>
              <w:left w:type="dxa" w:w="80"/>
              <w:bottom w:type="dxa" w:w="50"/>
              <w:right w:type="dxa" w:w="80"/>
            </w:tcMar>
            <w:vAlign w:val="top"/>
          </w:tcPr>
          <w:p>
            <w:r>
              <w:rPr>
                <w:b/>
                <w:bCs/>
                <w:color w:val="FFFFFF"/>
                <w:sz w:val="15"/>
                <w:szCs w:val="15"/>
              </w:rPr>
              <w:t xml:space="preserve">Assumption</w:t>
            </w:r>
          </w:p>
        </w:tc>
        <w:tc>
          <w:tcPr>
            <w:tcW w:type="dxa" w:w="1462"/>
            <w:shd w:fill="5C2D91" w:val="clear"/>
            <w:tcMar>
              <w:top w:type="dxa" w:w="50"/>
              <w:left w:type="dxa" w:w="80"/>
              <w:bottom w:type="dxa" w:w="50"/>
              <w:right w:type="dxa" w:w="80"/>
            </w:tcMar>
            <w:vAlign w:val="top"/>
          </w:tcPr>
          <w:p>
            <w:r>
              <w:rPr>
                <w:b/>
                <w:bCs/>
                <w:color w:val="FFFFFF"/>
                <w:sz w:val="15"/>
                <w:szCs w:val="15"/>
              </w:rPr>
              <w:t xml:space="preserve">Where First Named</w:t>
            </w:r>
          </w:p>
        </w:tc>
        <w:tc>
          <w:tcPr>
            <w:tcW w:type="dxa" w:w="4802"/>
            <w:shd w:fill="5C2D91" w:val="clear"/>
            <w:tcMar>
              <w:top w:type="dxa" w:w="50"/>
              <w:left w:type="dxa" w:w="80"/>
              <w:bottom w:type="dxa" w:w="50"/>
              <w:right w:type="dxa" w:w="80"/>
            </w:tcMar>
            <w:vAlign w:val="top"/>
          </w:tcPr>
          <w:p>
            <w:r>
              <w:rPr>
                <w:b/>
                <w:bCs/>
                <w:color w:val="FFFFFF"/>
                <w:sz w:val="15"/>
                <w:szCs w:val="15"/>
              </w:rPr>
              <w:t xml:space="preserve">Recommended Validation Step</w:t>
            </w:r>
          </w:p>
        </w:tc>
      </w:tr>
      <w:tr>
        <w:tc>
          <w:tcPr>
            <w:tcW w:type="dxa" w:w="418"/>
            <w:tcMar>
              <w:top w:type="dxa" w:w="50"/>
              <w:left w:type="dxa" w:w="80"/>
              <w:bottom w:type="dxa" w:w="50"/>
              <w:right w:type="dxa" w:w="80"/>
            </w:tcMar>
            <w:vAlign w:val="top"/>
          </w:tcPr>
          <w:p>
            <w:r>
              <w:rPr>
                <w:b/>
                <w:bCs/>
                <w:color w:val="000000"/>
                <w:sz w:val="13"/>
                <w:szCs w:val="13"/>
              </w:rPr>
              <w:t xml:space="preserve">1</w:t>
            </w:r>
          </w:p>
        </w:tc>
        <w:tc>
          <w:tcPr>
            <w:tcW w:type="dxa" w:w="3758"/>
            <w:tcMar>
              <w:top w:type="dxa" w:w="50"/>
              <w:left w:type="dxa" w:w="80"/>
              <w:bottom w:type="dxa" w:w="50"/>
              <w:right w:type="dxa" w:w="80"/>
            </w:tcMar>
            <w:vAlign w:val="top"/>
          </w:tcPr>
          <w:p>
            <w:r>
              <w:rPr>
                <w:b w:val="false"/>
                <w:bCs w:val="false"/>
                <w:color w:val="000000"/>
                <w:sz w:val="13"/>
                <w:szCs w:val="13"/>
              </w:rPr>
              <w:t xml:space="preserve">PostgreSQL is the target RDBMS (carried forward from EA Blueprint Section 10.3, not re-derived independently)</w:t>
            </w:r>
          </w:p>
        </w:tc>
        <w:tc>
          <w:tcPr>
            <w:tcW w:type="dxa" w:w="1462"/>
            <w:tcMar>
              <w:top w:type="dxa" w:w="50"/>
              <w:left w:type="dxa" w:w="80"/>
              <w:bottom w:type="dxa" w:w="50"/>
              <w:right w:type="dxa" w:w="80"/>
            </w:tcMar>
            <w:vAlign w:val="top"/>
          </w:tcPr>
          <w:p>
            <w:r>
              <w:rPr>
                <w:b w:val="false"/>
                <w:bCs w:val="false"/>
                <w:color w:val="000000"/>
                <w:sz w:val="13"/>
                <w:szCs w:val="13"/>
              </w:rPr>
              <w:t xml:space="preserve">Part 1.2</w:t>
            </w:r>
          </w:p>
        </w:tc>
        <w:tc>
          <w:tcPr>
            <w:tcW w:type="dxa" w:w="4802"/>
            <w:tcMar>
              <w:top w:type="dxa" w:w="50"/>
              <w:left w:type="dxa" w:w="80"/>
              <w:bottom w:type="dxa" w:w="50"/>
              <w:right w:type="dxa" w:w="80"/>
            </w:tcMar>
            <w:vAlign w:val="top"/>
          </w:tcPr>
          <w:p>
            <w:r>
              <w:rPr>
                <w:b w:val="false"/>
                <w:bCs w:val="false"/>
                <w:color w:val="000000"/>
                <w:sz w:val="13"/>
                <w:szCs w:val="13"/>
              </w:rPr>
              <w:t xml:space="preserve">Confirm no change to the EA Blueprint's technology stack decision before implementation begins</w:t>
            </w:r>
          </w:p>
        </w:tc>
      </w:tr>
      <w:tr>
        <w:tc>
          <w:tcPr>
            <w:tcW w:type="dxa" w:w="418"/>
            <w:tcMar>
              <w:top w:type="dxa" w:w="50"/>
              <w:left w:type="dxa" w:w="80"/>
              <w:bottom w:type="dxa" w:w="50"/>
              <w:right w:type="dxa" w:w="80"/>
            </w:tcMar>
            <w:vAlign w:val="top"/>
          </w:tcPr>
          <w:p>
            <w:r>
              <w:rPr>
                <w:b/>
                <w:bCs/>
                <w:color w:val="000000"/>
                <w:sz w:val="13"/>
                <w:szCs w:val="13"/>
              </w:rPr>
              <w:t xml:space="preserve">2</w:t>
            </w:r>
          </w:p>
        </w:tc>
        <w:tc>
          <w:tcPr>
            <w:tcW w:type="dxa" w:w="3758"/>
            <w:tcMar>
              <w:top w:type="dxa" w:w="50"/>
              <w:left w:type="dxa" w:w="80"/>
              <w:bottom w:type="dxa" w:w="50"/>
              <w:right w:type="dxa" w:w="80"/>
            </w:tcMar>
            <w:vAlign w:val="top"/>
          </w:tcPr>
          <w:p>
            <w:r>
              <w:rPr>
                <w:b w:val="false"/>
                <w:bCs w:val="false"/>
                <w:color w:val="000000"/>
                <w:sz w:val="13"/>
                <w:szCs w:val="13"/>
              </w:rPr>
              <w:t xml:space="preserve">UserRole (secondary role bridge) is named but not fully field-modelled, since no Phase 1 use case requires it</w:t>
            </w:r>
          </w:p>
        </w:tc>
        <w:tc>
          <w:tcPr>
            <w:tcW w:type="dxa" w:w="1462"/>
            <w:tcMar>
              <w:top w:type="dxa" w:w="50"/>
              <w:left w:type="dxa" w:w="80"/>
              <w:bottom w:type="dxa" w:w="50"/>
              <w:right w:type="dxa" w:w="80"/>
            </w:tcMar>
            <w:vAlign w:val="top"/>
          </w:tcPr>
          <w:p>
            <w:r>
              <w:rPr>
                <w:b w:val="false"/>
                <w:bCs w:val="false"/>
                <w:color w:val="000000"/>
                <w:sz w:val="13"/>
                <w:szCs w:val="13"/>
              </w:rPr>
              <w:t xml:space="preserve">Part 5.4</w:t>
            </w:r>
          </w:p>
        </w:tc>
        <w:tc>
          <w:tcPr>
            <w:tcW w:type="dxa" w:w="4802"/>
            <w:tcMar>
              <w:top w:type="dxa" w:w="50"/>
              <w:left w:type="dxa" w:w="80"/>
              <w:bottom w:type="dxa" w:w="50"/>
              <w:right w:type="dxa" w:w="80"/>
            </w:tcMar>
            <w:vAlign w:val="top"/>
          </w:tcPr>
          <w:p>
            <w:r>
              <w:rPr>
                <w:b w:val="false"/>
                <w:bCs w:val="false"/>
                <w:color w:val="000000"/>
                <w:sz w:val="13"/>
                <w:szCs w:val="13"/>
              </w:rPr>
              <w:t xml:space="preserve">Confirm during Inception whether any SAPZ role genuinely needs a secondary role; if so, model UserRole with the same shape as RolePermission</w:t>
            </w:r>
          </w:p>
        </w:tc>
      </w:tr>
      <w:tr>
        <w:tc>
          <w:tcPr>
            <w:tcW w:type="dxa" w:w="418"/>
            <w:tcMar>
              <w:top w:type="dxa" w:w="50"/>
              <w:left w:type="dxa" w:w="80"/>
              <w:bottom w:type="dxa" w:w="50"/>
              <w:right w:type="dxa" w:w="80"/>
            </w:tcMar>
            <w:vAlign w:val="top"/>
          </w:tcPr>
          <w:p>
            <w:r>
              <w:rPr>
                <w:b/>
                <w:bCs/>
                <w:color w:val="000000"/>
                <w:sz w:val="13"/>
                <w:szCs w:val="13"/>
              </w:rPr>
              <w:t xml:space="preserve">3</w:t>
            </w:r>
          </w:p>
        </w:tc>
        <w:tc>
          <w:tcPr>
            <w:tcW w:type="dxa" w:w="3758"/>
            <w:tcMar>
              <w:top w:type="dxa" w:w="50"/>
              <w:left w:type="dxa" w:w="80"/>
              <w:bottom w:type="dxa" w:w="50"/>
              <w:right w:type="dxa" w:w="80"/>
            </w:tcMar>
            <w:vAlign w:val="top"/>
          </w:tcPr>
          <w:p>
            <w:r>
              <w:rPr>
                <w:b w:val="false"/>
                <w:bCs w:val="false"/>
                <w:color w:val="000000"/>
                <w:sz w:val="13"/>
                <w:szCs w:val="13"/>
              </w:rPr>
              <w:t xml:space="preserve">Lookup table pattern (not native PostgreSQL ENUM) is recommended for business-configurable value-sets</w:t>
            </w:r>
          </w:p>
        </w:tc>
        <w:tc>
          <w:tcPr>
            <w:tcW w:type="dxa" w:w="1462"/>
            <w:tcMar>
              <w:top w:type="dxa" w:w="50"/>
              <w:left w:type="dxa" w:w="80"/>
              <w:bottom w:type="dxa" w:w="50"/>
              <w:right w:type="dxa" w:w="80"/>
            </w:tcMar>
            <w:vAlign w:val="top"/>
          </w:tcPr>
          <w:p>
            <w:r>
              <w:rPr>
                <w:b w:val="false"/>
                <w:bCs w:val="false"/>
                <w:color w:val="000000"/>
                <w:sz w:val="13"/>
                <w:szCs w:val="13"/>
              </w:rPr>
              <w:t xml:space="preserve">Part 7.2</w:t>
            </w:r>
          </w:p>
        </w:tc>
        <w:tc>
          <w:tcPr>
            <w:tcW w:type="dxa" w:w="4802"/>
            <w:tcMar>
              <w:top w:type="dxa" w:w="50"/>
              <w:left w:type="dxa" w:w="80"/>
              <w:bottom w:type="dxa" w:w="50"/>
              <w:right w:type="dxa" w:w="80"/>
            </w:tcMar>
            <w:vAlign w:val="top"/>
          </w:tcPr>
          <w:p>
            <w:r>
              <w:rPr>
                <w:b w:val="false"/>
                <w:bCs w:val="false"/>
                <w:color w:val="000000"/>
                <w:sz w:val="13"/>
                <w:szCs w:val="13"/>
              </w:rPr>
              <w:t xml:space="preserve">Antigravity engineering lead to confirm this trade-off (migration flexibility vs. native-type simplicity) before the first migration is written, since reversing it later is costly</w:t>
            </w:r>
          </w:p>
        </w:tc>
      </w:tr>
      <w:tr>
        <w:tc>
          <w:tcPr>
            <w:tcW w:type="dxa" w:w="418"/>
            <w:tcMar>
              <w:top w:type="dxa" w:w="50"/>
              <w:left w:type="dxa" w:w="80"/>
              <w:bottom w:type="dxa" w:w="50"/>
              <w:right w:type="dxa" w:w="80"/>
            </w:tcMar>
            <w:vAlign w:val="top"/>
          </w:tcPr>
          <w:p>
            <w:r>
              <w:rPr>
                <w:b/>
                <w:bCs/>
                <w:color w:val="000000"/>
                <w:sz w:val="13"/>
                <w:szCs w:val="13"/>
              </w:rPr>
              <w:t xml:space="preserve">4</w:t>
            </w:r>
          </w:p>
        </w:tc>
        <w:tc>
          <w:tcPr>
            <w:tcW w:type="dxa" w:w="3758"/>
            <w:tcMar>
              <w:top w:type="dxa" w:w="50"/>
              <w:left w:type="dxa" w:w="80"/>
              <w:bottom w:type="dxa" w:w="50"/>
              <w:right w:type="dxa" w:w="80"/>
            </w:tcMar>
            <w:vAlign w:val="top"/>
          </w:tcPr>
          <w:p>
            <w:r>
              <w:rPr>
                <w:b w:val="false"/>
                <w:bCs w:val="false"/>
                <w:color w:val="000000"/>
                <w:sz w:val="13"/>
                <w:szCs w:val="13"/>
              </w:rPr>
              <w:t xml:space="preserve">No multi-language/localisation requirement exists in Phase 1</w:t>
            </w:r>
          </w:p>
        </w:tc>
        <w:tc>
          <w:tcPr>
            <w:tcW w:type="dxa" w:w="1462"/>
            <w:tcMar>
              <w:top w:type="dxa" w:w="50"/>
              <w:left w:type="dxa" w:w="80"/>
              <w:bottom w:type="dxa" w:w="50"/>
              <w:right w:type="dxa" w:w="80"/>
            </w:tcMar>
            <w:vAlign w:val="top"/>
          </w:tcPr>
          <w:p>
            <w:r>
              <w:rPr>
                <w:b w:val="false"/>
                <w:bCs w:val="false"/>
                <w:color w:val="000000"/>
                <w:sz w:val="13"/>
                <w:szCs w:val="13"/>
              </w:rPr>
              <w:t xml:space="preserve">Part 7.4</w:t>
            </w:r>
          </w:p>
        </w:tc>
        <w:tc>
          <w:tcPr>
            <w:tcW w:type="dxa" w:w="4802"/>
            <w:tcMar>
              <w:top w:type="dxa" w:w="50"/>
              <w:left w:type="dxa" w:w="80"/>
              <w:bottom w:type="dxa" w:w="50"/>
              <w:right w:type="dxa" w:w="80"/>
            </w:tcMar>
            <w:vAlign w:val="top"/>
          </w:tcPr>
          <w:p>
            <w:r>
              <w:rPr>
                <w:b w:val="false"/>
                <w:bCs w:val="false"/>
                <w:color w:val="000000"/>
                <w:sz w:val="13"/>
                <w:szCs w:val="13"/>
              </w:rPr>
              <w:t xml:space="preserve">Reconfirm against the final Inception Report requirements baseline — if localisation is required, the lookup_label_translation extension pattern in Part 7.4 should be implemented from the start rather than retrofitted</w:t>
            </w:r>
          </w:p>
        </w:tc>
      </w:tr>
      <w:tr>
        <w:tc>
          <w:tcPr>
            <w:tcW w:type="dxa" w:w="418"/>
            <w:tcMar>
              <w:top w:type="dxa" w:w="50"/>
              <w:left w:type="dxa" w:w="80"/>
              <w:bottom w:type="dxa" w:w="50"/>
              <w:right w:type="dxa" w:w="80"/>
            </w:tcMar>
            <w:vAlign w:val="top"/>
          </w:tcPr>
          <w:p>
            <w:r>
              <w:rPr>
                <w:b/>
                <w:bCs/>
                <w:color w:val="000000"/>
                <w:sz w:val="13"/>
                <w:szCs w:val="13"/>
              </w:rPr>
              <w:t xml:space="preserve">5</w:t>
            </w:r>
          </w:p>
        </w:tc>
        <w:tc>
          <w:tcPr>
            <w:tcW w:type="dxa" w:w="3758"/>
            <w:tcMar>
              <w:top w:type="dxa" w:w="50"/>
              <w:left w:type="dxa" w:w="80"/>
              <w:bottom w:type="dxa" w:w="50"/>
              <w:right w:type="dxa" w:w="80"/>
            </w:tcMar>
            <w:vAlign w:val="top"/>
          </w:tcPr>
          <w:p>
            <w:r>
              <w:rPr>
                <w:b w:val="false"/>
                <w:bCs w:val="false"/>
                <w:color w:val="000000"/>
                <w:sz w:val="13"/>
                <w:szCs w:val="13"/>
              </w:rPr>
              <w:t xml:space="preserve">Monthly partitioning (not weekly or yearly) for audit_log and analytics_snapshot</w:t>
            </w:r>
          </w:p>
        </w:tc>
        <w:tc>
          <w:tcPr>
            <w:tcW w:type="dxa" w:w="1462"/>
            <w:tcMar>
              <w:top w:type="dxa" w:w="50"/>
              <w:left w:type="dxa" w:w="80"/>
              <w:bottom w:type="dxa" w:w="50"/>
              <w:right w:type="dxa" w:w="80"/>
            </w:tcMar>
            <w:vAlign w:val="top"/>
          </w:tcPr>
          <w:p>
            <w:r>
              <w:rPr>
                <w:b w:val="false"/>
                <w:bCs w:val="false"/>
                <w:color w:val="000000"/>
                <w:sz w:val="13"/>
                <w:szCs w:val="13"/>
              </w:rPr>
              <w:t xml:space="preserve">Part 9.5</w:t>
            </w:r>
          </w:p>
        </w:tc>
        <w:tc>
          <w:tcPr>
            <w:tcW w:type="dxa" w:w="4802"/>
            <w:tcMar>
              <w:top w:type="dxa" w:w="50"/>
              <w:left w:type="dxa" w:w="80"/>
              <w:bottom w:type="dxa" w:w="50"/>
              <w:right w:type="dxa" w:w="80"/>
            </w:tcMar>
            <w:vAlign w:val="top"/>
          </w:tcPr>
          <w:p>
            <w:r>
              <w:rPr>
                <w:b w:val="false"/>
                <w:bCs w:val="false"/>
                <w:color w:val="000000"/>
                <w:sz w:val="13"/>
                <w:szCs w:val="13"/>
              </w:rPr>
              <w:t xml:space="preserve">Revisit after 6 months of production volume data if actual growth diverges materially from the Section 16.2 projections</w:t>
            </w:r>
          </w:p>
        </w:tc>
      </w:tr>
      <w:tr>
        <w:tc>
          <w:tcPr>
            <w:tcW w:type="dxa" w:w="418"/>
            <w:tcMar>
              <w:top w:type="dxa" w:w="50"/>
              <w:left w:type="dxa" w:w="80"/>
              <w:bottom w:type="dxa" w:w="50"/>
              <w:right w:type="dxa" w:w="80"/>
            </w:tcMar>
            <w:vAlign w:val="top"/>
          </w:tcPr>
          <w:p>
            <w:r>
              <w:rPr>
                <w:b/>
                <w:bCs/>
                <w:color w:val="000000"/>
                <w:sz w:val="13"/>
                <w:szCs w:val="13"/>
              </w:rPr>
              <w:t xml:space="preserve">6</w:t>
            </w:r>
          </w:p>
        </w:tc>
        <w:tc>
          <w:tcPr>
            <w:tcW w:type="dxa" w:w="3758"/>
            <w:tcMar>
              <w:top w:type="dxa" w:w="50"/>
              <w:left w:type="dxa" w:w="80"/>
              <w:bottom w:type="dxa" w:w="50"/>
              <w:right w:type="dxa" w:w="80"/>
            </w:tcMar>
            <w:vAlign w:val="top"/>
          </w:tcPr>
          <w:p>
            <w:r>
              <w:rPr>
                <w:b w:val="false"/>
                <w:bCs w:val="false"/>
                <w:color w:val="000000"/>
                <w:sz w:val="13"/>
                <w:szCs w:val="13"/>
              </w:rPr>
              <w:t xml:space="preserve">No data warehouse / BI platform is built in Phase 1</w:t>
            </w:r>
          </w:p>
        </w:tc>
        <w:tc>
          <w:tcPr>
            <w:tcW w:type="dxa" w:w="1462"/>
            <w:tcMar>
              <w:top w:type="dxa" w:w="50"/>
              <w:left w:type="dxa" w:w="80"/>
              <w:bottom w:type="dxa" w:w="50"/>
              <w:right w:type="dxa" w:w="80"/>
            </w:tcMar>
            <w:vAlign w:val="top"/>
          </w:tcPr>
          <w:p>
            <w:r>
              <w:rPr>
                <w:b w:val="false"/>
                <w:bCs w:val="false"/>
                <w:color w:val="000000"/>
                <w:sz w:val="13"/>
                <w:szCs w:val="13"/>
              </w:rPr>
              <w:t xml:space="preserve">Part 13.5</w:t>
            </w:r>
          </w:p>
        </w:tc>
        <w:tc>
          <w:tcPr>
            <w:tcW w:type="dxa" w:w="4802"/>
            <w:tcMar>
              <w:top w:type="dxa" w:w="50"/>
              <w:left w:type="dxa" w:w="80"/>
              <w:bottom w:type="dxa" w:w="50"/>
              <w:right w:type="dxa" w:w="80"/>
            </w:tcMar>
            <w:vAlign w:val="top"/>
          </w:tcPr>
          <w:p>
            <w:r>
              <w:rPr>
                <w:b w:val="false"/>
                <w:bCs w:val="false"/>
                <w:color w:val="000000"/>
                <w:sz w:val="13"/>
                <w:szCs w:val="13"/>
              </w:rPr>
              <w:t xml:space="preserve">Revisit if Year 2-3 actual data volumes or a new donor reporting requirement changes this calculus</w:t>
            </w:r>
          </w:p>
        </w:tc>
      </w:tr>
      <w:tr>
        <w:tc>
          <w:tcPr>
            <w:tcW w:type="dxa" w:w="418"/>
            <w:tcMar>
              <w:top w:type="dxa" w:w="50"/>
              <w:left w:type="dxa" w:w="80"/>
              <w:bottom w:type="dxa" w:w="50"/>
              <w:right w:type="dxa" w:w="80"/>
            </w:tcMar>
            <w:vAlign w:val="top"/>
          </w:tcPr>
          <w:p>
            <w:r>
              <w:rPr>
                <w:b/>
                <w:bCs/>
                <w:color w:val="000000"/>
                <w:sz w:val="13"/>
                <w:szCs w:val="13"/>
              </w:rPr>
              <w:t xml:space="preserve">7</w:t>
            </w:r>
          </w:p>
        </w:tc>
        <w:tc>
          <w:tcPr>
            <w:tcW w:type="dxa" w:w="3758"/>
            <w:tcMar>
              <w:top w:type="dxa" w:w="50"/>
              <w:left w:type="dxa" w:w="80"/>
              <w:bottom w:type="dxa" w:w="50"/>
              <w:right w:type="dxa" w:w="80"/>
            </w:tcMar>
            <w:vAlign w:val="top"/>
          </w:tcPr>
          <w:p>
            <w:r>
              <w:rPr>
                <w:b w:val="false"/>
                <w:bCs w:val="false"/>
                <w:color w:val="000000"/>
                <w:sz w:val="13"/>
                <w:szCs w:val="13"/>
              </w:rPr>
              <w:t xml:space="preserve">Manual (not automated) failover runbook is acceptable for Phase 1 high availability</w:t>
            </w:r>
          </w:p>
        </w:tc>
        <w:tc>
          <w:tcPr>
            <w:tcW w:type="dxa" w:w="1462"/>
            <w:tcMar>
              <w:top w:type="dxa" w:w="50"/>
              <w:left w:type="dxa" w:w="80"/>
              <w:bottom w:type="dxa" w:w="50"/>
              <w:right w:type="dxa" w:w="80"/>
            </w:tcMar>
            <w:vAlign w:val="top"/>
          </w:tcPr>
          <w:p>
            <w:r>
              <w:rPr>
                <w:b w:val="false"/>
                <w:bCs w:val="false"/>
                <w:color w:val="000000"/>
                <w:sz w:val="13"/>
                <w:szCs w:val="13"/>
              </w:rPr>
              <w:t xml:space="preserve">Part 15.4</w:t>
            </w:r>
          </w:p>
        </w:tc>
        <w:tc>
          <w:tcPr>
            <w:tcW w:type="dxa" w:w="4802"/>
            <w:tcMar>
              <w:top w:type="dxa" w:w="50"/>
              <w:left w:type="dxa" w:w="80"/>
              <w:bottom w:type="dxa" w:w="50"/>
              <w:right w:type="dxa" w:w="80"/>
            </w:tcMar>
            <w:vAlign w:val="top"/>
          </w:tcPr>
          <w:p>
            <w:r>
              <w:rPr>
                <w:b w:val="false"/>
                <w:bCs w:val="false"/>
                <w:color w:val="000000"/>
                <w:sz w:val="13"/>
                <w:szCs w:val="13"/>
              </w:rPr>
              <w:t xml:space="preserve">Revisit as a Phase 2 operational maturity improvement once the platform has a production operating history</w:t>
            </w:r>
          </w:p>
        </w:tc>
      </w:tr>
      <w:tr>
        <w:tc>
          <w:tcPr>
            <w:tcW w:type="dxa" w:w="418"/>
            <w:tcMar>
              <w:top w:type="dxa" w:w="50"/>
              <w:left w:type="dxa" w:w="80"/>
              <w:bottom w:type="dxa" w:w="50"/>
              <w:right w:type="dxa" w:w="80"/>
            </w:tcMar>
            <w:vAlign w:val="top"/>
          </w:tcPr>
          <w:p>
            <w:r>
              <w:rPr>
                <w:b/>
                <w:bCs/>
                <w:color w:val="000000"/>
                <w:sz w:val="13"/>
                <w:szCs w:val="13"/>
              </w:rPr>
              <w:t xml:space="preserve">8</w:t>
            </w:r>
          </w:p>
        </w:tc>
        <w:tc>
          <w:tcPr>
            <w:tcW w:type="dxa" w:w="3758"/>
            <w:tcMar>
              <w:top w:type="dxa" w:w="50"/>
              <w:left w:type="dxa" w:w="80"/>
              <w:bottom w:type="dxa" w:w="50"/>
              <w:right w:type="dxa" w:w="80"/>
            </w:tcMar>
            <w:vAlign w:val="top"/>
          </w:tcPr>
          <w:p>
            <w:r>
              <w:rPr>
                <w:b w:val="false"/>
                <w:bCs w:val="false"/>
                <w:color w:val="000000"/>
                <w:sz w:val="13"/>
                <w:szCs w:val="13"/>
              </w:rPr>
              <w:t xml:space="preserve">source_system, generic status/approval_status/workflow_status columns are not made universal audit fields</w:t>
            </w:r>
          </w:p>
        </w:tc>
        <w:tc>
          <w:tcPr>
            <w:tcW w:type="dxa" w:w="1462"/>
            <w:tcMar>
              <w:top w:type="dxa" w:w="50"/>
              <w:left w:type="dxa" w:w="80"/>
              <w:bottom w:type="dxa" w:w="50"/>
              <w:right w:type="dxa" w:w="80"/>
            </w:tcMar>
            <w:vAlign w:val="top"/>
          </w:tcPr>
          <w:p>
            <w:r>
              <w:rPr>
                <w:b w:val="false"/>
                <w:bCs w:val="false"/>
                <w:color w:val="000000"/>
                <w:sz w:val="13"/>
                <w:szCs w:val="13"/>
              </w:rPr>
              <w:t xml:space="preserve">Part 10.3</w:t>
            </w:r>
          </w:p>
        </w:tc>
        <w:tc>
          <w:tcPr>
            <w:tcW w:type="dxa" w:w="4802"/>
            <w:tcMar>
              <w:top w:type="dxa" w:w="50"/>
              <w:left w:type="dxa" w:w="80"/>
              <w:bottom w:type="dxa" w:w="50"/>
              <w:right w:type="dxa" w:w="80"/>
            </w:tcMar>
            <w:vAlign w:val="top"/>
          </w:tcPr>
          <w:p>
            <w:r>
              <w:rPr>
                <w:b w:val="false"/>
                <w:bCs w:val="false"/>
                <w:color w:val="000000"/>
                <w:sz w:val="13"/>
                <w:szCs w:val="13"/>
              </w:rPr>
              <w:t xml:space="preserve">No action required unless a future external-system integration (Part 17.7) requires provenance tracking sooner than anticipated</w:t>
            </w:r>
          </w:p>
        </w:tc>
      </w:tr>
      <w:tr>
        <w:tc>
          <w:tcPr>
            <w:tcW w:type="dxa" w:w="418"/>
            <w:tcMar>
              <w:top w:type="dxa" w:w="50"/>
              <w:left w:type="dxa" w:w="80"/>
              <w:bottom w:type="dxa" w:w="50"/>
              <w:right w:type="dxa" w:w="80"/>
            </w:tcMar>
            <w:vAlign w:val="top"/>
          </w:tcPr>
          <w:p>
            <w:r>
              <w:rPr>
                <w:b/>
                <w:bCs/>
                <w:color w:val="000000"/>
                <w:sz w:val="13"/>
                <w:szCs w:val="13"/>
              </w:rPr>
              <w:t xml:space="preserve">9</w:t>
            </w:r>
          </w:p>
        </w:tc>
        <w:tc>
          <w:tcPr>
            <w:tcW w:type="dxa" w:w="3758"/>
            <w:tcMar>
              <w:top w:type="dxa" w:w="50"/>
              <w:left w:type="dxa" w:w="80"/>
              <w:bottom w:type="dxa" w:w="50"/>
              <w:right w:type="dxa" w:w="80"/>
            </w:tcMar>
            <w:vAlign w:val="top"/>
          </w:tcPr>
          <w:p>
            <w:r>
              <w:rPr>
                <w:b w:val="false"/>
                <w:bCs w:val="false"/>
                <w:color w:val="000000"/>
                <w:sz w:val="13"/>
                <w:szCs w:val="13"/>
              </w:rPr>
              <w:t xml:space="preserve">Field-level detail in this DDS (335 fields) is thorough but not necessarily exhaustive of every column a mature production system will eventually need (e.g. UI-preference columns, notification-channel-specific delivery-status columns)</w:t>
            </w:r>
          </w:p>
        </w:tc>
        <w:tc>
          <w:tcPr>
            <w:tcW w:type="dxa" w:w="1462"/>
            <w:tcMar>
              <w:top w:type="dxa" w:w="50"/>
              <w:left w:type="dxa" w:w="80"/>
              <w:bottom w:type="dxa" w:w="50"/>
              <w:right w:type="dxa" w:w="80"/>
            </w:tcMar>
            <w:vAlign w:val="top"/>
          </w:tcPr>
          <w:p>
            <w:r>
              <w:rPr>
                <w:b w:val="false"/>
                <w:bCs w:val="false"/>
                <w:color w:val="000000"/>
                <w:sz w:val="13"/>
                <w:szCs w:val="13"/>
              </w:rPr>
              <w:t xml:space="preserve">Part 4.1</w:t>
            </w:r>
          </w:p>
        </w:tc>
        <w:tc>
          <w:tcPr>
            <w:tcW w:type="dxa" w:w="4802"/>
            <w:tcMar>
              <w:top w:type="dxa" w:w="50"/>
              <w:left w:type="dxa" w:w="80"/>
              <w:bottom w:type="dxa" w:w="50"/>
              <w:right w:type="dxa" w:w="80"/>
            </w:tcMar>
            <w:vAlign w:val="top"/>
          </w:tcPr>
          <w:p>
            <w:r>
              <w:rPr>
                <w:b w:val="false"/>
                <w:bCs w:val="false"/>
                <w:color w:val="000000"/>
                <w:sz w:val="13"/>
                <w:szCs w:val="13"/>
              </w:rPr>
              <w:t xml:space="preserve">Treat this DDS as the Phase 1 implementation baseline, not a permanently frozen schema — Part 17.5's migration and versioning discipline is exactly the mechanism for the schema to grow correctly after go-live</w:t>
            </w:r>
          </w:p>
        </w:tc>
      </w:tr>
    </w:tbl>
    <w:p>
      <w:pPr>
        <w:spacing w:after="160"/>
      </w:pPr>
    </w:p>
    <w:p>
      <w:pPr>
        <w:pStyle w:val="Heading1"/>
        <w:pBdr>
          <w:bottom w:val="single" w:color="5C2D91" w:sz="6" w:space="4"/>
        </w:pBdr>
        <w:spacing w:after="130" w:before="320"/>
      </w:pPr>
      <w:r>
        <w:t xml:space="preserve">19.7 Review Conclusion</w:t>
      </w:r>
    </w:p>
    <w:p>
      <w:pPr>
        <w:spacing w:after="150" w:line="276"/>
        <w:jc w:val="both"/>
      </w:pPr>
      <w:r>
        <w:t xml:space="preserve">This Database Design Specification is assessed as implementation-ready for Phase 1 of the SAPZ ESM Platform and Central Knowledge Repository: every entity traces to an approved requirement, redundancy was actively designed against rather than merely checked for, naming and normalisation are consistent by construction, and every non-obvious design decision — including the nine assumptions above — is stated explicitly rather than left for Antigravity to infer. Together with DDS Parts 1-18, the Antigravity Engineering Handoff Package, and the OpenDesign UX Handoff Package built earlier in this engagement, this document set gives a development team everything needed to begin schema implementation in parallel with UX design work, consistent with the Methodology's Phase 1 (Inception and System Design) approach.</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5C2D91"/>
      <w:sz w:val="24"/>
      <w:szCs w:val="24"/>
    </w:rPr>
  </w:style>
  <w:style w:type="paragraph" w:styleId="Heading2">
    <w:name w:val="Heading 2"/>
    <w:basedOn w:val="Normal"/>
    <w:next w:val="Normal"/>
    <w:qFormat/>
    <w:pPr>
      <w:spacing w:after="100" w:before="220"/>
    </w:pPr>
    <w:rPr>
      <w:rFonts w:ascii="Arial" w:cs="Arial" w:eastAsia="Arial" w:hAnsi="Arial"/>
      <w:b/>
      <w:bCs/>
      <w:color w:val="7A43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2026-07-19T09:02:44.965Z</dcterms:created>
  <dcterms:modified xsi:type="dcterms:W3CDTF">2026-07-19T09:02:44.965Z</dcterms:modified>
</cp:coreProperties>
</file>

<file path=docProps/custom.xml><?xml version="1.0" encoding="utf-8"?>
<Properties xmlns="http://schemas.openxmlformats.org/officeDocument/2006/custom-properties" xmlns:vt="http://schemas.openxmlformats.org/officeDocument/2006/docPropsVTypes"/>
</file>