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808080"/>
          <w:sz w:val="20"/>
          <w:szCs w:val="20"/>
        </w:rPr>
        <w:t xml:space="preserve">SAPZ PROGRAMME — REF: NPCO/SAPZ/IFAD/26/1023/588</w:t>
      </w:r>
    </w:p>
    <w:p>
      <w:pPr>
        <w:spacing w:after="60"/>
        <w:jc w:val="center"/>
      </w:pPr>
      <w:r>
        <w:rPr>
          <w:b/>
          <w:bCs/>
          <w:color w:val="1F5C3B"/>
          <w:sz w:val="32"/>
          <w:szCs w:val="32"/>
        </w:rPr>
        <w:t xml:space="preserve">API &amp; Integration Design Specification (AIDS)</w:t>
      </w:r>
    </w:p>
    <w:p>
      <w:pPr>
        <w:spacing w:after="60"/>
        <w:jc w:val="center"/>
      </w:pPr>
      <w:r>
        <w:rPr>
          <w:b/>
          <w:bCs/>
          <w:color w:val="2E8B57"/>
          <w:sz w:val="22"/>
          <w:szCs w:val="22"/>
        </w:rPr>
        <w:t xml:space="preserve">Enterprise System Management (ESM) Platform and Central Knowledge Repository (CKR)</w:t>
      </w:r>
    </w:p>
    <w:p>
      <w:pPr>
        <w:spacing w:after="40"/>
        <w:jc w:val="center"/>
      </w:pPr>
      <w:r>
        <w:rPr>
          <w:b/>
          <w:bCs/>
          <w:color w:val="2E8B57"/>
          <w:sz w:val="24"/>
          <w:szCs w:val="24"/>
        </w:rPr>
        <w:t xml:space="preserve">Part 1 — Executive API Strategy</w:t>
      </w:r>
    </w:p>
    <w:p>
      <w:pPr>
        <w:spacing w:after="260"/>
        <w:jc w:val="center"/>
      </w:pPr>
      <w:r>
        <w:rPr>
          <w:i/>
          <w:iCs/>
          <w:color w:val="555555"/>
          <w:sz w:val="19"/>
          <w:szCs w:val="19"/>
        </w:rPr>
        <w:t xml:space="preserve">Prepared for the SAPZ National Programme Coordination Office — Consultant: Ahmed Babajide Olanrewaju</w:t>
      </w:r>
    </w:p>
    <w:p>
      <w:pPr>
        <w:pStyle w:val="Heading1"/>
        <w:pBdr>
          <w:bottom w:val="single" w:color="1F5C3B" w:sz="6" w:space="4"/>
        </w:pBdr>
        <w:spacing w:after="130" w:before="320"/>
      </w:pPr>
      <w:r>
        <w:t xml:space="preserve">1.1 Purpose</w:t>
      </w:r>
    </w:p>
    <w:p>
      <w:pPr>
        <w:spacing w:after="150" w:line="276"/>
        <w:jc w:val="both"/>
      </w:pPr>
      <w:r>
        <w:t xml:space="preserve">This API &amp; Integration Design Specification (AIDS) defines the complete REST API surface, authentication model, integration contracts, and event architecture required to implement the Enterprise System Management (ESM) Platform and Central Knowledge Repository (CKR), building directly on the Enterprise Architecture Blueprint, the Product Definition Document (PDD), the 39-Part Software Requirements Specification (SRS), and the 19-Part Database Design Specification (DDS) — all four treated as authoritative inputs, consistent with the same evidentiary discipline applied throughout this engagement's documentation set. Every endpoint in this specification maps to a DDS entity (Part 4 of the DDS) and, through it, back to an SRS functional requirement.</w:t>
      </w:r>
    </w:p>
    <w:p>
      <w:pPr>
        <w:pStyle w:val="Heading1"/>
        <w:pBdr>
          <w:bottom w:val="single" w:color="1F5C3B" w:sz="6" w:space="4"/>
        </w:pBdr>
        <w:spacing w:after="130" w:before="320"/>
      </w:pPr>
      <w:r>
        <w:t xml:space="preserve">1.2 API Surface at a Glance</w:t>
      </w:r>
    </w:p>
    <w:p>
      <w:pPr>
        <w:spacing w:after="150" w:line="276"/>
        <w:jc w:val="both"/>
      </w:pPr>
      <w:r>
        <w:t xml:space="preserve">The scale of the API surface this specification fixes, derived directly from the DDS's 62-entity schema:</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6264"/>
        <w:gridCol w:w="4176"/>
      </w:tblGrid>
      <w:tr>
        <w:trPr>
          <w:tblHeader/>
        </w:trPr>
        <w:tc>
          <w:tcPr>
            <w:tcW w:type="dxa" w:w="6264"/>
            <w:shd w:fill="1F5C3B" w:val="clear"/>
            <w:tcMar>
              <w:top w:type="dxa" w:w="50"/>
              <w:left w:type="dxa" w:w="80"/>
              <w:bottom w:type="dxa" w:w="50"/>
              <w:right w:type="dxa" w:w="80"/>
            </w:tcMar>
            <w:vAlign w:val="top"/>
          </w:tcPr>
          <w:p>
            <w:r>
              <w:rPr>
                <w:b/>
                <w:bCs/>
                <w:color w:val="FFFFFF"/>
                <w:sz w:val="15"/>
                <w:szCs w:val="15"/>
              </w:rPr>
              <w:t xml:space="preserve">Metric</w:t>
            </w:r>
          </w:p>
        </w:tc>
        <w:tc>
          <w:tcPr>
            <w:tcW w:type="dxa" w:w="4176"/>
            <w:shd w:fill="1F5C3B" w:val="clear"/>
            <w:tcMar>
              <w:top w:type="dxa" w:w="50"/>
              <w:left w:type="dxa" w:w="80"/>
              <w:bottom w:type="dxa" w:w="50"/>
              <w:right w:type="dxa" w:w="80"/>
            </w:tcMar>
            <w:vAlign w:val="top"/>
          </w:tcPr>
          <w:p>
            <w:r>
              <w:rPr>
                <w:b/>
                <w:bCs/>
                <w:color w:val="FFFFFF"/>
                <w:sz w:val="15"/>
                <w:szCs w:val="15"/>
              </w:rPr>
              <w:t xml:space="preserve">Count</w:t>
            </w:r>
          </w:p>
        </w:tc>
      </w:tr>
      <w:tr>
        <w:tc>
          <w:tcPr>
            <w:tcW w:type="dxa" w:w="6264"/>
            <w:tcMar>
              <w:top w:type="dxa" w:w="50"/>
              <w:left w:type="dxa" w:w="80"/>
              <w:bottom w:type="dxa" w:w="50"/>
              <w:right w:type="dxa" w:w="80"/>
            </w:tcMar>
            <w:vAlign w:val="top"/>
          </w:tcPr>
          <w:p>
            <w:r>
              <w:rPr>
                <w:b/>
                <w:bCs/>
                <w:color w:val="000000"/>
                <w:sz w:val="17"/>
                <w:szCs w:val="17"/>
              </w:rPr>
              <w:t xml:space="preserve">Top-level REST resources</w:t>
            </w:r>
          </w:p>
        </w:tc>
        <w:tc>
          <w:tcPr>
            <w:tcW w:type="dxa" w:w="4176"/>
            <w:tcMar>
              <w:top w:type="dxa" w:w="50"/>
              <w:left w:type="dxa" w:w="80"/>
              <w:bottom w:type="dxa" w:w="50"/>
              <w:right w:type="dxa" w:w="80"/>
            </w:tcMar>
            <w:vAlign w:val="top"/>
          </w:tcPr>
          <w:p>
            <w:r>
              <w:rPr>
                <w:b w:val="false"/>
                <w:bCs w:val="false"/>
                <w:color w:val="000000"/>
                <w:sz w:val="17"/>
                <w:szCs w:val="17"/>
              </w:rPr>
              <w:t xml:space="preserve">47</w:t>
            </w:r>
          </w:p>
        </w:tc>
      </w:tr>
      <w:tr>
        <w:tc>
          <w:tcPr>
            <w:tcW w:type="dxa" w:w="6264"/>
            <w:tcMar>
              <w:top w:type="dxa" w:w="50"/>
              <w:left w:type="dxa" w:w="80"/>
              <w:bottom w:type="dxa" w:w="50"/>
              <w:right w:type="dxa" w:w="80"/>
            </w:tcMar>
            <w:vAlign w:val="top"/>
          </w:tcPr>
          <w:p>
            <w:r>
              <w:rPr>
                <w:b/>
                <w:bCs/>
                <w:color w:val="000000"/>
                <w:sz w:val="17"/>
                <w:szCs w:val="17"/>
              </w:rPr>
              <w:t xml:space="preserve">Nested (sub-resource) endpoints</w:t>
            </w:r>
          </w:p>
        </w:tc>
        <w:tc>
          <w:tcPr>
            <w:tcW w:type="dxa" w:w="4176"/>
            <w:tcMar>
              <w:top w:type="dxa" w:w="50"/>
              <w:left w:type="dxa" w:w="80"/>
              <w:bottom w:type="dxa" w:w="50"/>
              <w:right w:type="dxa" w:w="80"/>
            </w:tcMar>
            <w:vAlign w:val="top"/>
          </w:tcPr>
          <w:p>
            <w:r>
              <w:rPr>
                <w:b w:val="false"/>
                <w:bCs w:val="false"/>
                <w:color w:val="000000"/>
                <w:sz w:val="17"/>
                <w:szCs w:val="17"/>
              </w:rPr>
              <w:t xml:space="preserve">13</w:t>
            </w:r>
          </w:p>
        </w:tc>
      </w:tr>
      <w:tr>
        <w:tc>
          <w:tcPr>
            <w:tcW w:type="dxa" w:w="6264"/>
            <w:tcMar>
              <w:top w:type="dxa" w:w="50"/>
              <w:left w:type="dxa" w:w="80"/>
              <w:bottom w:type="dxa" w:w="50"/>
              <w:right w:type="dxa" w:w="80"/>
            </w:tcMar>
            <w:vAlign w:val="top"/>
          </w:tcPr>
          <w:p>
            <w:r>
              <w:rPr>
                <w:b/>
                <w:bCs/>
                <w:color w:val="000000"/>
                <w:sz w:val="17"/>
                <w:szCs w:val="17"/>
              </w:rPr>
              <w:t xml:space="preserve">Internal-only entities (not exposed via public API)</w:t>
            </w:r>
          </w:p>
        </w:tc>
        <w:tc>
          <w:tcPr>
            <w:tcW w:type="dxa" w:w="4176"/>
            <w:tcMar>
              <w:top w:type="dxa" w:w="50"/>
              <w:left w:type="dxa" w:w="80"/>
              <w:bottom w:type="dxa" w:w="50"/>
              <w:right w:type="dxa" w:w="80"/>
            </w:tcMar>
            <w:vAlign w:val="top"/>
          </w:tcPr>
          <w:p>
            <w:r>
              <w:rPr>
                <w:b w:val="false"/>
                <w:bCs w:val="false"/>
                <w:color w:val="000000"/>
                <w:sz w:val="17"/>
                <w:szCs w:val="17"/>
              </w:rPr>
              <w:t xml:space="preserve">2</w:t>
            </w:r>
          </w:p>
        </w:tc>
      </w:tr>
      <w:tr>
        <w:tc>
          <w:tcPr>
            <w:tcW w:type="dxa" w:w="6264"/>
            <w:tcMar>
              <w:top w:type="dxa" w:w="50"/>
              <w:left w:type="dxa" w:w="80"/>
              <w:bottom w:type="dxa" w:w="50"/>
              <w:right w:type="dxa" w:w="80"/>
            </w:tcMar>
            <w:vAlign w:val="top"/>
          </w:tcPr>
          <w:p>
            <w:r>
              <w:rPr>
                <w:b/>
                <w:bCs/>
                <w:color w:val="000000"/>
                <w:sz w:val="17"/>
                <w:szCs w:val="17"/>
              </w:rPr>
              <w:t xml:space="preserve">API domains (Part 3)</w:t>
            </w:r>
          </w:p>
        </w:tc>
        <w:tc>
          <w:tcPr>
            <w:tcW w:type="dxa" w:w="4176"/>
            <w:tcMar>
              <w:top w:type="dxa" w:w="50"/>
              <w:left w:type="dxa" w:w="80"/>
              <w:bottom w:type="dxa" w:w="50"/>
              <w:right w:type="dxa" w:w="80"/>
            </w:tcMar>
            <w:vAlign w:val="top"/>
          </w:tcPr>
          <w:p>
            <w:r>
              <w:rPr>
                <w:b w:val="false"/>
                <w:bCs w:val="false"/>
                <w:color w:val="000000"/>
                <w:sz w:val="17"/>
                <w:szCs w:val="17"/>
              </w:rPr>
              <w:t xml:space="preserve">28</w:t>
            </w:r>
          </w:p>
        </w:tc>
      </w:tr>
      <w:tr>
        <w:tc>
          <w:tcPr>
            <w:tcW w:type="dxa" w:w="6264"/>
            <w:tcMar>
              <w:top w:type="dxa" w:w="50"/>
              <w:left w:type="dxa" w:w="80"/>
              <w:bottom w:type="dxa" w:w="50"/>
              <w:right w:type="dxa" w:w="80"/>
            </w:tcMar>
            <w:vAlign w:val="top"/>
          </w:tcPr>
          <w:p>
            <w:r>
              <w:rPr>
                <w:b/>
                <w:bCs/>
                <w:color w:val="000000"/>
                <w:sz w:val="17"/>
                <w:szCs w:val="17"/>
              </w:rPr>
              <w:t xml:space="preserve">Named external integrations (Part 9)</w:t>
            </w:r>
          </w:p>
        </w:tc>
        <w:tc>
          <w:tcPr>
            <w:tcW w:type="dxa" w:w="4176"/>
            <w:tcMar>
              <w:top w:type="dxa" w:w="50"/>
              <w:left w:type="dxa" w:w="80"/>
              <w:bottom w:type="dxa" w:w="50"/>
              <w:right w:type="dxa" w:w="80"/>
            </w:tcMar>
            <w:vAlign w:val="top"/>
          </w:tcPr>
          <w:p>
            <w:r>
              <w:rPr>
                <w:b w:val="false"/>
                <w:bCs w:val="false"/>
                <w:color w:val="000000"/>
                <w:sz w:val="17"/>
                <w:szCs w:val="17"/>
              </w:rPr>
              <w:t xml:space="preserve">12</w:t>
            </w:r>
          </w:p>
        </w:tc>
      </w:tr>
      <w:tr>
        <w:tc>
          <w:tcPr>
            <w:tcW w:type="dxa" w:w="6264"/>
            <w:tcMar>
              <w:top w:type="dxa" w:w="50"/>
              <w:left w:type="dxa" w:w="80"/>
              <w:bottom w:type="dxa" w:w="50"/>
              <w:right w:type="dxa" w:w="80"/>
            </w:tcMar>
            <w:vAlign w:val="top"/>
          </w:tcPr>
          <w:p>
            <w:r>
              <w:rPr>
                <w:b/>
                <w:bCs/>
                <w:color w:val="000000"/>
                <w:sz w:val="17"/>
                <w:szCs w:val="17"/>
              </w:rPr>
              <w:t xml:space="preserve">Webhook event types (Part 8)</w:t>
            </w:r>
          </w:p>
        </w:tc>
        <w:tc>
          <w:tcPr>
            <w:tcW w:type="dxa" w:w="4176"/>
            <w:tcMar>
              <w:top w:type="dxa" w:w="50"/>
              <w:left w:type="dxa" w:w="80"/>
              <w:bottom w:type="dxa" w:w="50"/>
              <w:right w:type="dxa" w:w="80"/>
            </w:tcMar>
            <w:vAlign w:val="top"/>
          </w:tcPr>
          <w:p>
            <w:r>
              <w:rPr>
                <w:b w:val="false"/>
                <w:bCs w:val="false"/>
                <w:color w:val="000000"/>
                <w:sz w:val="17"/>
                <w:szCs w:val="17"/>
              </w:rPr>
              <w:t xml:space="preserve">13</w:t>
            </w:r>
          </w:p>
        </w:tc>
      </w:tr>
    </w:tbl>
    <w:p>
      <w:pPr>
        <w:spacing w:after="160"/>
      </w:pPr>
    </w:p>
    <w:p>
      <w:pPr>
        <w:pStyle w:val="Heading1"/>
        <w:pBdr>
          <w:bottom w:val="single" w:color="1F5C3B" w:sz="6" w:space="4"/>
        </w:pBdr>
        <w:spacing w:after="130" w:before="320"/>
      </w:pPr>
      <w:r>
        <w:t xml:space="preserve">1.3 Strategic Position</w:t>
      </w:r>
    </w:p>
    <w:p>
      <w:pPr>
        <w:spacing w:after="150" w:line="276"/>
        <w:jc w:val="both"/>
      </w:pPr>
      <w:r>
        <w:t xml:space="preserve">The API is designed as the single interface between the platform's data (DDS) and every consumer of it — the ESM/CKR web application itself, the SAPZ Programme website integration, future mobile clients, and every named external system in Part 9. This API-first posture, rather than a web-application-first posture with APIs added later, is the deliberate strategic choice fixed here: the web application built during Sprints 1-8 (per the Methodology's delivery plan) is itself a consumer of this API, not a privileged client with backdoor database access — a discipline that guarantees every integration partner and future client gets the same capability, security enforcement, and data consistency the primary web application gets, with no special cases to maintain.</w:t>
      </w:r>
    </w:p>
    <w:p>
      <w:pPr>
        <w:spacing w:after="150" w:line="276"/>
        <w:jc w:val="both"/>
      </w:pPr>
      <w:r>
        <w:t xml:space="preserve">This specification is written for the same audience the DDS was written for — backend engineers, frontend developers, DevOps teams, integration specialists, and QA engineers — and assumes the reader has the DDS open alongside it: this document defines behaviour (what an endpoint does, how it is secured, how it fails), while the DDS remains the authoritative source for data shape.</w:t>
      </w:r>
    </w:p>
    <w:p>
      <w:pPr>
        <w:pStyle w:val="Heading1"/>
        <w:pBdr>
          <w:bottom w:val="single" w:color="1F5C3B" w:sz="6" w:space="4"/>
        </w:pBdr>
        <w:spacing w:after="130" w:before="320"/>
      </w:pPr>
      <w:r>
        <w:t xml:space="preserve">1.4 What This Specification Fixes vs. Leaves to Antigravity</w:t>
      </w:r>
    </w:p>
    <w:p>
      <w:pPr>
        <w:spacing w:after="150" w:line="276"/>
        <w:jc w:val="both"/>
      </w:pPr>
      <w:r>
        <w:t xml:space="preserve">Fixed by this specification: every resource's URI, supported methods, required permissions, pagination/filtering/sorting contract, standard error format, authentication and authorization model, the twelve integration contracts, the event and webhook catalogues, and the non-functional and security baselines every endpoint must meet. Left to Antigravity's implementation judgement, and explicitly flagged as such wherever it arises: exact numeric rate-limit thresholds (Part 13, pending Week 1-2 finalisation against the selected API gateway's defaults, mirroring SRS Part 28's existing note on this point), the specific API gateway and message broker products selected (Part 10, Part 14 — a recommendation is given, not a mandate), and internal service-to-service implementation details that do not affect the external contract fixed here.</w:t>
      </w:r>
    </w:p>
    <w:p>
      <w:pPr>
        <w:pStyle w:val="Heading1"/>
        <w:pBdr>
          <w:bottom w:val="single" w:color="1F5C3B" w:sz="6" w:space="4"/>
        </w:pBdr>
        <w:spacing w:after="130" w:before="320"/>
      </w:pPr>
      <w:r>
        <w:t xml:space="preserve">1.5 Relationship to the Antigravity Handoff Packages</w:t>
      </w:r>
    </w:p>
    <w:p>
      <w:pPr>
        <w:spacing w:after="150" w:line="276"/>
        <w:jc w:val="both"/>
      </w:pPr>
      <w:r>
        <w:t xml:space="preserve">This is the third Antigravity-facing technical specification produced in this engagement, following the SRS's own Antigravity Engineering Handoff Package and the DDS's Antigravity Database Handoff (DDS Part 18). Part 18 of this document, the Antigravity Engineering Handoff for APIs, is the natural third leg of that same handoff set: the earlier two answer "what does the system do" and "how is data structured"; this one answers "how do services actually talk to each other and to the outside world." Together, the three handoffs are intended to let a development team begin backend implementation, database implementation, and integration work in parallel, each grounded in the same underlying requirements baseline.</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pPr>
    <w:rPr>
      <w:rFonts w:ascii="Arial" w:cs="Arial" w:eastAsia="Arial" w:hAnsi="Arial"/>
      <w:b/>
      <w:bCs/>
      <w:color w:val="1F5C3B"/>
      <w:sz w:val="24"/>
      <w:szCs w:val="24"/>
    </w:rPr>
  </w:style>
  <w:style w:type="paragraph" w:styleId="Heading2">
    <w:name w:val="Heading 2"/>
    <w:basedOn w:val="Normal"/>
    <w:next w:val="Normal"/>
    <w:qFormat/>
    <w:pPr>
      <w:spacing w:after="100" w:before="220"/>
    </w:pPr>
    <w:rPr>
      <w:rFonts w:ascii="Arial" w:cs="Arial" w:eastAsia="Arial" w:hAnsi="Arial"/>
      <w:b/>
      <w:bCs/>
      <w:color w:val="2E8B57"/>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2026-07-19T09:18:12.881Z</dcterms:created>
  <dcterms:modified xsi:type="dcterms:W3CDTF">2026-07-19T09:18:12.881Z</dcterms:modified>
</cp:coreProperties>
</file>

<file path=docProps/custom.xml><?xml version="1.0" encoding="utf-8"?>
<Properties xmlns="http://schemas.openxmlformats.org/officeDocument/2006/custom-properties" xmlns:vt="http://schemas.openxmlformats.org/officeDocument/2006/docPropsVTypes"/>
</file>