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1F5C3B"/>
          <w:sz w:val="32"/>
          <w:szCs w:val="32"/>
        </w:rPr>
        <w:t xml:space="preserve">API &amp; Integration Design Specification (AIDS)</w:t>
      </w:r>
    </w:p>
    <w:p>
      <w:pPr>
        <w:spacing w:after="60"/>
        <w:jc w:val="center"/>
      </w:pPr>
      <w:r>
        <w:rPr>
          <w:b/>
          <w:bCs/>
          <w:color w:val="2E8B57"/>
          <w:sz w:val="22"/>
          <w:szCs w:val="22"/>
        </w:rPr>
        <w:t xml:space="preserve">Enterprise System Management (ESM) Platform and Central Knowledge Repository (CKR)</w:t>
      </w:r>
    </w:p>
    <w:p>
      <w:pPr>
        <w:spacing w:after="40"/>
        <w:jc w:val="center"/>
      </w:pPr>
      <w:r>
        <w:rPr>
          <w:b/>
          <w:bCs/>
          <w:color w:val="2E8B57"/>
          <w:sz w:val="24"/>
          <w:szCs w:val="24"/>
        </w:rPr>
        <w:t xml:space="preserve">Part 2 — API Architecture Overview</w:t>
      </w:r>
    </w:p>
    <w:p>
      <w:pPr>
        <w:spacing w:after="260"/>
        <w:jc w:val="center"/>
      </w:pPr>
      <w:r>
        <w:rPr>
          <w:i/>
          <w:iCs/>
          <w:color w:val="555555"/>
          <w:sz w:val="19"/>
          <w:szCs w:val="19"/>
        </w:rPr>
        <w:t xml:space="preserve">Prepared for the SAPZ National Programme Coordination Office — Consultant: Ahmed Babajide Olanrewaju</w:t>
      </w:r>
    </w:p>
    <w:p>
      <w:pPr>
        <w:pStyle w:val="Heading1"/>
        <w:pBdr>
          <w:bottom w:val="single" w:color="1F5C3B" w:sz="6" w:space="4"/>
        </w:pBdr>
        <w:spacing w:after="130" w:before="320"/>
      </w:pPr>
      <w:r>
        <w:t xml:space="preserve">2.1 Purpose</w:t>
      </w:r>
    </w:p>
    <w:p>
      <w:pPr>
        <w:spacing w:after="150" w:line="276"/>
        <w:jc w:val="both"/>
      </w:pPr>
      <w:r>
        <w:t xml:space="preserve">This Part fixes the architectural shape the API is built within: how services are bounded, whether they are deployed as one application or many, how the API Gateway mediates access, and how internal, external, public, and partner traffic are distinguished and secured differently from one another.</w:t>
      </w:r>
    </w:p>
    <w:p>
      <w:pPr>
        <w:pStyle w:val="Heading1"/>
        <w:pBdr>
          <w:bottom w:val="single" w:color="1F5C3B" w:sz="6" w:space="4"/>
        </w:pBdr>
        <w:spacing w:after="130" w:before="320"/>
      </w:pPr>
      <w:r>
        <w:t xml:space="preserve">2.2 API Landscape</w:t>
      </w:r>
    </w:p>
    <w:p>
      <w:pPr>
        <w:spacing w:after="150" w:line="276"/>
        <w:jc w:val="both"/>
      </w:pPr>
      <w:r>
        <w:t xml:space="preserve">Four traffic categories are served by this API surface, each with a different trust level and each named explicitly because they receive materially different security treatment in Part 5 and Part 14: Internal APIs (consumed by the ESM/CKR web application itself — the large majority of the 47 top-level resources in Part 4), External/Partner APIs (consumed by the 12 named integrations in Part 9 — the SAPZ website, Power BI, future ERP, and others), Public APIs (the unauthenticated subset of Public Portal content, per SRS Part 21, exposed under /api/v1/public), and Webhook Callbacks (outbound notifications this platform sends to registered subscriber endpoints, Part 8 — architecturally the inverse of the other three, since the platform is the caller, not the callee).</w:t>
      </w:r>
    </w:p>
    <w:p>
      <w:pPr>
        <w:pStyle w:val="Heading1"/>
        <w:pBdr>
          <w:bottom w:val="single" w:color="1F5C3B" w:sz="6" w:space="4"/>
        </w:pBdr>
        <w:spacing w:after="130" w:before="320"/>
      </w:pPr>
      <w:r>
        <w:t xml:space="preserve">2.3 Service Boundaries</w:t>
      </w:r>
    </w:p>
    <w:p>
      <w:pPr>
        <w:spacing w:after="150" w:line="276"/>
        <w:jc w:val="both"/>
      </w:pPr>
      <w:r>
        <w:t xml:space="preserve">Service boundaries in this API follow the DDS's 24 data domains and this specification's 28 API domains (Part 3) precisely — a boundary decision made once, at the data layer, and inherited consistently at the API layer, rather than two independently-drawn sets of boundaries that could drift apart. Each API domain owns its own resources' full CRUD lifecycle and exposes cross-domain relationships (e.g. a Project's Tasks) as nested read paths rather than requiring a client to orchestrate calls across domains for a single logical read.</w:t>
      </w:r>
    </w:p>
    <w:p>
      <w:pPr>
        <w:pStyle w:val="Heading1"/>
        <w:pBdr>
          <w:bottom w:val="single" w:color="1F5C3B" w:sz="6" w:space="4"/>
        </w:pBdr>
        <w:spacing w:after="130" w:before="320"/>
      </w:pPr>
      <w:r>
        <w:t xml:space="preserve">2.4 Microservices vs. Modular Monolith — Recommendation and Justification</w:t>
      </w:r>
    </w:p>
    <w:p>
      <w:pPr>
        <w:spacing w:after="150" w:line="276"/>
        <w:jc w:val="both"/>
      </w:pPr>
      <w:r>
        <w:t xml:space="preserve">This specification recommends a modular monolith for Phase 1 — a single deployed backend application, internally organised into the 28 API domain modules named in Part 3, each with clearly enforced internal boundaries (no domain module directly queries another domain's database tables; cross-domain reads go through that domain's own service layer) — rather than a microservices architecture with independently deployed services per domain.</w:t>
      </w:r>
    </w:p>
    <w:p>
      <w:pPr>
        <w:spacing w:after="150" w:line="276"/>
        <w:jc w:val="both"/>
      </w:pPr>
      <w:r>
        <w:t xml:space="preserve">The justification rests on four factors specific to this engagement, not a generic preference: scale (roughly 500 total users and the data volumes projected in DDS Part 16 do not approach the traffic level where microservices' operational complexity pays for itself — a single well-indexed PostgreSQL database and a single application process comfortably serve this load); delivery timeline (the Methodology's 12-week window has no room for the additional DevOps investment microservices require — service discovery, inter-service network policies, distributed tracing infrastructure, and per-service CI/CD pipelines are all real costs a 12-week single-consultant-led engagement cannot absorb without displacing functional delivery); team size (a modular monolith is maintainable by the small implementation team implied by the TOR and Methodology, where a microservices architecture assumes a team large enough to have a dedicated owner per service — not the case here); and data consistency (the DDS's referential-integrity model, Part 8, depends on database-level foreign key constraints across domains — Task references Project, WorkflowItem references Document — which is native and free within a single PostgreSQL database but becomes a distributed-transaction or eventual-consistency problem the moment those domains are split into separately-deployed services with separate datastores).</w:t>
      </w:r>
    </w:p>
    <w:p>
      <w:pPr>
        <w:spacing w:after="150" w:line="276"/>
        <w:jc w:val="both"/>
      </w:pPr>
      <w:r>
        <w:t xml:space="preserve">The modular monolith is deliberately structured so this decision is reversible, not a permanent constraint: because each API domain's module already has an enforced internal boundary and its own service layer (Section 2.3), extracting a single high-load domain into an independent microservice in a future phase — Search is the most likely candidate, given it already has a separate technology (OpenSearch, DDS Part 12) — is a bounded, well-understood refactor rather than an architectural rewrite. This progressive-extraction path is named explicitly in Part 15 (API Governance) as the recommended evolution route if a future phase's scale or team-size assumptions change.</w:t>
      </w:r>
    </w:p>
    <w:p>
      <w:pPr>
        <w:pStyle w:val="Heading1"/>
        <w:pBdr>
          <w:bottom w:val="single" w:color="1F5C3B" w:sz="6" w:space="4"/>
        </w:pBdr>
        <w:spacing w:after="130" w:before="320"/>
      </w:pPr>
      <w:r>
        <w:t xml:space="preserve">2.5 API Gateway Strategy</w:t>
      </w:r>
    </w:p>
    <w:p>
      <w:pPr>
        <w:spacing w:after="150" w:line="276"/>
        <w:jc w:val="both"/>
      </w:pPr>
      <w:r>
        <w:t xml:space="preserve">A single API Gateway sits in front of the modular monolith (and, for any future extracted microservice, in front of that service too), serving five functions uniformly across the entire API surface rather than leaving them to be reimplemented per endpoint: TLS termination, authentication token validation (Part 5), rate limiting (Part 13), request/response logging for observability (Part 13), and routing/versioning (Section 2.7). No specific gateway product is mandated by this specification — Kong, AWS API Gateway, and NGINX-based gateways are all viable against the EA Blueprint's PostgreSQL/OpenSearch/Redis stack (EA Blueprint Section 10.3) and the choice is left to Antigravity's implementation judgement (Part 1.4), provided the five functions above are satisfied.</w:t>
      </w:r>
    </w:p>
    <w:p>
      <w:pPr>
        <w:pStyle w:val="Heading1"/>
        <w:pBdr>
          <w:bottom w:val="single" w:color="1F5C3B" w:sz="6" w:space="4"/>
        </w:pBdr>
        <w:spacing w:after="130" w:before="320"/>
      </w:pPr>
      <w:r>
        <w:t xml:space="preserve">2.6 Integration Layers</w:t>
      </w:r>
    </w:p>
    <w:p>
      <w:pPr>
        <w:spacing w:after="150" w:line="276"/>
        <w:jc w:val="both"/>
      </w:pPr>
      <w:r>
        <w:t xml:space="preserve">Three distinct layers separate concerns cleanly: the Public API layer (this specification, Parts 3-6) is the stable, versioned contract external and internal clients code against; the Integration layer (Part 9) is a set of adapters, one per external system, that translate between this platform's API contract and each external system's own protocol (SOAP, proprietary file formats, or another REST dialect) — isolating the core API from every external system's quirks so that, for example, a future ERP integration's peculiarities never leak into the Projects API's contract; and the Event layer (Part 10) is an asynchronous, decoupled channel for cross-domain and cross-system notification that does not require the publishing domain to know who is listening.</w:t>
      </w:r>
    </w:p>
    <w:p>
      <w:pPr>
        <w:pStyle w:val="Heading1"/>
        <w:pBdr>
          <w:bottom w:val="single" w:color="1F5C3B" w:sz="6" w:space="4"/>
        </w:pBdr>
        <w:spacing w:after="130" w:before="320"/>
      </w:pPr>
      <w:r>
        <w:t xml:space="preserve">2.7 Security Boundaries</w:t>
      </w:r>
    </w:p>
    <w:p>
      <w:pPr>
        <w:spacing w:after="150" w:line="276"/>
        <w:jc w:val="both"/>
      </w:pPr>
      <w:r>
        <w:t xml:space="preserve">Security boundaries are enforced at three points, layered rather than relying on any single control: the API Gateway (Section 2.5) rejects unauthenticated requests to any non-public endpoint before they reach application code; the application layer enforces RBAC/permission checks (Part 5) against the specific resource and action requested; and the database layer's Row-Level Security policies (DDS Part 11.4) provide a final, independent check on row-level visibility even if an application-layer bug were to omit a filter — the same defence-in-depth principle the DDS established for direct database access is carried through to the API layer here.</w:t>
      </w:r>
    </w:p>
    <w:p>
      <w:pPr>
        <w:pStyle w:val="Heading1"/>
        <w:pBdr>
          <w:bottom w:val="single" w:color="1F5C3B" w:sz="6" w:space="4"/>
        </w:pBdr>
        <w:spacing w:after="130" w:before="320"/>
      </w:pPr>
      <w:r>
        <w:t xml:space="preserve">2.8 Versioning Strategy</w:t>
      </w:r>
    </w:p>
    <w:p>
      <w:pPr>
        <w:spacing w:after="150" w:line="276"/>
        <w:jc w:val="both"/>
      </w:pPr>
      <w:r>
        <w:t xml:space="preserve">The API is versioned in the URI path (/api/v1/…) from initial launch, per SRS Part 28's existing decision, carried forward and elaborated here. URI versioning (rather than header-based or content-negotiation versioning) is chosen for its operational simplicity and debuggability — a request's version is visible in server logs, browser network tabs, and API documentation without inspecting headers, which matters for a programme where the NPCO's own ICT Administrator, not only the original engineering team, must be able to reason about the API's behaviour post-handover. Full versioning and deprecation policy detail is in Part 15 (API Governance); this section fixes only the mechanism.</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Arial" w:cs="Arial" w:eastAsia="Arial" w:hAnsi="Arial"/>
      <w:b/>
      <w:bCs/>
      <w:color w:val="1F5C3B"/>
      <w:sz w:val="24"/>
      <w:szCs w:val="24"/>
    </w:rPr>
  </w:style>
  <w:style w:type="paragraph" w:styleId="Heading2">
    <w:name w:val="Heading 2"/>
    <w:basedOn w:val="Normal"/>
    <w:next w:val="Normal"/>
    <w:qFormat/>
    <w:pPr>
      <w:spacing w:after="100" w:before="220"/>
    </w:pPr>
    <w:rPr>
      <w:rFonts w:ascii="Arial" w:cs="Arial" w:eastAsia="Arial" w:hAnsi="Arial"/>
      <w:b/>
      <w:bCs/>
      <w:color w:val="2E8B57"/>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2026-07-19T09:20:31.867Z</dcterms:created>
  <dcterms:modified xsi:type="dcterms:W3CDTF">2026-07-19T09:20:31.868Z</dcterms:modified>
</cp:coreProperties>
</file>

<file path=docProps/custom.xml><?xml version="1.0" encoding="utf-8"?>
<Properties xmlns="http://schemas.openxmlformats.org/officeDocument/2006/custom-properties" xmlns:vt="http://schemas.openxmlformats.org/officeDocument/2006/docPropsVTypes"/>
</file>