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1F5C3B"/>
          <w:sz w:val="32"/>
          <w:szCs w:val="32"/>
        </w:rPr>
        <w:t xml:space="preserve">API &amp; Integration Design Specification (AIDS)</w:t>
      </w:r>
    </w:p>
    <w:p>
      <w:pPr>
        <w:spacing w:after="60"/>
        <w:jc w:val="center"/>
      </w:pPr>
      <w:r>
        <w:rPr>
          <w:b/>
          <w:bCs/>
          <w:color w:val="2E8B57"/>
          <w:sz w:val="22"/>
          <w:szCs w:val="22"/>
        </w:rPr>
        <w:t xml:space="preserve">Enterprise System Management (ESM) Platform and Central Knowledge Repository (CKR)</w:t>
      </w:r>
    </w:p>
    <w:p>
      <w:pPr>
        <w:spacing w:after="40"/>
        <w:jc w:val="center"/>
      </w:pPr>
      <w:r>
        <w:rPr>
          <w:b/>
          <w:bCs/>
          <w:color w:val="2E8B57"/>
          <w:sz w:val="24"/>
          <w:szCs w:val="24"/>
        </w:rPr>
        <w:t xml:space="preserve">Part 3 — API Domain Model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Prepared for the SAPZ National Programme Coordination Office — Consultant: Ahmed Babajide Olanrewaju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3.1 API Domain Model Overview</w:t>
      </w:r>
    </w:p>
    <w:p>
      <w:pPr>
        <w:spacing w:after="150" w:line="276"/>
        <w:jc w:val="both"/>
      </w:pPr>
      <w:r>
        <w:t xml:space="preserve">This specification organises the API surface into 28 domains — a finer-grained split than the DDS's 24 data domains, since some DDS domains (Identity &amp; Access; Governance Registers; Meetings &amp; Calendar) present as several independent API concerns to a client even though they share a data domain. Each API domain below states its responsibility, the DDS entities it exposes, and its key relationships to other domains.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3.2 Authentication (Ref: DDS Domain 1 (Identity &amp; Access) — behavioural, not a stored entity)</w:t>
      </w:r>
    </w:p>
    <w:p>
      <w:pPr>
        <w:spacing w:after="150" w:line="276"/>
        <w:jc w:val="both"/>
      </w:pPr>
      <w:r>
        <w:t xml:space="preserve">Login, token issuance/refresh, MFA verification, logout, session termination. Not a CRUD resource domain — this domain is entirely action-endpoints (Part 5).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Action-based only (no stored-entity CRUD resource)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Every other domain depends on Authentication having completed successfully; it has no dependency on any other domain.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3.3 Users (Ref: DDS Domain 1)</w:t>
      </w:r>
    </w:p>
    <w:p>
      <w:pPr>
        <w:spacing w:after="150" w:line="276"/>
        <w:jc w:val="both"/>
      </w:pPr>
      <w:r>
        <w:t xml:space="preserve">User account lifecycle: creation, profile management, deactivation, MFA enrolment.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User, MFAToken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Referenced by nearly every other domain via createdBy/assigneeId-style fields (DDS Part 10).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3.4 Roles (Ref: DDS Domain 1)</w:t>
      </w:r>
    </w:p>
    <w:p>
      <w:pPr>
        <w:spacing w:after="150" w:line="276"/>
        <w:jc w:val="both"/>
      </w:pPr>
      <w:r>
        <w:t xml:space="preserve">The 10 (11 at Phase 2) fixed role archetypes and their permission grants.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Role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Consumed by Authorization (Part 5) for every request; edited only by ICT Administrator.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3.5 Permissions (Ref: DDS Domain 1)</w:t>
      </w:r>
    </w:p>
    <w:p>
      <w:pPr>
        <w:spacing w:after="150" w:line="276"/>
        <w:jc w:val="both"/>
      </w:pPr>
      <w:r>
        <w:t xml:space="preserve">The ~180 atomic module.action permission units and their assignment to Roles.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Permission, RolePermission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Together with Roles, forms the complete RBAC model (Part 5).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3.6 Organizations (Ref: DDS Domain 2)</w:t>
      </w:r>
    </w:p>
    <w:p>
      <w:pPr>
        <w:spacing w:after="150" w:line="276"/>
        <w:jc w:val="both"/>
      </w:pPr>
      <w:r>
        <w:t xml:space="preserve">Geographic (State) and organisational (Organization, OrgUnit) reference data used for scoping across nearly every other domain.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State, Organization, OrgUnit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Referenced by Projects, Risk/Issue/Decision Registers, and Users for state-scoping (DDS Part 11.4 RLS).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3.7 Programmes (Ref: DDS Domain 4)</w:t>
      </w:r>
    </w:p>
    <w:p>
      <w:pPr>
        <w:spacing w:after="150" w:line="276"/>
        <w:jc w:val="both"/>
      </w:pPr>
      <w:r>
        <w:t xml:space="preserve">Programme-level structure and work-plan submission, the origin point for Task generation (SRS Part 6).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Programme, ProgrammeComponent, WorkPlan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WorkPlan.submit triggers Workflow; approved WorkPlans generate Tasks.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3.8 Projects (Ref: DDS Domain 5)</w:t>
      </w:r>
    </w:p>
    <w:p>
      <w:pPr>
        <w:spacing w:after="150" w:line="276"/>
        <w:jc w:val="both"/>
      </w:pPr>
      <w:r>
        <w:t xml:space="preserve">The core operational unit — Tasks, Documents, and Risks all optionally scope to a Project.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Project, ProjectMilestone, ProjectTeamAssignment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Parent to Tasks, Documents, Risks, Issues via optional project_id foreign keys.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3.9 Tasks (Ref: DDS Domain 6)</w:t>
      </w:r>
    </w:p>
    <w:p>
      <w:pPr>
        <w:spacing w:after="150" w:line="276"/>
        <w:jc w:val="both"/>
      </w:pPr>
      <w:r>
        <w:t xml:space="preserve">Assigned work items, generated from WorkPlans or created directly, tracked to completion.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Task, TaskDependency, TaskComment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Generated by Programmes (WorkPlan parsing); triggers Notifications on assignment/status change.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3.10 Workflow (Ref: DDS Domain 7)</w:t>
      </w:r>
    </w:p>
    <w:p>
      <w:pPr>
        <w:spacing w:after="150" w:line="276"/>
        <w:jc w:val="both"/>
      </w:pPr>
      <w:r>
        <w:t xml:space="preserve">The configurable, multi-tier approval engine underlying Documents, WorkPlans, and Decisions.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WorkflowTemplate, WorkflowStage, WorkflowItem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Consumed by Documents, Programmes, and Decision Register wherever approval is required.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3.11 Approvals (Ref: DDS Domain 8)</w:t>
      </w:r>
    </w:p>
    <w:p>
      <w:pPr>
        <w:spacing w:after="150" w:line="276"/>
        <w:jc w:val="both"/>
      </w:pPr>
      <w:r>
        <w:t xml:space="preserve">The immutable approval-decision record and delegation support.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WorkflowDecision, ApprovalDelegate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Child of Workflow — every WorkflowDecision belongs to exactly one WorkflowItem.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3.12 Documents (Ref: DDS Domain 11)</w:t>
      </w:r>
    </w:p>
    <w:p>
      <w:pPr>
        <w:spacing w:after="150" w:line="276"/>
        <w:jc w:val="both"/>
      </w:pPr>
      <w:r>
        <w:t xml:space="preserve">The centralised ESM document repository, with full version history.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Document, DocumentVersion, DocumentCategory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May carry a WorkflowItem (approval); may belong to a Project.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3.13 Knowledge Repository (Ref: DDS Domain 12)</w:t>
      </w:r>
    </w:p>
    <w:p>
      <w:pPr>
        <w:spacing w:after="150" w:line="276"/>
        <w:jc w:val="both"/>
      </w:pPr>
      <w:r>
        <w:t xml:space="preserve">The CKR's core content domain — publications, case studies, tools, and their taxonomy.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KnowledgeArticle, TaxonomyTerm, KnowledgeReview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Shares TaxonomyTerm with Documents; publish/withdraw actions gate Public Portal visibility.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3.14 Media Library (Ref: DDS Domain 13)</w:t>
      </w:r>
    </w:p>
    <w:p>
      <w:pPr>
        <w:spacing w:after="150" w:line="276"/>
        <w:jc w:val="both"/>
      </w:pPr>
      <w:r>
        <w:t xml:space="preserve">Image, video, and audio assets embeddable into Knowledge Repository content.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MediaAsset, MediaAlbum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Referenced from Knowledge Repository content via embed reference.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3.15 Meetings (Ref: DDS Domain 24)</w:t>
      </w:r>
    </w:p>
    <w:p>
      <w:pPr>
        <w:spacing w:after="150" w:line="276"/>
        <w:jc w:val="both"/>
      </w:pPr>
      <w:r>
        <w:t xml:space="preserve">Scheduled programme meetings, minutes, and action items.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Meeting, MeetingActionItem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MeetingActionItem.convert-to-task creates a Task record in the Tasks domain.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3.16 Calendar (Ref: DDS Domain 24)</w:t>
      </w:r>
    </w:p>
    <w:p>
      <w:pPr>
        <w:spacing w:after="150" w:line="276"/>
        <w:jc w:val="both"/>
      </w:pPr>
      <w:r>
        <w:t xml:space="preserve">Unified calendar surfacing Meetings, Task due dates, and WorkPlan deadlines in one queryable view.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CalendarEvent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Polymorphic read-aggregation over Meetings, Tasks, and Programmes — not an independent source of truth.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3.17 Reports (Ref: DDS Domain 15)</w:t>
      </w:r>
    </w:p>
    <w:p>
      <w:pPr>
        <w:spacing w:after="150" w:line="276"/>
        <w:jc w:val="both"/>
      </w:pPr>
      <w:r>
        <w:t xml:space="preserve">Configurable, on-demand and scheduled reporting matching the Report Catalogue (SRS Part 25).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ReportDefinition, ReportExecutionLog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Reads across Projects, Tasks, Documents, and Risk/Issue/Decision Registers.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3.18 Dashboards (Ref: DDS Domain 3, 16)</w:t>
      </w:r>
    </w:p>
    <w:p>
      <w:pPr>
        <w:spacing w:after="150" w:line="276"/>
        <w:jc w:val="both"/>
      </w:pPr>
      <w:r>
        <w:t xml:space="preserve">Executive and operational dashboards matching the Dashboard Catalogue (SRS Part 24).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StrategicPriority, KPITarget, AnalyticsSnapshot, DashboardWidget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Reads aggregated data from nearly every domain; backed by DDS's materialized views (DDS Part 13.3).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3.19 Notifications (Ref: DDS Domain 17)</w:t>
      </w:r>
    </w:p>
    <w:p>
      <w:pPr>
        <w:spacing w:after="150" w:line="276"/>
        <w:jc w:val="both"/>
      </w:pPr>
      <w:r>
        <w:t xml:space="preserve">In-app, email, SMS, and push notification delivery matching the Notification Catalogue (SRS Part 26).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Notification, NotificationTemplate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Triggered as a side effect of events in nearly every other domain (Part 10, Event-Driven Architecture).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3.20 Audit Logs (Ref: DDS Domain 9)</w:t>
      </w:r>
    </w:p>
    <w:p>
      <w:pPr>
        <w:spacing w:after="150" w:line="276"/>
        <w:jc w:val="both"/>
      </w:pPr>
      <w:r>
        <w:t xml:space="preserve">Read-only, tamper-evident record of security-relevant actions across the platform, plus security incident tracking.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AuditLog, SecurityIncident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Populated as a side effect of writes across every other domain; never written to directly via the API.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3.21 Risk Register (Ref: DDS Domain 23)</w:t>
      </w:r>
    </w:p>
    <w:p>
      <w:pPr>
        <w:spacing w:after="150" w:line="276"/>
        <w:jc w:val="both"/>
      </w:pPr>
      <w:r>
        <w:t xml:space="preserve">Tracked programme/project risks with likelihood/impact rating.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Risk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May belong to a Project or a State; surfaced on Dashboards.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3.22 Issue Register (Ref: DDS Domain 23)</w:t>
      </w:r>
    </w:p>
    <w:p>
      <w:pPr>
        <w:spacing w:after="150" w:line="276"/>
        <w:jc w:val="both"/>
      </w:pPr>
      <w:r>
        <w:t xml:space="preserve">Materialised problems requiring resolution, distinct from a Risk.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Issue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May belong to a Project or a State; surfaced on Dashboards.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3.23 Decision Register (Ref: DDS Domain 23)</w:t>
      </w:r>
    </w:p>
    <w:p>
      <w:pPr>
        <w:spacing w:after="150" w:line="276"/>
        <w:jc w:val="both"/>
      </w:pPr>
      <w:r>
        <w:t xml:space="preserve">Formally recorded programme decisions, optionally routed through Workflow.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Decision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Decision.submit triggers Workflow, mirroring WorkPlan's pattern.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3.24 Training (Ref: DDS Domain 18)</w:t>
      </w:r>
    </w:p>
    <w:p>
      <w:pPr>
        <w:spacing w:after="150" w:line="276"/>
        <w:jc w:val="both"/>
      </w:pPr>
      <w:r>
        <w:t xml:space="preserve">Role-specific training catalogue, enrolment, and certification.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TrainingCourse, TrainingEnrollment, TrainingCertificate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TrainingCourse.target_role_id references Roles.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3.25 Help Desk (Ref: DDS Domain 19, 20)</w:t>
      </w:r>
    </w:p>
    <w:p>
      <w:pPr>
        <w:spacing w:after="150" w:line="276"/>
        <w:jc w:val="both"/>
      </w:pPr>
      <w:r>
        <w:t xml:space="preserve">Assisted support (SupportTicket) and self-service FAQ (HelpDeskArticle) — two related but distinct support channels.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SupportTicket, SupportTicketComment, HelpDeskArticle, HelpDeskCategory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SupportTicket.assign references Users (ICT Administrator).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3.26 Search (Ref: DDS Domain 14, Part 12)</w:t>
      </w:r>
    </w:p>
    <w:p>
      <w:pPr>
        <w:spacing w:after="150" w:line="276"/>
        <w:jc w:val="both"/>
      </w:pPr>
      <w:r>
        <w:t xml:space="preserve">Federated full-text search across Documents, Knowledge Repository, and Tasks — the primary search endpoint is action-based (Part 11), not a stored-entity CRUD domain.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SavedSearch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Reads a denormalised projection of Documents, Knowledge Repository, and Tasks (DDS Part 12).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3.27 Public Portal (Ref: DDS Domain 21)</w:t>
      </w:r>
    </w:p>
    <w:p>
      <w:pPr>
        <w:spacing w:after="150" w:line="276"/>
        <w:jc w:val="both"/>
      </w:pPr>
      <w:r>
        <w:t xml:space="preserve">CKR's unauthenticated public-facing surface.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PortalPage, PortalSubscriber, PortalContactMessage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Reads published Knowledge Repository content; the only domain with meaningful unauthenticated traffic.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3.28 Settings (Ref: DDS Domain 10)</w:t>
      </w:r>
    </w:p>
    <w:p>
      <w:pPr>
        <w:spacing w:after="150" w:line="276"/>
        <w:jc w:val="both"/>
      </w:pPr>
      <w:r>
        <w:t xml:space="preserve">Platform-wide configuration and announcements.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SystemSetting, Announcement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Read by nearly every domain for behavioural configuration (e.g. default escalation hours).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3.29 AI Services (Ref: DDS Domain 22 (Phase 2))</w:t>
      </w:r>
    </w:p>
    <w:p>
      <w:pPr>
        <w:spacing w:after="150" w:line="276"/>
        <w:jc w:val="both"/>
      </w:pPr>
      <w:r>
        <w:t xml:space="preserve">Phase 2 AI Assistant and semantic search — minimal Phase 1 footprint, detailed in Part 12.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7"/>
        <w:gridCol w:w="8143"/>
      </w:tblGrid>
      <w:tr>
        <w:trPr>
          <w:tblHeader/>
        </w:trPr>
        <w:tc>
          <w:tcPr>
            <w:tcW w:type="dxa" w:w="2297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8143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Resources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AIQueryLog</w:t>
            </w:r>
          </w:p>
        </w:tc>
      </w:tr>
      <w:tr>
        <w:tc>
          <w:tcPr>
            <w:tcW w:type="dxa" w:w="229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Key Relationships</w:t>
            </w:r>
          </w:p>
        </w:tc>
        <w:tc>
          <w:tcPr>
            <w:tcW w:type="dxa" w:w="81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Phase 2: reads across Knowledge Repository and Documents for retrieval-augmented responses.</w:t>
            </w:r>
          </w:p>
        </w:tc>
      </w:tr>
    </w:tbl>
    <w:p>
      <w:pPr>
        <w:spacing w:after="160"/>
      </w:pP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1F5C3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Arial" w:cs="Arial" w:eastAsia="Arial" w:hAnsi="Arial"/>
      <w:b/>
      <w:bCs/>
      <w:color w:val="2E8B5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2026-07-19T09:24:40.978Z</dcterms:created>
  <dcterms:modified xsi:type="dcterms:W3CDTF">2026-07-19T09:24:40.978Z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