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5C3B"/>
          <w:sz w:val="32"/>
          <w:szCs w:val="32"/>
        </w:rPr>
        <w:t xml:space="preserve">API &amp; Integration Design Specification (AIDS)</w:t>
      </w:r>
    </w:p>
    <w:p>
      <w:pPr>
        <w:spacing w:after="60"/>
        <w:jc w:val="center"/>
      </w:pPr>
      <w:r>
        <w:rPr>
          <w:b/>
          <w:bCs/>
          <w:color w:val="2E8B57"/>
          <w:sz w:val="22"/>
          <w:szCs w:val="22"/>
        </w:rPr>
        <w:t xml:space="preserve">Enterprise System Management (ESM) Platform and Central Knowledge Repository (CKR)</w:t>
      </w:r>
    </w:p>
    <w:p>
      <w:pPr>
        <w:spacing w:after="40"/>
        <w:jc w:val="center"/>
      </w:pPr>
      <w:r>
        <w:rPr>
          <w:b/>
          <w:bCs/>
          <w:color w:val="2E8B57"/>
          <w:sz w:val="24"/>
          <w:szCs w:val="24"/>
        </w:rPr>
        <w:t xml:space="preserve">Part 5 — Authentication &amp; Authorization</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1F5C3B" w:sz="6" w:space="4"/>
        </w:pBdr>
        <w:spacing w:after="130" w:before="320"/>
      </w:pPr>
      <w:r>
        <w:t xml:space="preserve">5.1 Overview</w:t>
      </w:r>
    </w:p>
    <w:p>
      <w:pPr>
        <w:spacing w:after="150" w:line="276"/>
        <w:jc w:val="both"/>
      </w:pPr>
      <w:r>
        <w:t xml:space="preserve">Authentication and authorization are deliberately separated in this design, consistent with standard OAuth2/OIDC practice: authentication (proving who the caller is) is handled once, at login, and produces a token; authorization (deciding what that caller may do) is evaluated on every single request against the DDS's Role/Permission/RolePermission model (DDS Domain 1), never cached beyond the current request's token claims. This section fixes both halves precisely, since SRS Part 28 and Part 32 established the requirement but deferred the implementation detail this Part now supplies.</w:t>
      </w:r>
    </w:p>
    <w:p>
      <w:pPr>
        <w:pStyle w:val="Heading1"/>
        <w:pBdr>
          <w:bottom w:val="single" w:color="1F5C3B" w:sz="6" w:space="4"/>
        </w:pBdr>
        <w:spacing w:after="130" w:before="320"/>
      </w:pPr>
      <w:r>
        <w:t xml:space="preserve">5.2 Authentication Flow (OAuth2 / OIDC)</w:t>
      </w:r>
    </w:p>
    <w:p>
      <w:pPr>
        <w:spacing w:after="150" w:line="276"/>
        <w:jc w:val="both"/>
      </w:pPr>
      <w:r>
        <w:t xml:space="preserve">ESM/CKR delegates identity verification to the client's existing Identity Provider (Microsoft 365 / Azure AD, per EA Blueprint Section 10.3's technology decision and DDS integration INT-04), using the OAuth2 Authorization Code flow with PKCE (Proof Key for Code Exchange) — the flow recommended by current OAuth2 security best practice (RFC 9700) for browser-based clients, replacing the older Implicit flow this platform deliberately does not use. OpenID Connect (OIDC) layers on top of OAuth2 to supply the identity assertion (an ID Token, in addition to the OAuth2 Access Token) that the application uses to provision or match a local User record (DDS Domain 1) on first login.</w:t>
      </w:r>
    </w:p>
    <w:p>
      <w:pPr>
        <w:spacing w:after="110" w:line="264"/>
      </w:pPr>
      <w:r>
        <w:rPr>
          <w:b/>
          <w:bCs/>
        </w:rPr>
        <w:t xml:space="preserve">1. </w:t>
      </w:r>
      <w:r>
        <w:t xml:space="preserve">The client (ESM/CKR web application) redirects the browser to the Identity Provider's authorization endpoint, with a PKCE code_challenge.</w:t>
      </w:r>
    </w:p>
    <w:p>
      <w:pPr>
        <w:spacing w:after="110" w:line="264"/>
      </w:pPr>
      <w:r>
        <w:rPr>
          <w:b/>
          <w:bCs/>
        </w:rPr>
        <w:t xml:space="preserve">2. </w:t>
      </w:r>
      <w:r>
        <w:t xml:space="preserve">The user authenticates directly with the Identity Provider (including any MFA the Identity Provider itself enforces, Section 5.4) — ESM/CKR never sees the user's password.</w:t>
      </w:r>
    </w:p>
    <w:p>
      <w:pPr>
        <w:spacing w:after="110" w:line="264"/>
      </w:pPr>
      <w:r>
        <w:rPr>
          <w:b/>
          <w:bCs/>
        </w:rPr>
        <w:t xml:space="preserve">3. </w:t>
      </w:r>
      <w:r>
        <w:t xml:space="preserve">The Identity Provider redirects back to ESM/CKR with an authorization code.</w:t>
      </w:r>
    </w:p>
    <w:p>
      <w:pPr>
        <w:spacing w:after="110" w:line="264"/>
      </w:pPr>
      <w:r>
        <w:rPr>
          <w:b/>
          <w:bCs/>
        </w:rPr>
        <w:t xml:space="preserve">4. </w:t>
      </w:r>
      <w:r>
        <w:t xml:space="preserve">The ESM/CKR backend exchanges the code (plus the PKCE code_verifier) for an ID Token and Access Token directly with the Identity Provider, server-to-server — the code is never usable by anyone who intercepts the browser redirect alone.</w:t>
      </w:r>
    </w:p>
    <w:p>
      <w:pPr>
        <w:spacing w:after="110" w:line="264"/>
      </w:pPr>
      <w:r>
        <w:rPr>
          <w:b/>
          <w:bCs/>
        </w:rPr>
        <w:t xml:space="preserve">5. </w:t>
      </w:r>
      <w:r>
        <w:t xml:space="preserve">The backend validates the ID Token's signature and claims, matches or provisions the corresponding User record (DDS Domain 1) by email, and issues its own platform-specific JWT (Section 5.3) — the token every subsequent API call actually presents — rather than passing the Identity Provider's own token through to every endpoint, keeping the platform's authorization model independent of the Identity Provider's token format.</w:t>
      </w:r>
    </w:p>
    <w:p>
      <w:pPr>
        <w:spacing w:after="110" w:line="264"/>
      </w:pPr>
      <w:r>
        <w:rPr>
          <w:b/>
          <w:bCs/>
        </w:rPr>
        <w:t xml:space="preserve">6. </w:t>
      </w:r>
      <w:r>
        <w:t xml:space="preserve">The platform JWT and a separate, longer-lived Refresh Token (Section 5.3) are returned to the client and stored per Section 5.6's session management rules.</w:t>
      </w:r>
    </w:p>
    <w:p>
      <w:pPr>
        <w:pStyle w:val="Heading1"/>
        <w:pBdr>
          <w:bottom w:val="single" w:color="1F5C3B" w:sz="6" w:space="4"/>
        </w:pBdr>
        <w:spacing w:after="130" w:before="320"/>
      </w:pPr>
      <w:r>
        <w:t xml:space="preserve">5.3 JWT, Token Lifecycle, and Claims</w:t>
      </w:r>
    </w:p>
    <w:p>
      <w:pPr>
        <w:spacing w:after="150" w:line="276"/>
        <w:jc w:val="both"/>
      </w:pPr>
      <w:r>
        <w:t xml:space="preserve">The platform-issued Access Token is a JWT, signed (RS256, asymmetric — allowing the API Gateway to validate signatures using only the public key, without holding the signing secret) and short-lived: 15 minutes, chosen to bound the damage window of a leaked token while remaining long enough that most user sessions need only one or two silent refreshes per working session. The Refresh Token is long-lived (7 days, sliding — each use extends the expiry) and, per Section 5.6, stored more restrictively than the Access Token, since its compromise is more consequential.</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879"/>
        <w:gridCol w:w="8561"/>
      </w:tblGrid>
      <w:tr>
        <w:trPr>
          <w:tblHeader/>
        </w:trPr>
        <w:tc>
          <w:tcPr>
            <w:tcW w:type="dxa" w:w="1879"/>
            <w:shd w:fill="1F5C3B" w:val="clear"/>
            <w:tcMar>
              <w:top w:type="dxa" w:w="50"/>
              <w:left w:type="dxa" w:w="80"/>
              <w:bottom w:type="dxa" w:w="50"/>
              <w:right w:type="dxa" w:w="80"/>
            </w:tcMar>
            <w:vAlign w:val="top"/>
          </w:tcPr>
          <w:p>
            <w:r>
              <w:rPr>
                <w:b/>
                <w:bCs/>
                <w:color w:val="FFFFFF"/>
                <w:sz w:val="15"/>
                <w:szCs w:val="15"/>
              </w:rPr>
              <w:t xml:space="preserve">Claim</w:t>
            </w:r>
          </w:p>
        </w:tc>
        <w:tc>
          <w:tcPr>
            <w:tcW w:type="dxa" w:w="8561"/>
            <w:shd w:fill="1F5C3B" w:val="clear"/>
            <w:tcMar>
              <w:top w:type="dxa" w:w="50"/>
              <w:left w:type="dxa" w:w="80"/>
              <w:bottom w:type="dxa" w:w="50"/>
              <w:right w:type="dxa" w:w="80"/>
            </w:tcMar>
            <w:vAlign w:val="top"/>
          </w:tcPr>
          <w:p>
            <w:r>
              <w:rPr>
                <w:b/>
                <w:bCs/>
                <w:color w:val="FFFFFF"/>
                <w:sz w:val="15"/>
                <w:szCs w:val="15"/>
              </w:rPr>
              <w:t xml:space="preserve">Meaning</w:t>
            </w:r>
          </w:p>
        </w:tc>
      </w:tr>
      <w:tr>
        <w:tc>
          <w:tcPr>
            <w:tcW w:type="dxa" w:w="1879"/>
            <w:tcMar>
              <w:top w:type="dxa" w:w="50"/>
              <w:left w:type="dxa" w:w="80"/>
              <w:bottom w:type="dxa" w:w="50"/>
              <w:right w:type="dxa" w:w="80"/>
            </w:tcMar>
            <w:vAlign w:val="top"/>
          </w:tcPr>
          <w:p>
            <w:r>
              <w:rPr>
                <w:b/>
                <w:bCs/>
                <w:color w:val="000000"/>
                <w:sz w:val="15"/>
                <w:szCs w:val="15"/>
              </w:rPr>
              <w:t xml:space="preserve">sub</w:t>
            </w:r>
          </w:p>
        </w:tc>
        <w:tc>
          <w:tcPr>
            <w:tcW w:type="dxa" w:w="8561"/>
            <w:tcMar>
              <w:top w:type="dxa" w:w="50"/>
              <w:left w:type="dxa" w:w="80"/>
              <w:bottom w:type="dxa" w:w="50"/>
              <w:right w:type="dxa" w:w="80"/>
            </w:tcMar>
            <w:vAlign w:val="top"/>
          </w:tcPr>
          <w:p>
            <w:r>
              <w:rPr>
                <w:b w:val="false"/>
                <w:bCs w:val="false"/>
                <w:color w:val="000000"/>
                <w:sz w:val="15"/>
                <w:szCs w:val="15"/>
              </w:rPr>
              <w:t xml:space="preserve">The User's DDS user_id (UUID) — the platform's own identifier, not the Identity Provider's</w:t>
            </w:r>
          </w:p>
        </w:tc>
      </w:tr>
      <w:tr>
        <w:tc>
          <w:tcPr>
            <w:tcW w:type="dxa" w:w="1879"/>
            <w:tcMar>
              <w:top w:type="dxa" w:w="50"/>
              <w:left w:type="dxa" w:w="80"/>
              <w:bottom w:type="dxa" w:w="50"/>
              <w:right w:type="dxa" w:w="80"/>
            </w:tcMar>
            <w:vAlign w:val="top"/>
          </w:tcPr>
          <w:p>
            <w:r>
              <w:rPr>
                <w:b/>
                <w:bCs/>
                <w:color w:val="000000"/>
                <w:sz w:val="15"/>
                <w:szCs w:val="15"/>
              </w:rPr>
              <w:t xml:space="preserve">roleId</w:t>
            </w:r>
          </w:p>
        </w:tc>
        <w:tc>
          <w:tcPr>
            <w:tcW w:type="dxa" w:w="8561"/>
            <w:tcMar>
              <w:top w:type="dxa" w:w="50"/>
              <w:left w:type="dxa" w:w="80"/>
              <w:bottom w:type="dxa" w:w="50"/>
              <w:right w:type="dxa" w:w="80"/>
            </w:tcMar>
            <w:vAlign w:val="top"/>
          </w:tcPr>
          <w:p>
            <w:r>
              <w:rPr>
                <w:b w:val="false"/>
                <w:bCs w:val="false"/>
                <w:color w:val="000000"/>
                <w:sz w:val="15"/>
                <w:szCs w:val="15"/>
              </w:rPr>
              <w:t xml:space="preserve">The User's primary_role_id (DDS Domain 1), resolved at token-issue time</w:t>
            </w:r>
          </w:p>
        </w:tc>
      </w:tr>
      <w:tr>
        <w:tc>
          <w:tcPr>
            <w:tcW w:type="dxa" w:w="1879"/>
            <w:tcMar>
              <w:top w:type="dxa" w:w="50"/>
              <w:left w:type="dxa" w:w="80"/>
              <w:bottom w:type="dxa" w:w="50"/>
              <w:right w:type="dxa" w:w="80"/>
            </w:tcMar>
            <w:vAlign w:val="top"/>
          </w:tcPr>
          <w:p>
            <w:r>
              <w:rPr>
                <w:b/>
                <w:bCs/>
                <w:color w:val="000000"/>
                <w:sz w:val="15"/>
                <w:szCs w:val="15"/>
              </w:rPr>
              <w:t xml:space="preserve">permissions</w:t>
            </w:r>
          </w:p>
        </w:tc>
        <w:tc>
          <w:tcPr>
            <w:tcW w:type="dxa" w:w="8561"/>
            <w:tcMar>
              <w:top w:type="dxa" w:w="50"/>
              <w:left w:type="dxa" w:w="80"/>
              <w:bottom w:type="dxa" w:w="50"/>
              <w:right w:type="dxa" w:w="80"/>
            </w:tcMar>
            <w:vAlign w:val="top"/>
          </w:tcPr>
          <w:p>
            <w:r>
              <w:rPr>
                <w:b w:val="false"/>
                <w:bCs w:val="false"/>
                <w:color w:val="000000"/>
                <w:sz w:val="15"/>
                <w:szCs w:val="15"/>
              </w:rPr>
              <w:t xml:space="preserve">A compact array of permission codes (DDS Permission.code, e.g. document.approve) resolved from the Role-Permission Matrix at token-issue time — embedding permissions in the token avoids a database round-trip on every authorization check, at the cost of a permission change not taking effect until the token is refreshed (mitigated by the 15-minute Access Token lifetime)</w:t>
            </w:r>
          </w:p>
        </w:tc>
      </w:tr>
      <w:tr>
        <w:tc>
          <w:tcPr>
            <w:tcW w:type="dxa" w:w="1879"/>
            <w:tcMar>
              <w:top w:type="dxa" w:w="50"/>
              <w:left w:type="dxa" w:w="80"/>
              <w:bottom w:type="dxa" w:w="50"/>
              <w:right w:type="dxa" w:w="80"/>
            </w:tcMar>
            <w:vAlign w:val="top"/>
          </w:tcPr>
          <w:p>
            <w:r>
              <w:rPr>
                <w:b/>
                <w:bCs/>
                <w:color w:val="000000"/>
                <w:sz w:val="15"/>
                <w:szCs w:val="15"/>
              </w:rPr>
              <w:t xml:space="preserve">stateScope</w:t>
            </w:r>
          </w:p>
        </w:tc>
        <w:tc>
          <w:tcPr>
            <w:tcW w:type="dxa" w:w="8561"/>
            <w:tcMar>
              <w:top w:type="dxa" w:w="50"/>
              <w:left w:type="dxa" w:w="80"/>
              <w:bottom w:type="dxa" w:w="50"/>
              <w:right w:type="dxa" w:w="80"/>
            </w:tcMar>
            <w:vAlign w:val="top"/>
          </w:tcPr>
          <w:p>
            <w:r>
              <w:rPr>
                <w:b w:val="false"/>
                <w:bCs w:val="false"/>
                <w:color w:val="000000"/>
                <w:sz w:val="15"/>
                <w:szCs w:val="15"/>
              </w:rPr>
              <w:t xml:space="preserve">national, or a specific state_id — resolved from the User's OrgUnit (DDS Domain 2), consumed directly by Row-Level Security (DDS Part 11.4) via the API Gateway forwarding this claim as the current_setting the database RLS policy reads</w:t>
            </w:r>
          </w:p>
        </w:tc>
      </w:tr>
      <w:tr>
        <w:tc>
          <w:tcPr>
            <w:tcW w:type="dxa" w:w="1879"/>
            <w:tcMar>
              <w:top w:type="dxa" w:w="50"/>
              <w:left w:type="dxa" w:w="80"/>
              <w:bottom w:type="dxa" w:w="50"/>
              <w:right w:type="dxa" w:w="80"/>
            </w:tcMar>
            <w:vAlign w:val="top"/>
          </w:tcPr>
          <w:p>
            <w:r>
              <w:rPr>
                <w:b/>
                <w:bCs/>
                <w:color w:val="000000"/>
                <w:sz w:val="15"/>
                <w:szCs w:val="15"/>
              </w:rPr>
              <w:t xml:space="preserve">mfaVerified</w:t>
            </w:r>
          </w:p>
        </w:tc>
        <w:tc>
          <w:tcPr>
            <w:tcW w:type="dxa" w:w="8561"/>
            <w:tcMar>
              <w:top w:type="dxa" w:w="50"/>
              <w:left w:type="dxa" w:w="80"/>
              <w:bottom w:type="dxa" w:w="50"/>
              <w:right w:type="dxa" w:w="80"/>
            </w:tcMar>
            <w:vAlign w:val="top"/>
          </w:tcPr>
          <w:p>
            <w:r>
              <w:rPr>
                <w:b w:val="false"/>
                <w:bCs w:val="false"/>
                <w:color w:val="000000"/>
                <w:sz w:val="15"/>
                <w:szCs w:val="15"/>
              </w:rPr>
              <w:t xml:space="preserve">Boolean — false immediately after primary authentication for any role requiring MFA (Section 5.4) until the MFA step completes; endpoints requiring MFA reject a token with mfaVerified: false regardless of role/permission claims</w:t>
            </w:r>
          </w:p>
        </w:tc>
      </w:tr>
      <w:tr>
        <w:tc>
          <w:tcPr>
            <w:tcW w:type="dxa" w:w="1879"/>
            <w:tcMar>
              <w:top w:type="dxa" w:w="50"/>
              <w:left w:type="dxa" w:w="80"/>
              <w:bottom w:type="dxa" w:w="50"/>
              <w:right w:type="dxa" w:w="80"/>
            </w:tcMar>
            <w:vAlign w:val="top"/>
          </w:tcPr>
          <w:p>
            <w:r>
              <w:rPr>
                <w:b/>
                <w:bCs/>
                <w:color w:val="000000"/>
                <w:sz w:val="15"/>
                <w:szCs w:val="15"/>
              </w:rPr>
              <w:t xml:space="preserve">exp / iat</w:t>
            </w:r>
          </w:p>
        </w:tc>
        <w:tc>
          <w:tcPr>
            <w:tcW w:type="dxa" w:w="8561"/>
            <w:tcMar>
              <w:top w:type="dxa" w:w="50"/>
              <w:left w:type="dxa" w:w="80"/>
              <w:bottom w:type="dxa" w:w="50"/>
              <w:right w:type="dxa" w:w="80"/>
            </w:tcMar>
            <w:vAlign w:val="top"/>
          </w:tcPr>
          <w:p>
            <w:r>
              <w:rPr>
                <w:b w:val="false"/>
                <w:bCs w:val="false"/>
                <w:color w:val="000000"/>
                <w:sz w:val="15"/>
                <w:szCs w:val="15"/>
              </w:rPr>
              <w:t xml:space="preserve">Standard JWT expiry and issued-at timestamps</w:t>
            </w:r>
          </w:p>
        </w:tc>
      </w:tr>
    </w:tbl>
    <w:p>
      <w:pPr>
        <w:spacing w:after="160"/>
      </w:pPr>
    </w:p>
    <w:p>
      <w:pPr>
        <w:pStyle w:val="Heading1"/>
        <w:pBdr>
          <w:bottom w:val="single" w:color="1F5C3B" w:sz="6" w:space="4"/>
        </w:pBdr>
        <w:spacing w:after="130" w:before="320"/>
      </w:pPr>
      <w:r>
        <w:t xml:space="preserve">5.4 Multi-Factor Authentication</w:t>
      </w:r>
    </w:p>
    <w:p>
      <w:pPr>
        <w:spacing w:after="150" w:line="276"/>
        <w:jc w:val="both"/>
      </w:pPr>
      <w:r>
        <w:t xml:space="preserve">MFA is enforced for every role above Registered CKR User / Public Visitor (per SRS Part 32 and the Methodology's Sprint 4 security implementation), using the MFAToken entity (DDS Domain 1) for TOTP-based verification as the primary method, with SMS as a fallback (consistent with DDS's Notification channel model reserving SMS for critical-tier communication, DDS Domain 17). The authentication flow (Section 5.2) issues a token with mfaVerified: false immediately after the OIDC exchange; the client must then call POST /api/v1/auth/mfa/verify with a current TOTP code before receiving a token with mfaVerified: true, which every non-public endpoint requires.</w:t>
      </w:r>
    </w:p>
    <w:p>
      <w:pPr>
        <w:pStyle w:val="Heading1"/>
        <w:pBdr>
          <w:bottom w:val="single" w:color="1F5C3B" w:sz="6" w:space="4"/>
        </w:pBdr>
        <w:spacing w:after="130" w:before="320"/>
      </w:pPr>
      <w:r>
        <w:t xml:space="preserve">5.5 RBAC and Fine-Grained Permissions</w:t>
      </w:r>
    </w:p>
    <w:p>
      <w:pPr>
        <w:spacing w:after="150" w:line="276"/>
        <w:jc w:val="both"/>
      </w:pPr>
      <w:r>
        <w:t xml:space="preserve">Authorization for every request follows the same two-check pattern, applied uniformly regardless of endpoint: a coarse role/permission check (does the caller's permissions claim, Section 5.3, include the code this endpoint requires — e.g. task.create) performed at the API Gateway or a shared middleware layer before any application logic runs, and a fine-grained, resource-instance check (does this specific Task belong to a Project this caller's stateScope actually covers) performed by the resource's own service layer, backed by the same Row-Level Security policies the DDS defines (DDS Part 11.4) so the check is enforced identically whether the request comes through the API or, in principle, through any other access path.</w:t>
      </w:r>
    </w:p>
    <w:p>
      <w:pPr>
        <w:pStyle w:val="Heading2"/>
        <w:spacing w:after="100" w:before="220"/>
      </w:pPr>
      <w:r>
        <w:rPr>
          <w:b/>
          <w:bCs/>
          <w:color w:val="2E8B57"/>
          <w:sz w:val="21"/>
          <w:szCs w:val="21"/>
        </w:rPr>
        <w:t xml:space="preserve">5.5.1 Sample Permission Matrix</w:t>
      </w:r>
    </w:p>
    <w:p>
      <w:pPr>
        <w:spacing w:after="150" w:line="276"/>
        <w:jc w:val="both"/>
      </w:pPr>
      <w:r>
        <w:t xml:space="preserve">A representative slice of the full permission matrix (the complete matrix — 10 roles × ~180 permissions — is generated directly from DDS's RolePermission table, DDS Domain 1, not hand-maintained separately from it, to avoid the two-sources-of-truth risk):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97"/>
        <w:gridCol w:w="1629"/>
        <w:gridCol w:w="1629"/>
        <w:gridCol w:w="1629"/>
        <w:gridCol w:w="1629"/>
        <w:gridCol w:w="1629"/>
      </w:tblGrid>
      <w:tr>
        <w:trPr>
          <w:tblHeader/>
        </w:trPr>
        <w:tc>
          <w:tcPr>
            <w:tcW w:type="dxa" w:w="2297"/>
            <w:shd w:fill="1F5C3B" w:val="clear"/>
            <w:tcMar>
              <w:top w:type="dxa" w:w="50"/>
              <w:left w:type="dxa" w:w="80"/>
              <w:bottom w:type="dxa" w:w="50"/>
              <w:right w:type="dxa" w:w="80"/>
            </w:tcMar>
            <w:vAlign w:val="top"/>
          </w:tcPr>
          <w:p>
            <w:r>
              <w:rPr>
                <w:b/>
                <w:bCs/>
                <w:color w:val="FFFFFF"/>
                <w:sz w:val="15"/>
                <w:szCs w:val="15"/>
              </w:rPr>
              <w:t xml:space="preserve">Permission Code</w:t>
            </w:r>
          </w:p>
        </w:tc>
        <w:tc>
          <w:tcPr>
            <w:tcW w:type="dxa" w:w="1629"/>
            <w:shd w:fill="1F5C3B" w:val="clear"/>
            <w:tcMar>
              <w:top w:type="dxa" w:w="50"/>
              <w:left w:type="dxa" w:w="80"/>
              <w:bottom w:type="dxa" w:w="50"/>
              <w:right w:type="dxa" w:w="80"/>
            </w:tcMar>
            <w:vAlign w:val="top"/>
          </w:tcPr>
          <w:p>
            <w:r>
              <w:rPr>
                <w:b/>
                <w:bCs/>
                <w:color w:val="FFFFFF"/>
                <w:sz w:val="15"/>
                <w:szCs w:val="15"/>
              </w:rPr>
              <w:t xml:space="preserve">National Coordinator</w:t>
            </w:r>
          </w:p>
        </w:tc>
        <w:tc>
          <w:tcPr>
            <w:tcW w:type="dxa" w:w="1629"/>
            <w:shd w:fill="1F5C3B" w:val="clear"/>
            <w:tcMar>
              <w:top w:type="dxa" w:w="50"/>
              <w:left w:type="dxa" w:w="80"/>
              <w:bottom w:type="dxa" w:w="50"/>
              <w:right w:type="dxa" w:w="80"/>
            </w:tcMar>
            <w:vAlign w:val="top"/>
          </w:tcPr>
          <w:p>
            <w:r>
              <w:rPr>
                <w:b/>
                <w:bCs/>
                <w:color w:val="FFFFFF"/>
                <w:sz w:val="15"/>
                <w:szCs w:val="15"/>
              </w:rPr>
              <w:t xml:space="preserve">State Coordinator</w:t>
            </w:r>
          </w:p>
        </w:tc>
        <w:tc>
          <w:tcPr>
            <w:tcW w:type="dxa" w:w="1629"/>
            <w:shd w:fill="1F5C3B" w:val="clear"/>
            <w:tcMar>
              <w:top w:type="dxa" w:w="50"/>
              <w:left w:type="dxa" w:w="80"/>
              <w:bottom w:type="dxa" w:w="50"/>
              <w:right w:type="dxa" w:w="80"/>
            </w:tcMar>
            <w:vAlign w:val="top"/>
          </w:tcPr>
          <w:p>
            <w:r>
              <w:rPr>
                <w:b/>
                <w:bCs/>
                <w:color w:val="FFFFFF"/>
                <w:sz w:val="15"/>
                <w:szCs w:val="15"/>
              </w:rPr>
              <w:t xml:space="preserve">Programme Officer</w:t>
            </w:r>
          </w:p>
        </w:tc>
        <w:tc>
          <w:tcPr>
            <w:tcW w:type="dxa" w:w="1629"/>
            <w:shd w:fill="1F5C3B" w:val="clear"/>
            <w:tcMar>
              <w:top w:type="dxa" w:w="50"/>
              <w:left w:type="dxa" w:w="80"/>
              <w:bottom w:type="dxa" w:w="50"/>
              <w:right w:type="dxa" w:w="80"/>
            </w:tcMar>
            <w:vAlign w:val="top"/>
          </w:tcPr>
          <w:p>
            <w:r>
              <w:rPr>
                <w:b/>
                <w:bCs/>
                <w:color w:val="FFFFFF"/>
                <w:sz w:val="15"/>
                <w:szCs w:val="15"/>
              </w:rPr>
              <w:t xml:space="preserve">Finance Officer</w:t>
            </w:r>
          </w:p>
        </w:tc>
        <w:tc>
          <w:tcPr>
            <w:tcW w:type="dxa" w:w="1629"/>
            <w:shd w:fill="1F5C3B" w:val="clear"/>
            <w:tcMar>
              <w:top w:type="dxa" w:w="50"/>
              <w:left w:type="dxa" w:w="80"/>
              <w:bottom w:type="dxa" w:w="50"/>
              <w:right w:type="dxa" w:w="80"/>
            </w:tcMar>
            <w:vAlign w:val="top"/>
          </w:tcPr>
          <w:p>
            <w:r>
              <w:rPr>
                <w:b/>
                <w:bCs/>
                <w:color w:val="FFFFFF"/>
                <w:sz w:val="15"/>
                <w:szCs w:val="15"/>
              </w:rPr>
              <w:t xml:space="preserve">Public Visitor</w:t>
            </w:r>
          </w:p>
        </w:tc>
      </w:tr>
      <w:tr>
        <w:tc>
          <w:tcPr>
            <w:tcW w:type="dxa" w:w="2297"/>
            <w:tcMar>
              <w:top w:type="dxa" w:w="50"/>
              <w:left w:type="dxa" w:w="80"/>
              <w:bottom w:type="dxa" w:w="50"/>
              <w:right w:type="dxa" w:w="80"/>
            </w:tcMar>
            <w:vAlign w:val="top"/>
          </w:tcPr>
          <w:p>
            <w:r>
              <w:rPr>
                <w:b/>
                <w:bCs/>
                <w:color w:val="000000"/>
                <w:sz w:val="14"/>
                <w:szCs w:val="14"/>
              </w:rPr>
              <w:t xml:space="preserve">project.create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 (own state)</w:t>
            </w:r>
          </w:p>
        </w:tc>
        <w:tc>
          <w:tcPr>
            <w:tcW w:type="dxa" w:w="1629"/>
            <w:tcMar>
              <w:top w:type="dxa" w:w="50"/>
              <w:left w:type="dxa" w:w="80"/>
              <w:bottom w:type="dxa" w:w="50"/>
              <w:right w:type="dxa" w:w="80"/>
            </w:tcMar>
            <w:vAlign w:val="top"/>
          </w:tcPr>
          <w:p>
            <w:r>
              <w:rPr>
                <w:b w:val="false"/>
                <w:bCs w:val="false"/>
                <w:color w:val="000000"/>
                <w:sz w:val="14"/>
                <w:szCs w:val="14"/>
              </w:rPr>
              <w:t xml:space="preserve">✓ (own state)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r>
      <w:tr>
        <w:tc>
          <w:tcPr>
            <w:tcW w:type="dxa" w:w="2297"/>
            <w:tcMar>
              <w:top w:type="dxa" w:w="50"/>
              <w:left w:type="dxa" w:w="80"/>
              <w:bottom w:type="dxa" w:w="50"/>
              <w:right w:type="dxa" w:w="80"/>
            </w:tcMar>
            <w:vAlign w:val="top"/>
          </w:tcPr>
          <w:p>
            <w:r>
              <w:rPr>
                <w:b/>
                <w:bCs/>
                <w:color w:val="000000"/>
                <w:sz w:val="14"/>
                <w:szCs w:val="14"/>
              </w:rPr>
              <w:t xml:space="preserve">project.approve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r>
      <w:tr>
        <w:tc>
          <w:tcPr>
            <w:tcW w:type="dxa" w:w="2297"/>
            <w:tcMar>
              <w:top w:type="dxa" w:w="50"/>
              <w:left w:type="dxa" w:w="80"/>
              <w:bottom w:type="dxa" w:w="50"/>
              <w:right w:type="dxa" w:w="80"/>
            </w:tcMar>
            <w:vAlign w:val="top"/>
          </w:tcPr>
          <w:p>
            <w:r>
              <w:rPr>
                <w:b/>
                <w:bCs/>
                <w:color w:val="000000"/>
                <w:sz w:val="14"/>
                <w:szCs w:val="14"/>
              </w:rPr>
              <w:t xml:space="preserve">document.approve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 (own state)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 (financial docs)</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r>
      <w:tr>
        <w:tc>
          <w:tcPr>
            <w:tcW w:type="dxa" w:w="2297"/>
            <w:tcMar>
              <w:top w:type="dxa" w:w="50"/>
              <w:left w:type="dxa" w:w="80"/>
              <w:bottom w:type="dxa" w:w="50"/>
              <w:right w:type="dxa" w:w="80"/>
            </w:tcMar>
            <w:vAlign w:val="top"/>
          </w:tcPr>
          <w:p>
            <w:r>
              <w:rPr>
                <w:b/>
                <w:bCs/>
                <w:color w:val="000000"/>
                <w:sz w:val="14"/>
                <w:szCs w:val="14"/>
              </w:rPr>
              <w:t xml:space="preserve">risk.create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 (own state)</w:t>
            </w:r>
          </w:p>
        </w:tc>
        <w:tc>
          <w:tcPr>
            <w:tcW w:type="dxa" w:w="1629"/>
            <w:tcMar>
              <w:top w:type="dxa" w:w="50"/>
              <w:left w:type="dxa" w:w="80"/>
              <w:bottom w:type="dxa" w:w="50"/>
              <w:right w:type="dxa" w:w="80"/>
            </w:tcMar>
            <w:vAlign w:val="top"/>
          </w:tcPr>
          <w:p>
            <w:r>
              <w:rPr>
                <w:b w:val="false"/>
                <w:bCs w:val="false"/>
                <w:color w:val="000000"/>
                <w:sz w:val="14"/>
                <w:szCs w:val="14"/>
              </w:rPr>
              <w:t xml:space="preserve">✓ (own state)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r>
      <w:tr>
        <w:tc>
          <w:tcPr>
            <w:tcW w:type="dxa" w:w="2297"/>
            <w:tcMar>
              <w:top w:type="dxa" w:w="50"/>
              <w:left w:type="dxa" w:w="80"/>
              <w:bottom w:type="dxa" w:w="50"/>
              <w:right w:type="dxa" w:w="80"/>
            </w:tcMar>
            <w:vAlign w:val="top"/>
          </w:tcPr>
          <w:p>
            <w:r>
              <w:rPr>
                <w:b/>
                <w:bCs/>
                <w:color w:val="000000"/>
                <w:sz w:val="14"/>
                <w:szCs w:val="14"/>
              </w:rPr>
              <w:t xml:space="preserve">knowledge.publish</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r>
      <w:tr>
        <w:tc>
          <w:tcPr>
            <w:tcW w:type="dxa" w:w="2297"/>
            <w:tcMar>
              <w:top w:type="dxa" w:w="50"/>
              <w:left w:type="dxa" w:w="80"/>
              <w:bottom w:type="dxa" w:w="50"/>
              <w:right w:type="dxa" w:w="80"/>
            </w:tcMar>
            <w:vAlign w:val="top"/>
          </w:tcPr>
          <w:p>
            <w:r>
              <w:rPr>
                <w:b/>
                <w:bCs/>
                <w:color w:val="000000"/>
                <w:sz w:val="14"/>
                <w:szCs w:val="14"/>
              </w:rPr>
              <w:t xml:space="preserve">knowledge.read (public)</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 (published only)</w:t>
            </w:r>
          </w:p>
        </w:tc>
      </w:tr>
      <w:tr>
        <w:tc>
          <w:tcPr>
            <w:tcW w:type="dxa" w:w="2297"/>
            <w:tcMar>
              <w:top w:type="dxa" w:w="50"/>
              <w:left w:type="dxa" w:w="80"/>
              <w:bottom w:type="dxa" w:w="50"/>
              <w:right w:type="dxa" w:w="80"/>
            </w:tcMar>
            <w:vAlign w:val="top"/>
          </w:tcPr>
          <w:p>
            <w:r>
              <w:rPr>
                <w:b/>
                <w:bCs/>
                <w:color w:val="000000"/>
                <w:sz w:val="14"/>
                <w:szCs w:val="14"/>
              </w:rPr>
              <w:t xml:space="preserve">user.deactivate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c>
          <w:tcPr>
            <w:tcW w:type="dxa" w:w="1629"/>
            <w:tcMar>
              <w:top w:type="dxa" w:w="50"/>
              <w:left w:type="dxa" w:w="80"/>
              <w:bottom w:type="dxa" w:w="50"/>
              <w:right w:type="dxa" w:w="80"/>
            </w:tcMar>
            <w:vAlign w:val="top"/>
          </w:tcPr>
          <w:p>
            <w:r>
              <w:rPr>
                <w:b w:val="false"/>
                <w:bCs w:val="false"/>
                <w:color w:val="000000"/>
                <w:sz w:val="14"/>
                <w:szCs w:val="14"/>
              </w:rPr>
              <w:t xml:space="preserve">—</w:t>
            </w:r>
          </w:p>
        </w:tc>
      </w:tr>
    </w:tbl>
    <w:p>
      <w:pPr>
        <w:spacing w:after="160"/>
      </w:pPr>
    </w:p>
    <w:p>
      <w:pPr>
        <w:pStyle w:val="Heading1"/>
        <w:pBdr>
          <w:bottom w:val="single" w:color="1F5C3B" w:sz="6" w:space="4"/>
        </w:pBdr>
        <w:spacing w:after="130" w:before="320"/>
      </w:pPr>
      <w:r>
        <w:t xml:space="preserve">5.6 API Keys, Service Accounts, and Session Management</w:t>
      </w:r>
    </w:p>
    <w:p>
      <w:pPr>
        <w:spacing w:after="150" w:line="276"/>
        <w:jc w:val="both"/>
      </w:pPr>
      <w:r>
        <w:t xml:space="preserve">Two authentication mechanisms exist alongside the primary OIDC/JWT flow, each for a specific non-interactive use case: Service Accounts (a dedicated User row, DDS Domain 1, flagged as non-interactive, used by scheduled jobs — AnalyticsSnapshot capture, search sync, DDS Part 12 — authenticating via a client-credentials OAuth2 grant rather than the authorization-code flow, since no human is present to redirect) and API Keys (issued per external integration partner, Part 9, scoped to only the specific endpoints that partner's contract requires, and rate-limited independently of user-tier limits, Part 13) — API Keys are never issued to end users, only to the twelve named integrations.</w:t>
      </w:r>
    </w:p>
    <w:p>
      <w:pPr>
        <w:spacing w:after="150" w:line="276"/>
        <w:jc w:val="both"/>
      </w:pPr>
      <w:r>
        <w:t xml:space="preserve">Session management on the client: the Access Token is held in memory only (never localStorage, per standard XSS-mitigation practice), while the Refresh Token is stored in an HttpOnly, Secure, SameSite=Strict cookie, inaccessible to client-side JavaScript entirely — this split ensures that even a successful XSS attack against the web application cannot exfiltrate the longer-lived, more consequential Refresh Token. Logout (POST /api/v1/auth/logout) revokes the Refresh Token server-side immediately and clears the cookie; the short remaining Access Token lifetime (Section 5.3) bounds any residual exposure.</w:t>
      </w:r>
    </w:p>
    <w:p>
      <w:pPr>
        <w:pStyle w:val="Heading1"/>
        <w:pBdr>
          <w:bottom w:val="single" w:color="1F5C3B" w:sz="6" w:space="4"/>
        </w:pBdr>
        <w:spacing w:after="130" w:before="320"/>
      </w:pPr>
      <w:r>
        <w:t xml:space="preserve">5.7 Authorization Rules Summary</w:t>
      </w:r>
    </w:p>
    <w:p>
      <w:pPr>
        <w:pStyle w:val="ListParagraph"/>
        <w:numPr>
          <w:ilvl w:val="0"/>
          <w:numId w:val="1"/>
        </w:numPr>
        <w:spacing w:after="110" w:line="264"/>
      </w:pPr>
      <w:r>
        <w:t xml:space="preserve">Every non-public endpoint returns 401 Unauthorized for a missing or invalid token, and 403 Forbidden (not a misleading 404) for a valid token lacking the required permission — except where SRS's BR-SRCH-01/BR-PORT-01 non-disclosure principle applies (SRS Part 28.2), in which case 404 is deliberately returned to avoid confirming a resource's existence to an unauthorized caller.</w:t>
      </w:r>
    </w:p>
    <w:p>
      <w:pPr>
        <w:pStyle w:val="ListParagraph"/>
        <w:numPr>
          <w:ilvl w:val="0"/>
          <w:numId w:val="1"/>
        </w:numPr>
        <w:spacing w:after="110" w:line="264"/>
      </w:pPr>
      <w:r>
        <w:t xml:space="preserve">A request presenting a token with mfaVerified: false is rejected with 403 and a specific error code (Part 7) directing the client to complete MFA, distinct from a generic permission failure.</w:t>
      </w:r>
    </w:p>
    <w:p>
      <w:pPr>
        <w:pStyle w:val="ListParagraph"/>
        <w:numPr>
          <w:ilvl w:val="0"/>
          <w:numId w:val="1"/>
        </w:numPr>
        <w:spacing w:after="110" w:line="264"/>
      </w:pPr>
      <w:r>
        <w:t xml:space="preserve">State-scoped roles (State Coordinator and below) are rejected with 403, not silently filtered to an empty result, when they explicitly request a resource outside their stateScope by ID — silent filtering on a list endpoint (returning fewer rows) is correct and expected; an explicit single-resource GET/PATCH/DELETE outside scope is treated as an authorization failure worth surfacing to the caller.</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1F5C3B"/>
      <w:sz w:val="24"/>
      <w:szCs w:val="24"/>
    </w:rPr>
  </w:style>
  <w:style w:type="paragraph" w:styleId="Heading2">
    <w:name w:val="Heading 2"/>
    <w:basedOn w:val="Normal"/>
    <w:next w:val="Normal"/>
    <w:qFormat/>
    <w:pPr>
      <w:spacing w:after="100" w:before="220"/>
    </w:pPr>
    <w:rPr>
      <w:rFonts w:ascii="Arial" w:cs="Arial" w:eastAsia="Arial" w:hAnsi="Arial"/>
      <w:b/>
      <w:bCs/>
      <w:color w:val="2E8B5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2026-07-19T09:32:47.557Z</dcterms:created>
  <dcterms:modified xsi:type="dcterms:W3CDTF">2026-07-19T09:32:47.557Z</dcterms:modified>
</cp:coreProperties>
</file>

<file path=docProps/custom.xml><?xml version="1.0" encoding="utf-8"?>
<Properties xmlns="http://schemas.openxmlformats.org/officeDocument/2006/custom-properties" xmlns:vt="http://schemas.openxmlformats.org/officeDocument/2006/docPropsVTypes"/>
</file>