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5C3B"/>
          <w:sz w:val="32"/>
          <w:szCs w:val="32"/>
        </w:rPr>
        <w:t xml:space="preserve">API &amp; Integration Design Specification (AIDS)</w:t>
      </w:r>
    </w:p>
    <w:p>
      <w:pPr>
        <w:spacing w:after="60"/>
        <w:jc w:val="center"/>
      </w:pPr>
      <w:r>
        <w:rPr>
          <w:b/>
          <w:bCs/>
          <w:color w:val="2E8B57"/>
          <w:sz w:val="22"/>
          <w:szCs w:val="22"/>
        </w:rPr>
        <w:t xml:space="preserve">Enterprise System Management (ESM) Platform and Central Knowledge Repository (CKR)</w:t>
      </w:r>
    </w:p>
    <w:p>
      <w:pPr>
        <w:spacing w:after="40"/>
        <w:jc w:val="center"/>
      </w:pPr>
      <w:r>
        <w:rPr>
          <w:b/>
          <w:bCs/>
          <w:color w:val="2E8B57"/>
          <w:sz w:val="24"/>
          <w:szCs w:val="24"/>
        </w:rPr>
        <w:t xml:space="preserve">Part 6 — Payload Specifications</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5C3B" w:sz="6" w:space="4"/>
        </w:pBdr>
        <w:spacing w:after="130" w:before="320"/>
      </w:pPr>
      <w:r>
        <w:t xml:space="preserve">6.1 Overview</w:t>
      </w:r>
    </w:p>
    <w:p>
      <w:pPr>
        <w:spacing w:after="150" w:line="276"/>
        <w:jc w:val="both"/>
      </w:pPr>
      <w:r>
        <w:t xml:space="preserve">This Part fixes the cross-cutting payload conventions that apply uniformly to every one of the 62 resources catalogued in Part 4, so that no individual endpoint needs to restate them and no two endpoints can drift into inconsistent conventions. Per-resource field lists remain in Part 4 (structure) and DDS Part 4 (underlying data types); this Part fixes the JSON-level rules that convert a DDS column into an API field.</w:t>
      </w:r>
    </w:p>
    <w:p>
      <w:pPr>
        <w:pStyle w:val="Heading1"/>
        <w:pBdr>
          <w:bottom w:val="single" w:color="1F5C3B" w:sz="6" w:space="4"/>
        </w:pBdr>
        <w:spacing w:after="130" w:before="320"/>
      </w:pPr>
      <w:r>
        <w:t xml:space="preserve">6.2 Field Naming and Data Type Conventions</w:t>
      </w:r>
    </w:p>
    <w:p>
      <w:pPr>
        <w:spacing w:after="150" w:line="276"/>
        <w:jc w:val="both"/>
      </w:pPr>
      <w:r>
        <w:t xml:space="preserve">Every JSON field name is camelCase (project_id in DDS Part 4 becomes projectId in the API), a single deliberate transformation applied consistently at the API boundary — DDS's snake_case is a PostgreSQL/SQL convention (DDS Part 17.3); camelCase is the JSON/JavaScript convention this API's primary consumers (the web application, and most REST client libraries) expect. This transformation is mechanical and total: no field is left in snake_case as an exception.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88"/>
        <w:gridCol w:w="1879"/>
        <w:gridCol w:w="6473"/>
      </w:tblGrid>
      <w:tr>
        <w:trPr>
          <w:tblHeader/>
        </w:trPr>
        <w:tc>
          <w:tcPr>
            <w:tcW w:type="dxa" w:w="2088"/>
            <w:shd w:fill="1F5C3B" w:val="clear"/>
            <w:tcMar>
              <w:top w:type="dxa" w:w="50"/>
              <w:left w:type="dxa" w:w="80"/>
              <w:bottom w:type="dxa" w:w="50"/>
              <w:right w:type="dxa" w:w="80"/>
            </w:tcMar>
            <w:vAlign w:val="top"/>
          </w:tcPr>
          <w:p>
            <w:r>
              <w:rPr>
                <w:b/>
                <w:bCs/>
                <w:color w:val="FFFFFF"/>
                <w:sz w:val="15"/>
                <w:szCs w:val="15"/>
              </w:rPr>
              <w:t xml:space="preserve">DDS Data Type</w:t>
            </w:r>
          </w:p>
        </w:tc>
        <w:tc>
          <w:tcPr>
            <w:tcW w:type="dxa" w:w="1879"/>
            <w:shd w:fill="1F5C3B" w:val="clear"/>
            <w:tcMar>
              <w:top w:type="dxa" w:w="50"/>
              <w:left w:type="dxa" w:w="80"/>
              <w:bottom w:type="dxa" w:w="50"/>
              <w:right w:type="dxa" w:w="80"/>
            </w:tcMar>
            <w:vAlign w:val="top"/>
          </w:tcPr>
          <w:p>
            <w:r>
              <w:rPr>
                <w:b/>
                <w:bCs/>
                <w:color w:val="FFFFFF"/>
                <w:sz w:val="15"/>
                <w:szCs w:val="15"/>
              </w:rPr>
              <w:t xml:space="preserve">JSON Representation</w:t>
            </w:r>
          </w:p>
        </w:tc>
        <w:tc>
          <w:tcPr>
            <w:tcW w:type="dxa" w:w="6473"/>
            <w:shd w:fill="1F5C3B" w:val="clear"/>
            <w:tcMar>
              <w:top w:type="dxa" w:w="50"/>
              <w:left w:type="dxa" w:w="80"/>
              <w:bottom w:type="dxa" w:w="50"/>
              <w:right w:type="dxa" w:w="80"/>
            </w:tcMar>
            <w:vAlign w:val="top"/>
          </w:tcPr>
          <w:p>
            <w:r>
              <w:rPr>
                <w:b/>
                <w:bCs/>
                <w:color w:val="FFFFFF"/>
                <w:sz w:val="15"/>
                <w:szCs w:val="15"/>
              </w:rPr>
              <w:t xml:space="preserve">Notes</w:t>
            </w:r>
          </w:p>
        </w:tc>
      </w:tr>
      <w:tr>
        <w:tc>
          <w:tcPr>
            <w:tcW w:type="dxa" w:w="2088"/>
            <w:tcMar>
              <w:top w:type="dxa" w:w="50"/>
              <w:left w:type="dxa" w:w="80"/>
              <w:bottom w:type="dxa" w:w="50"/>
              <w:right w:type="dxa" w:w="80"/>
            </w:tcMar>
            <w:vAlign w:val="top"/>
          </w:tcPr>
          <w:p>
            <w:r>
              <w:rPr>
                <w:b/>
                <w:bCs/>
                <w:color w:val="000000"/>
                <w:sz w:val="14"/>
                <w:szCs w:val="14"/>
              </w:rPr>
              <w:t xml:space="preserve">UUID</w:t>
            </w:r>
          </w:p>
        </w:tc>
        <w:tc>
          <w:tcPr>
            <w:tcW w:type="dxa" w:w="1879"/>
            <w:tcMar>
              <w:top w:type="dxa" w:w="50"/>
              <w:left w:type="dxa" w:w="80"/>
              <w:bottom w:type="dxa" w:w="50"/>
              <w:right w:type="dxa" w:w="80"/>
            </w:tcMar>
            <w:vAlign w:val="top"/>
          </w:tcPr>
          <w:p>
            <w:r>
              <w:rPr>
                <w:b w:val="false"/>
                <w:bCs w:val="false"/>
                <w:color w:val="000000"/>
                <w:sz w:val="14"/>
                <w:szCs w:val="14"/>
              </w:rPr>
              <w:t xml:space="preserve">string</w:t>
            </w:r>
          </w:p>
        </w:tc>
        <w:tc>
          <w:tcPr>
            <w:tcW w:type="dxa" w:w="6473"/>
            <w:tcMar>
              <w:top w:type="dxa" w:w="50"/>
              <w:left w:type="dxa" w:w="80"/>
              <w:bottom w:type="dxa" w:w="50"/>
              <w:right w:type="dxa" w:w="80"/>
            </w:tcMar>
            <w:vAlign w:val="top"/>
          </w:tcPr>
          <w:p>
            <w:r>
              <w:rPr>
                <w:b w:val="false"/>
                <w:bCs w:val="false"/>
                <w:color w:val="000000"/>
                <w:sz w:val="14"/>
                <w:szCs w:val="14"/>
              </w:rPr>
              <w:t xml:space="preserve">Canonical hyphenated form, e.g. "8f14e45f-ceea-..."</w:t>
            </w:r>
          </w:p>
        </w:tc>
      </w:tr>
      <w:tr>
        <w:tc>
          <w:tcPr>
            <w:tcW w:type="dxa" w:w="2088"/>
            <w:tcMar>
              <w:top w:type="dxa" w:w="50"/>
              <w:left w:type="dxa" w:w="80"/>
              <w:bottom w:type="dxa" w:w="50"/>
              <w:right w:type="dxa" w:w="80"/>
            </w:tcMar>
            <w:vAlign w:val="top"/>
          </w:tcPr>
          <w:p>
            <w:r>
              <w:rPr>
                <w:b/>
                <w:bCs/>
                <w:color w:val="000000"/>
                <w:sz w:val="14"/>
                <w:szCs w:val="14"/>
              </w:rPr>
              <w:t xml:space="preserve">VARCHAR / TEXT</w:t>
            </w:r>
          </w:p>
        </w:tc>
        <w:tc>
          <w:tcPr>
            <w:tcW w:type="dxa" w:w="1879"/>
            <w:tcMar>
              <w:top w:type="dxa" w:w="50"/>
              <w:left w:type="dxa" w:w="80"/>
              <w:bottom w:type="dxa" w:w="50"/>
              <w:right w:type="dxa" w:w="80"/>
            </w:tcMar>
            <w:vAlign w:val="top"/>
          </w:tcPr>
          <w:p>
            <w:r>
              <w:rPr>
                <w:b w:val="false"/>
                <w:bCs w:val="false"/>
                <w:color w:val="000000"/>
                <w:sz w:val="14"/>
                <w:szCs w:val="14"/>
              </w:rPr>
              <w:t xml:space="preserve">string</w:t>
            </w:r>
          </w:p>
        </w:tc>
        <w:tc>
          <w:tcPr>
            <w:tcW w:type="dxa" w:w="6473"/>
            <w:tcMar>
              <w:top w:type="dxa" w:w="50"/>
              <w:left w:type="dxa" w:w="80"/>
              <w:bottom w:type="dxa" w:w="50"/>
              <w:right w:type="dxa" w:w="80"/>
            </w:tcMar>
            <w:vAlign w:val="top"/>
          </w:tcPr>
          <w:p>
            <w:r>
              <w:rPr>
                <w:b w:val="false"/>
                <w:bCs w:val="false"/>
                <w:color w:val="000000"/>
                <w:sz w:val="14"/>
                <w:szCs w:val="14"/>
              </w:rPr>
              <w:t xml:space="preserve">—</w:t>
            </w:r>
          </w:p>
        </w:tc>
      </w:tr>
      <w:tr>
        <w:tc>
          <w:tcPr>
            <w:tcW w:type="dxa" w:w="2088"/>
            <w:tcMar>
              <w:top w:type="dxa" w:w="50"/>
              <w:left w:type="dxa" w:w="80"/>
              <w:bottom w:type="dxa" w:w="50"/>
              <w:right w:type="dxa" w:w="80"/>
            </w:tcMar>
            <w:vAlign w:val="top"/>
          </w:tcPr>
          <w:p>
            <w:r>
              <w:rPr>
                <w:b/>
                <w:bCs/>
                <w:color w:val="000000"/>
                <w:sz w:val="14"/>
                <w:szCs w:val="14"/>
              </w:rPr>
              <w:t xml:space="preserve">INTEGER / BIGINT / SMALLINT</w:t>
            </w:r>
          </w:p>
        </w:tc>
        <w:tc>
          <w:tcPr>
            <w:tcW w:type="dxa" w:w="1879"/>
            <w:tcMar>
              <w:top w:type="dxa" w:w="50"/>
              <w:left w:type="dxa" w:w="80"/>
              <w:bottom w:type="dxa" w:w="50"/>
              <w:right w:type="dxa" w:w="80"/>
            </w:tcMar>
            <w:vAlign w:val="top"/>
          </w:tcPr>
          <w:p>
            <w:r>
              <w:rPr>
                <w:b w:val="false"/>
                <w:bCs w:val="false"/>
                <w:color w:val="000000"/>
                <w:sz w:val="14"/>
                <w:szCs w:val="14"/>
              </w:rPr>
              <w:t xml:space="preserve">number</w:t>
            </w:r>
          </w:p>
        </w:tc>
        <w:tc>
          <w:tcPr>
            <w:tcW w:type="dxa" w:w="6473"/>
            <w:tcMar>
              <w:top w:type="dxa" w:w="50"/>
              <w:left w:type="dxa" w:w="80"/>
              <w:bottom w:type="dxa" w:w="50"/>
              <w:right w:type="dxa" w:w="80"/>
            </w:tcMar>
            <w:vAlign w:val="top"/>
          </w:tcPr>
          <w:p>
            <w:r>
              <w:rPr>
                <w:b w:val="false"/>
                <w:bCs w:val="false"/>
                <w:color w:val="000000"/>
                <w:sz w:val="14"/>
                <w:szCs w:val="14"/>
              </w:rPr>
              <w:t xml:space="preserve">No decimal point</w:t>
            </w:r>
          </w:p>
        </w:tc>
      </w:tr>
      <w:tr>
        <w:tc>
          <w:tcPr>
            <w:tcW w:type="dxa" w:w="2088"/>
            <w:tcMar>
              <w:top w:type="dxa" w:w="50"/>
              <w:left w:type="dxa" w:w="80"/>
              <w:bottom w:type="dxa" w:w="50"/>
              <w:right w:type="dxa" w:w="80"/>
            </w:tcMar>
            <w:vAlign w:val="top"/>
          </w:tcPr>
          <w:p>
            <w:r>
              <w:rPr>
                <w:b/>
                <w:bCs/>
                <w:color w:val="000000"/>
                <w:sz w:val="14"/>
                <w:szCs w:val="14"/>
              </w:rPr>
              <w:t xml:space="preserve">NUMERIC(p,s)</w:t>
            </w:r>
          </w:p>
        </w:tc>
        <w:tc>
          <w:tcPr>
            <w:tcW w:type="dxa" w:w="1879"/>
            <w:tcMar>
              <w:top w:type="dxa" w:w="50"/>
              <w:left w:type="dxa" w:w="80"/>
              <w:bottom w:type="dxa" w:w="50"/>
              <w:right w:type="dxa" w:w="80"/>
            </w:tcMar>
            <w:vAlign w:val="top"/>
          </w:tcPr>
          <w:p>
            <w:r>
              <w:rPr>
                <w:b w:val="false"/>
                <w:bCs w:val="false"/>
                <w:color w:val="000000"/>
                <w:sz w:val="14"/>
                <w:szCs w:val="14"/>
              </w:rPr>
              <w:t xml:space="preserve">number</w:t>
            </w:r>
          </w:p>
        </w:tc>
        <w:tc>
          <w:tcPr>
            <w:tcW w:type="dxa" w:w="6473"/>
            <w:tcMar>
              <w:top w:type="dxa" w:w="50"/>
              <w:left w:type="dxa" w:w="80"/>
              <w:bottom w:type="dxa" w:w="50"/>
              <w:right w:type="dxa" w:w="80"/>
            </w:tcMar>
            <w:vAlign w:val="top"/>
          </w:tcPr>
          <w:p>
            <w:r>
              <w:rPr>
                <w:b w:val="false"/>
                <w:bCs w:val="false"/>
                <w:color w:val="000000"/>
                <w:sz w:val="14"/>
                <w:szCs w:val="14"/>
              </w:rPr>
              <w:t xml:space="preserve">Serialized with the DDS-defined scale (e.g. NUMERIC(16,2) → 2 decimal places); clients must not assume floating-point precision for financial fields (Project.budget) and should treat them as decimal strings if their language's number type is not precision-safe — noted explicitly in the OpenAPI schema (Part 17) as format: decimal</w:t>
            </w:r>
          </w:p>
        </w:tc>
      </w:tr>
      <w:tr>
        <w:tc>
          <w:tcPr>
            <w:tcW w:type="dxa" w:w="2088"/>
            <w:tcMar>
              <w:top w:type="dxa" w:w="50"/>
              <w:left w:type="dxa" w:w="80"/>
              <w:bottom w:type="dxa" w:w="50"/>
              <w:right w:type="dxa" w:w="80"/>
            </w:tcMar>
            <w:vAlign w:val="top"/>
          </w:tcPr>
          <w:p>
            <w:r>
              <w:rPr>
                <w:b/>
                <w:bCs/>
                <w:color w:val="000000"/>
                <w:sz w:val="14"/>
                <w:szCs w:val="14"/>
              </w:rPr>
              <w:t xml:space="preserve">BOOLEAN</w:t>
            </w:r>
          </w:p>
        </w:tc>
        <w:tc>
          <w:tcPr>
            <w:tcW w:type="dxa" w:w="1879"/>
            <w:tcMar>
              <w:top w:type="dxa" w:w="50"/>
              <w:left w:type="dxa" w:w="80"/>
              <w:bottom w:type="dxa" w:w="50"/>
              <w:right w:type="dxa" w:w="80"/>
            </w:tcMar>
            <w:vAlign w:val="top"/>
          </w:tcPr>
          <w:p>
            <w:r>
              <w:rPr>
                <w:b w:val="false"/>
                <w:bCs w:val="false"/>
                <w:color w:val="000000"/>
                <w:sz w:val="14"/>
                <w:szCs w:val="14"/>
              </w:rPr>
              <w:t xml:space="preserve">boolean</w:t>
            </w:r>
          </w:p>
        </w:tc>
        <w:tc>
          <w:tcPr>
            <w:tcW w:type="dxa" w:w="6473"/>
            <w:tcMar>
              <w:top w:type="dxa" w:w="50"/>
              <w:left w:type="dxa" w:w="80"/>
              <w:bottom w:type="dxa" w:w="50"/>
              <w:right w:type="dxa" w:w="80"/>
            </w:tcMar>
            <w:vAlign w:val="top"/>
          </w:tcPr>
          <w:p>
            <w:r>
              <w:rPr>
                <w:b w:val="false"/>
                <w:bCs w:val="false"/>
                <w:color w:val="000000"/>
                <w:sz w:val="14"/>
                <w:szCs w:val="14"/>
              </w:rPr>
              <w:t xml:space="preserve">true / false, never 1/0 or "yes"/"no"</w:t>
            </w:r>
          </w:p>
        </w:tc>
      </w:tr>
      <w:tr>
        <w:tc>
          <w:tcPr>
            <w:tcW w:type="dxa" w:w="2088"/>
            <w:tcMar>
              <w:top w:type="dxa" w:w="50"/>
              <w:left w:type="dxa" w:w="80"/>
              <w:bottom w:type="dxa" w:w="50"/>
              <w:right w:type="dxa" w:w="80"/>
            </w:tcMar>
            <w:vAlign w:val="top"/>
          </w:tcPr>
          <w:p>
            <w:r>
              <w:rPr>
                <w:b/>
                <w:bCs/>
                <w:color w:val="000000"/>
                <w:sz w:val="14"/>
                <w:szCs w:val="14"/>
              </w:rPr>
              <w:t xml:space="preserve">DATE</w:t>
            </w:r>
          </w:p>
        </w:tc>
        <w:tc>
          <w:tcPr>
            <w:tcW w:type="dxa" w:w="1879"/>
            <w:tcMar>
              <w:top w:type="dxa" w:w="50"/>
              <w:left w:type="dxa" w:w="80"/>
              <w:bottom w:type="dxa" w:w="50"/>
              <w:right w:type="dxa" w:w="80"/>
            </w:tcMar>
            <w:vAlign w:val="top"/>
          </w:tcPr>
          <w:p>
            <w:r>
              <w:rPr>
                <w:b w:val="false"/>
                <w:bCs w:val="false"/>
                <w:color w:val="000000"/>
                <w:sz w:val="14"/>
                <w:szCs w:val="14"/>
              </w:rPr>
              <w:t xml:space="preserve">string</w:t>
            </w:r>
          </w:p>
        </w:tc>
        <w:tc>
          <w:tcPr>
            <w:tcW w:type="dxa" w:w="6473"/>
            <w:tcMar>
              <w:top w:type="dxa" w:w="50"/>
              <w:left w:type="dxa" w:w="80"/>
              <w:bottom w:type="dxa" w:w="50"/>
              <w:right w:type="dxa" w:w="80"/>
            </w:tcMar>
            <w:vAlign w:val="top"/>
          </w:tcPr>
          <w:p>
            <w:r>
              <w:rPr>
                <w:b w:val="false"/>
                <w:bCs w:val="false"/>
                <w:color w:val="000000"/>
                <w:sz w:val="14"/>
                <w:szCs w:val="14"/>
              </w:rPr>
              <w:t xml:space="preserve">ISO 8601 date only: "2026-07-19" (Section 6.4)</w:t>
            </w:r>
          </w:p>
        </w:tc>
      </w:tr>
      <w:tr>
        <w:tc>
          <w:tcPr>
            <w:tcW w:type="dxa" w:w="2088"/>
            <w:tcMar>
              <w:top w:type="dxa" w:w="50"/>
              <w:left w:type="dxa" w:w="80"/>
              <w:bottom w:type="dxa" w:w="50"/>
              <w:right w:type="dxa" w:w="80"/>
            </w:tcMar>
            <w:vAlign w:val="top"/>
          </w:tcPr>
          <w:p>
            <w:r>
              <w:rPr>
                <w:b/>
                <w:bCs/>
                <w:color w:val="000000"/>
                <w:sz w:val="14"/>
                <w:szCs w:val="14"/>
              </w:rPr>
              <w:t xml:space="preserve">TIMESTAMPTZ</w:t>
            </w:r>
          </w:p>
        </w:tc>
        <w:tc>
          <w:tcPr>
            <w:tcW w:type="dxa" w:w="1879"/>
            <w:tcMar>
              <w:top w:type="dxa" w:w="50"/>
              <w:left w:type="dxa" w:w="80"/>
              <w:bottom w:type="dxa" w:w="50"/>
              <w:right w:type="dxa" w:w="80"/>
            </w:tcMar>
            <w:vAlign w:val="top"/>
          </w:tcPr>
          <w:p>
            <w:r>
              <w:rPr>
                <w:b w:val="false"/>
                <w:bCs w:val="false"/>
                <w:color w:val="000000"/>
                <w:sz w:val="14"/>
                <w:szCs w:val="14"/>
              </w:rPr>
              <w:t xml:space="preserve">string</w:t>
            </w:r>
          </w:p>
        </w:tc>
        <w:tc>
          <w:tcPr>
            <w:tcW w:type="dxa" w:w="6473"/>
            <w:tcMar>
              <w:top w:type="dxa" w:w="50"/>
              <w:left w:type="dxa" w:w="80"/>
              <w:bottom w:type="dxa" w:w="50"/>
              <w:right w:type="dxa" w:w="80"/>
            </w:tcMar>
            <w:vAlign w:val="top"/>
          </w:tcPr>
          <w:p>
            <w:r>
              <w:rPr>
                <w:b w:val="false"/>
                <w:bCs w:val="false"/>
                <w:color w:val="000000"/>
                <w:sz w:val="14"/>
                <w:szCs w:val="14"/>
              </w:rPr>
              <w:t xml:space="preserve">ISO 8601 date-time with UTC offset: "2026-07-19T14:00:00Z" (Section 6.4)</w:t>
            </w:r>
          </w:p>
        </w:tc>
      </w:tr>
      <w:tr>
        <w:tc>
          <w:tcPr>
            <w:tcW w:type="dxa" w:w="2088"/>
            <w:tcMar>
              <w:top w:type="dxa" w:w="50"/>
              <w:left w:type="dxa" w:w="80"/>
              <w:bottom w:type="dxa" w:w="50"/>
              <w:right w:type="dxa" w:w="80"/>
            </w:tcMar>
            <w:vAlign w:val="top"/>
          </w:tcPr>
          <w:p>
            <w:r>
              <w:rPr>
                <w:b/>
                <w:bCs/>
                <w:color w:val="000000"/>
                <w:sz w:val="14"/>
                <w:szCs w:val="14"/>
              </w:rPr>
              <w:t xml:space="preserve">ENUM</w:t>
            </w:r>
          </w:p>
        </w:tc>
        <w:tc>
          <w:tcPr>
            <w:tcW w:type="dxa" w:w="1879"/>
            <w:tcMar>
              <w:top w:type="dxa" w:w="50"/>
              <w:left w:type="dxa" w:w="80"/>
              <w:bottom w:type="dxa" w:w="50"/>
              <w:right w:type="dxa" w:w="80"/>
            </w:tcMar>
            <w:vAlign w:val="top"/>
          </w:tcPr>
          <w:p>
            <w:r>
              <w:rPr>
                <w:b w:val="false"/>
                <w:bCs w:val="false"/>
                <w:color w:val="000000"/>
                <w:sz w:val="14"/>
                <w:szCs w:val="14"/>
              </w:rPr>
              <w:t xml:space="preserve">string</w:t>
            </w:r>
          </w:p>
        </w:tc>
        <w:tc>
          <w:tcPr>
            <w:tcW w:type="dxa" w:w="6473"/>
            <w:tcMar>
              <w:top w:type="dxa" w:w="50"/>
              <w:left w:type="dxa" w:w="80"/>
              <w:bottom w:type="dxa" w:w="50"/>
              <w:right w:type="dxa" w:w="80"/>
            </w:tcMar>
            <w:vAlign w:val="top"/>
          </w:tcPr>
          <w:p>
            <w:r>
              <w:rPr>
                <w:b w:val="false"/>
                <w:bCs w:val="false"/>
                <w:color w:val="000000"/>
                <w:sz w:val="14"/>
                <w:szCs w:val="14"/>
              </w:rPr>
              <w:t xml:space="preserve">The lowercase snake_case value as stored (DDS Part 7) — not translated to a display label at the API layer; display labels are a client-side concern</w:t>
            </w:r>
          </w:p>
        </w:tc>
      </w:tr>
      <w:tr>
        <w:tc>
          <w:tcPr>
            <w:tcW w:type="dxa" w:w="2088"/>
            <w:tcMar>
              <w:top w:type="dxa" w:w="50"/>
              <w:left w:type="dxa" w:w="80"/>
              <w:bottom w:type="dxa" w:w="50"/>
              <w:right w:type="dxa" w:w="80"/>
            </w:tcMar>
            <w:vAlign w:val="top"/>
          </w:tcPr>
          <w:p>
            <w:r>
              <w:rPr>
                <w:b/>
                <w:bCs/>
                <w:color w:val="000000"/>
                <w:sz w:val="14"/>
                <w:szCs w:val="14"/>
              </w:rPr>
              <w:t xml:space="preserve">TEXT[] (array)</w:t>
            </w:r>
          </w:p>
        </w:tc>
        <w:tc>
          <w:tcPr>
            <w:tcW w:type="dxa" w:w="1879"/>
            <w:tcMar>
              <w:top w:type="dxa" w:w="50"/>
              <w:left w:type="dxa" w:w="80"/>
              <w:bottom w:type="dxa" w:w="50"/>
              <w:right w:type="dxa" w:w="80"/>
            </w:tcMar>
            <w:vAlign w:val="top"/>
          </w:tcPr>
          <w:p>
            <w:r>
              <w:rPr>
                <w:b w:val="false"/>
                <w:bCs w:val="false"/>
                <w:color w:val="000000"/>
                <w:sz w:val="14"/>
                <w:szCs w:val="14"/>
              </w:rPr>
              <w:t xml:space="preserve">array of string</w:t>
            </w:r>
          </w:p>
        </w:tc>
        <w:tc>
          <w:tcPr>
            <w:tcW w:type="dxa" w:w="6473"/>
            <w:tcMar>
              <w:top w:type="dxa" w:w="50"/>
              <w:left w:type="dxa" w:w="80"/>
              <w:bottom w:type="dxa" w:w="50"/>
              <w:right w:type="dxa" w:w="80"/>
            </w:tcMar>
            <w:vAlign w:val="top"/>
          </w:tcPr>
          <w:p>
            <w:r>
              <w:rPr>
                <w:b w:val="false"/>
                <w:bCs w:val="false"/>
                <w:color w:val="000000"/>
                <w:sz w:val="14"/>
                <w:szCs w:val="14"/>
              </w:rPr>
              <w:t xml:space="preserve">e.g. TaxonomyTerm.synonyms → ["cold storage", "refrigerated logistics"]</w:t>
            </w:r>
          </w:p>
        </w:tc>
      </w:tr>
      <w:tr>
        <w:tc>
          <w:tcPr>
            <w:tcW w:type="dxa" w:w="2088"/>
            <w:tcMar>
              <w:top w:type="dxa" w:w="50"/>
              <w:left w:type="dxa" w:w="80"/>
              <w:bottom w:type="dxa" w:w="50"/>
              <w:right w:type="dxa" w:w="80"/>
            </w:tcMar>
            <w:vAlign w:val="top"/>
          </w:tcPr>
          <w:p>
            <w:r>
              <w:rPr>
                <w:b/>
                <w:bCs/>
                <w:color w:val="000000"/>
                <w:sz w:val="14"/>
                <w:szCs w:val="14"/>
              </w:rPr>
              <w:t xml:space="preserve">JSONB</w:t>
            </w:r>
          </w:p>
        </w:tc>
        <w:tc>
          <w:tcPr>
            <w:tcW w:type="dxa" w:w="1879"/>
            <w:tcMar>
              <w:top w:type="dxa" w:w="50"/>
              <w:left w:type="dxa" w:w="80"/>
              <w:bottom w:type="dxa" w:w="50"/>
              <w:right w:type="dxa" w:w="80"/>
            </w:tcMar>
            <w:vAlign w:val="top"/>
          </w:tcPr>
          <w:p>
            <w:r>
              <w:rPr>
                <w:b w:val="false"/>
                <w:bCs w:val="false"/>
                <w:color w:val="000000"/>
                <w:sz w:val="14"/>
                <w:szCs w:val="14"/>
              </w:rPr>
              <w:t xml:space="preserve">object</w:t>
            </w:r>
          </w:p>
        </w:tc>
        <w:tc>
          <w:tcPr>
            <w:tcW w:type="dxa" w:w="6473"/>
            <w:tcMar>
              <w:top w:type="dxa" w:w="50"/>
              <w:left w:type="dxa" w:w="80"/>
              <w:bottom w:type="dxa" w:w="50"/>
              <w:right w:type="dxa" w:w="80"/>
            </w:tcMar>
            <w:vAlign w:val="top"/>
          </w:tcPr>
          <w:p>
            <w:r>
              <w:rPr>
                <w:b w:val="false"/>
                <w:bCs w:val="false"/>
                <w:color w:val="000000"/>
                <w:sz w:val="14"/>
                <w:szCs w:val="14"/>
              </w:rPr>
              <w:t xml:space="preserve">Passed through as-is — the one case where the API payload shape is not independently specified here but inherits the DDS column's own documented shape (e.g. WorkPlan-adjacent parameters_schema, DDS Part 9.4)</w:t>
            </w:r>
          </w:p>
        </w:tc>
      </w:tr>
    </w:tbl>
    <w:p>
      <w:pPr>
        <w:spacing w:after="160"/>
      </w:pPr>
    </w:p>
    <w:p>
      <w:pPr>
        <w:pStyle w:val="Heading1"/>
        <w:pBdr>
          <w:bottom w:val="single" w:color="1F5C3B" w:sz="6" w:space="4"/>
        </w:pBdr>
        <w:spacing w:after="130" w:before="320"/>
      </w:pPr>
      <w:r>
        <w:t xml:space="preserve">6.3 Required vs. Optional Fields and Null Handling</w:t>
      </w:r>
    </w:p>
    <w:p>
      <w:pPr>
        <w:spacing w:after="150" w:line="276"/>
        <w:jc w:val="both"/>
      </w:pPr>
      <w:r>
        <w:t xml:space="preserve">A field is required on create (POST) if and only if the corresponding DDS column is NOT NULL with no default value (DDS Part 4); a field is required on update (PATCH) only if the client is changing it — this API uses PATCH semantics (partial update) exclusively, never PUT (full-replace), so omitting a field from a PATCH body leaves it unchanged rather than nulling it, avoiding the common client bug of an incomplete PUT accidentally clearing fields.</w:t>
      </w:r>
    </w:p>
    <w:p>
      <w:pPr>
        <w:spacing w:after="150" w:line="276"/>
        <w:jc w:val="both"/>
      </w:pPr>
      <w:r>
        <w:t xml:space="preserve">Explicit null handling: a field explicitly present in a PATCH body with value null is only accepted where the underlying DDS column is nullable (DDS Part 4) — sending null for a NOT NULL field returns 400 (Part 7), not a silent no-op. A field entirely absent from a PATCH body is always a no-op for that field, distinct from explicit null — this distinction (present-and-null vs. absent) is meaningful and clients must be able to express both, which rules out any client library that cannot distinguish an omitted key from a null-valued key.</w:t>
      </w:r>
    </w:p>
    <w:p>
      <w:pPr>
        <w:pStyle w:val="Heading1"/>
        <w:pBdr>
          <w:bottom w:val="single" w:color="1F5C3B" w:sz="6" w:space="4"/>
        </w:pBdr>
        <w:spacing w:after="130" w:before="320"/>
      </w:pPr>
      <w:r>
        <w:t xml:space="preserve">6.4 Nested Objects, Arrays, and Date Formats</w:t>
      </w:r>
    </w:p>
    <w:p>
      <w:pPr>
        <w:spacing w:after="150" w:line="276"/>
        <w:jc w:val="both"/>
      </w:pPr>
      <w:r>
        <w:t xml:space="preserve">Nested objects appear in responses (never in create/update request bodies, which always reference related resources by ID, e.g. projectId, not an embedded { "project": {...} } object) in exactly one circumstance: a GET request using the ?expand= query parameter (e.g. GET /api/v1/tasks/{id}?expand=project,assignee) to avoid a client needing a second round-trip for commonly-paired data — expand is opt-in per request, never default, keeping the default response payload minimal and predictable in size.</w:t>
      </w:r>
    </w:p>
    <w:p>
      <w:pPr>
        <w:spacing w:after="150" w:line="276"/>
        <w:jc w:val="both"/>
      </w:pPr>
      <w:r>
        <w:t xml:space="preserve">All dates and timestamps are ISO 8601, UTC, with no exception across any of the 62 resources — DATE-typed DDS fields (e.g. Task.due_date) serialize as YYYY-MM-DD with no time component; TIMESTAMPTZ-typed fields (e.g. createdAt) serialize with a trailing Z and no local-timezone offset variants, since the server is the single source of truth for time and local display formatting is a client concern, not an API concern.</w:t>
      </w:r>
    </w:p>
    <w:p>
      <w:pPr>
        <w:pStyle w:val="Heading1"/>
        <w:pBdr>
          <w:bottom w:val="single" w:color="1F5C3B" w:sz="6" w:space="4"/>
        </w:pBdr>
        <w:spacing w:after="130" w:before="320"/>
      </w:pPr>
      <w:r>
        <w:t xml:space="preserve">6.5 File Upload and Binary Content Standards</w:t>
      </w:r>
    </w:p>
    <w:p>
      <w:pPr>
        <w:spacing w:after="150" w:line="276"/>
        <w:jc w:val="both"/>
      </w:pPr>
      <w:r>
        <w:t xml:space="preserve">File uploads (Document, DocumentVersion, MediaAsset — DDS Domains 11, 13) use multipart/form-data, not base64-encoded JSON, for two reasons specific to this platform's scale: base64 encoding inflates payload size by roughly 33%, a meaningful cost for the multi-megabyte publications and reports this platform's Document repository is built around (DDS Part 16.2 projects Document as one of the highest-growth tables); and multipart/form-data is natively supported by browser FormData APIs without a client-side encoding step. The binary content itself is never returned inline in a JSON response — GET /api/v1/documents/{id}/versions/{versionId}/content returns the raw file with the appropriate Content-Type and Content-Disposition headers, while the JSON resource representation carries only metadata and a fileSizeBytes/checksumSha256 pair (DDS Part 4, DocumentVersion), consistent with DDS Part 1.6's boundary decision that binary content lives in object storage, not the database.</w:t>
      </w:r>
    </w:p>
    <w:p>
      <w:pPr>
        <w:pStyle w:val="Heading1"/>
        <w:pBdr>
          <w:bottom w:val="single" w:color="1F5C3B" w:sz="6" w:space="4"/>
        </w:pBdr>
        <w:spacing w:after="130" w:before="320"/>
      </w:pPr>
      <w:r>
        <w:t xml:space="preserve">6.6 Localization Considerations</w:t>
      </w:r>
    </w:p>
    <w:p>
      <w:pPr>
        <w:spacing w:after="150" w:line="276"/>
        <w:jc w:val="both"/>
      </w:pPr>
      <w:r>
        <w:t xml:space="preserve">Consistent with DDS Part 7.4's finding that no multi-language requirement exists in Phase 1, all payload text fields are single-language (English) with no locale negotiation mechanism (no Accept-Language-driven field translation). Numeric and date formatting is likewise fixed (Section 6.2, 6.4) rather than locale-sensitive — a deliberate simplification appropriate to Phase 1 scope, with the same forward-compatible extension point noted in DDS Part 7.4 (a companion translation table) available if a future phase adds localisation, at which point this Part would need a corresponding Accept-Language content-negotiation addendum.</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5C3B"/>
      <w:sz w:val="24"/>
      <w:szCs w:val="24"/>
    </w:rPr>
  </w:style>
  <w:style w:type="paragraph" w:styleId="Heading2">
    <w:name w:val="Heading 2"/>
    <w:basedOn w:val="Normal"/>
    <w:next w:val="Normal"/>
    <w:qFormat/>
    <w:pPr>
      <w:spacing w:after="100" w:before="220"/>
    </w:pPr>
    <w:rPr>
      <w:rFonts w:ascii="Arial" w:cs="Arial" w:eastAsia="Arial" w:hAnsi="Arial"/>
      <w:b/>
      <w:bCs/>
      <w:color w:val="2E8B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2026-07-19T09:36:22.341Z</dcterms:created>
  <dcterms:modified xsi:type="dcterms:W3CDTF">2026-07-19T09:36:22.342Z</dcterms:modified>
</cp:coreProperties>
</file>

<file path=docProps/custom.xml><?xml version="1.0" encoding="utf-8"?>
<Properties xmlns="http://schemas.openxmlformats.org/officeDocument/2006/custom-properties" xmlns:vt="http://schemas.openxmlformats.org/officeDocument/2006/docPropsVTypes"/>
</file>