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08080"/>
          <w:sz w:val="20"/>
          <w:szCs w:val="20"/>
        </w:rPr>
        <w:t xml:space="preserve">SAPZ PROGRAMME — REF: NPCO/SAPZ/IFAD/26/1023/588</w:t>
      </w:r>
    </w:p>
    <w:p>
      <w:pPr>
        <w:spacing w:after="60"/>
        <w:jc w:val="center"/>
      </w:pPr>
      <w:r>
        <w:rPr>
          <w:b/>
          <w:bCs/>
          <w:color w:val="1F5C3B"/>
          <w:sz w:val="32"/>
          <w:szCs w:val="32"/>
        </w:rPr>
        <w:t xml:space="preserve">API &amp; Integration Design Specification (AIDS)</w:t>
      </w:r>
    </w:p>
    <w:p>
      <w:pPr>
        <w:spacing w:after="60"/>
        <w:jc w:val="center"/>
      </w:pPr>
      <w:r>
        <w:rPr>
          <w:b/>
          <w:bCs/>
          <w:color w:val="2E8B57"/>
          <w:sz w:val="22"/>
          <w:szCs w:val="22"/>
        </w:rPr>
        <w:t xml:space="preserve">Enterprise System Management (ESM) Platform and Central Knowledge Repository (CKR)</w:t>
      </w:r>
    </w:p>
    <w:p>
      <w:pPr>
        <w:spacing w:after="40"/>
        <w:jc w:val="center"/>
      </w:pPr>
      <w:r>
        <w:rPr>
          <w:b/>
          <w:bCs/>
          <w:color w:val="2E8B57"/>
          <w:sz w:val="24"/>
          <w:szCs w:val="24"/>
        </w:rPr>
        <w:t xml:space="preserve">Part 7 — Error Handling Framework</w:t>
      </w:r>
    </w:p>
    <w:p>
      <w:pPr>
        <w:spacing w:after="260"/>
        <w:jc w:val="center"/>
      </w:pPr>
      <w:r>
        <w:rPr>
          <w:i/>
          <w:iCs/>
          <w:color w:val="555555"/>
          <w:sz w:val="19"/>
          <w:szCs w:val="19"/>
        </w:rPr>
        <w:t xml:space="preserve">Prepared for the SAPZ National Programme Coordination Office — Consultant: Ahmed Babajide Olanrewaju</w:t>
      </w:r>
    </w:p>
    <w:p>
      <w:pPr>
        <w:pStyle w:val="Heading1"/>
        <w:pBdr>
          <w:bottom w:val="single" w:color="1F5C3B" w:sz="6" w:space="4"/>
        </w:pBdr>
        <w:spacing w:after="130" w:before="320"/>
      </w:pPr>
      <w:r>
        <w:t xml:space="preserve">7.1 Standard Error Envelope</w:t>
      </w:r>
    </w:p>
    <w:p>
      <w:pPr>
        <w:spacing w:after="150" w:line="276"/>
        <w:jc w:val="both"/>
      </w:pPr>
      <w:r>
        <w:t xml:space="preserve">Every error response, regardless of category, uses one JSON envelope shape, first introduced in SRS Part 28.4 and fully specified here: an HTTP status code carrying the primary signal, and a JSON body with a machine-readable code, a human-readable message safe to log and safe to show a technically-literate user (but not assumed to be end-user-facing copy — that is OpenDesign's responsibility to translate), and, for validation failures only, a details array of field-level issues.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00"/>
              <w:left w:type="dxa" w:w="150"/>
              <w:bottom w:type="dxa" w:w="100"/>
              <w:right w:type="dxa" w:w="150"/>
            </w:tcMar>
          </w:tcPr>
          <w:p>
            <w:pPr>
              <w:spacing w:after="0"/>
            </w:pPr>
            <w:r>
              <w:rPr>
                <w:rFonts w:ascii="Consolas" w:cs="Consolas" w:eastAsia="Consolas" w:hAnsi="Consolas"/>
                <w:color w:val="1F1F1F"/>
                <w:sz w:val="16"/>
                <w:szCs w:val="16"/>
              </w:rPr>
              <w:t xml:space="preserve">{</w:t>
            </w:r>
          </w:p>
          <w:p>
            <w:pPr>
              <w:spacing w:after="0"/>
            </w:pPr>
            <w:r>
              <w:rPr>
                <w:rFonts w:ascii="Consolas" w:cs="Consolas" w:eastAsia="Consolas" w:hAnsi="Consolas"/>
                <w:color w:val="1F1F1F"/>
                <w:sz w:val="16"/>
                <w:szCs w:val="16"/>
              </w:rPr>
              <w:t xml:space="preserve">  "error": {</w:t>
            </w:r>
          </w:p>
          <w:p>
            <w:pPr>
              <w:spacing w:after="0"/>
            </w:pPr>
            <w:r>
              <w:rPr>
                <w:rFonts w:ascii="Consolas" w:cs="Consolas" w:eastAsia="Consolas" w:hAnsi="Consolas"/>
                <w:color w:val="1F1F1F"/>
                <w:sz w:val="16"/>
                <w:szCs w:val="16"/>
              </w:rPr>
              <w:t xml:space="preserve">    "code": "STRING_CONSTANT_ERROR_CODE",</w:t>
            </w:r>
          </w:p>
          <w:p>
            <w:pPr>
              <w:spacing w:after="0"/>
            </w:pPr>
            <w:r>
              <w:rPr>
                <w:rFonts w:ascii="Consolas" w:cs="Consolas" w:eastAsia="Consolas" w:hAnsi="Consolas"/>
                <w:color w:val="1F1F1F"/>
                <w:sz w:val="16"/>
                <w:szCs w:val="16"/>
              </w:rPr>
              <w:t xml:space="preserve">    "message": "Human-readable explanation.",</w:t>
            </w:r>
          </w:p>
          <w:p>
            <w:pPr>
              <w:spacing w:after="0"/>
            </w:pPr>
            <w:r>
              <w:rPr>
                <w:rFonts w:ascii="Consolas" w:cs="Consolas" w:eastAsia="Consolas" w:hAnsi="Consolas"/>
                <w:color w:val="1F1F1F"/>
                <w:sz w:val="16"/>
                <w:szCs w:val="16"/>
              </w:rPr>
              <w:t xml:space="preserve">    "details": [</w:t>
            </w:r>
          </w:p>
          <w:p>
            <w:pPr>
              <w:spacing w:after="0"/>
            </w:pPr>
            <w:r>
              <w:rPr>
                <w:rFonts w:ascii="Consolas" w:cs="Consolas" w:eastAsia="Consolas" w:hAnsi="Consolas"/>
                <w:color w:val="1F1F1F"/>
                <w:sz w:val="16"/>
                <w:szCs w:val="16"/>
              </w:rPr>
              <w:t xml:space="preserve">      { "field": "fieldName", "issue": "Specific reason this field failed." }</w:t>
            </w:r>
          </w:p>
          <w:p>
            <w:pPr>
              <w:spacing w:after="0"/>
            </w:pPr>
            <w:r>
              <w:rPr>
                <w:rFonts w:ascii="Consolas" w:cs="Consolas" w:eastAsia="Consolas" w:hAnsi="Consolas"/>
                <w:color w:val="1F1F1F"/>
                <w:sz w:val="16"/>
                <w:szCs w:val="16"/>
              </w:rPr>
              <w:t xml:space="preserve">    ],</w:t>
            </w:r>
          </w:p>
          <w:p>
            <w:pPr>
              <w:spacing w:after="0"/>
            </w:pPr>
            <w:r>
              <w:rPr>
                <w:rFonts w:ascii="Consolas" w:cs="Consolas" w:eastAsia="Consolas" w:hAnsi="Consolas"/>
                <w:color w:val="1F1F1F"/>
                <w:sz w:val="16"/>
                <w:szCs w:val="16"/>
              </w:rPr>
              <w:t xml:space="preserve">    "requestId": "req_8f3a2c1e",</w:t>
            </w:r>
          </w:p>
          <w:p>
            <w:pPr>
              <w:spacing w:after="0"/>
            </w:pPr>
            <w:r>
              <w:rPr>
                <w:rFonts w:ascii="Consolas" w:cs="Consolas" w:eastAsia="Consolas" w:hAnsi="Consolas"/>
                <w:color w:val="1F1F1F"/>
                <w:sz w:val="16"/>
                <w:szCs w:val="16"/>
              </w:rPr>
              <w:t xml:space="preserve">    "timestamp": "2026-07-19T16:00:00Z"</w:t>
            </w:r>
          </w:p>
          <w:p>
            <w:pPr>
              <w:spacing w:after="0"/>
            </w:pPr>
            <w:r>
              <w:rPr>
                <w:rFonts w:ascii="Consolas" w:cs="Consolas" w:eastAsia="Consolas" w:hAnsi="Consolas"/>
                <w:color w:val="1F1F1F"/>
                <w:sz w:val="16"/>
                <w:szCs w:val="16"/>
              </w:rPr>
              <w:t xml:space="preserve">  }</w:t>
            </w:r>
          </w:p>
          <w:p>
            <w:pPr>
              <w:spacing w:after="0"/>
            </w:pPr>
            <w:r>
              <w:rPr>
                <w:rFonts w:ascii="Consolas" w:cs="Consolas" w:eastAsia="Consolas" w:hAnsi="Consolas"/>
                <w:color w:val="1F1F1F"/>
                <w:sz w:val="16"/>
                <w:szCs w:val="16"/>
              </w:rPr>
              <w:t xml:space="preserve">}</w:t>
            </w:r>
          </w:p>
        </w:tc>
      </w:tr>
    </w:tbl>
    <w:p>
      <w:pPr>
        <w:spacing w:after="120"/>
      </w:pPr>
    </w:p>
    <w:p>
      <w:pPr>
        <w:spacing w:after="150" w:line="276"/>
        <w:jc w:val="both"/>
      </w:pPr>
      <w:r>
        <w:t xml:space="preserve">requestId correlates a client-reported error with the corresponding AuditLog and application-log entries (DDS Domain 9) during support investigation — every error response includes it, and support/help-desk workflows (SRS Part 19) should always ask for it rather than working from a user's verbal description alone.</w:t>
      </w:r>
    </w:p>
    <w:p>
      <w:pPr>
        <w:pStyle w:val="Heading1"/>
        <w:pBdr>
          <w:bottom w:val="single" w:color="1F5C3B" w:sz="6" w:space="4"/>
        </w:pBdr>
        <w:spacing w:after="130" w:before="320"/>
      </w:pPr>
      <w:r>
        <w:t xml:space="preserve">7.2 Error Categories and Standard Codes</w:t>
      </w:r>
    </w:p>
    <w:p>
      <w:pPr>
        <w:spacing w:after="150" w:line="276"/>
        <w:jc w:val="both"/>
      </w:pPr>
      <w:r>
        <w:t xml:space="preserve">Eight error categories cover every failure mode this API can produce. Each row is a representative code from that category — the complete code list (all ~40 specific codes across these categories) is an OpenAPI components/schemas/Error enum (Part 17), generated from this table, not maintained separately from it.</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404"/>
        <w:gridCol w:w="983"/>
        <w:gridCol w:w="1966"/>
        <w:gridCol w:w="3089"/>
        <w:gridCol w:w="3370"/>
        <w:gridCol w:w="3229"/>
      </w:tblGrid>
      <w:tr>
        <w:trPr>
          <w:tblHeader/>
        </w:trPr>
        <w:tc>
          <w:tcPr>
            <w:tcW w:type="dxa" w:w="1404"/>
            <w:shd w:fill="1F5C3B" w:val="clear"/>
            <w:tcMar>
              <w:top w:type="dxa" w:w="50"/>
              <w:left w:type="dxa" w:w="80"/>
              <w:bottom w:type="dxa" w:w="50"/>
              <w:right w:type="dxa" w:w="80"/>
            </w:tcMar>
            <w:vAlign w:val="top"/>
          </w:tcPr>
          <w:p>
            <w:r>
              <w:rPr>
                <w:b/>
                <w:bCs/>
                <w:color w:val="FFFFFF"/>
                <w:sz w:val="15"/>
                <w:szCs w:val="15"/>
              </w:rPr>
              <w:t xml:space="preserve">Category</w:t>
            </w:r>
          </w:p>
        </w:tc>
        <w:tc>
          <w:tcPr>
            <w:tcW w:type="dxa" w:w="983"/>
            <w:shd w:fill="1F5C3B" w:val="clear"/>
            <w:tcMar>
              <w:top w:type="dxa" w:w="50"/>
              <w:left w:type="dxa" w:w="80"/>
              <w:bottom w:type="dxa" w:w="50"/>
              <w:right w:type="dxa" w:w="80"/>
            </w:tcMar>
            <w:vAlign w:val="top"/>
          </w:tcPr>
          <w:p>
            <w:r>
              <w:rPr>
                <w:b/>
                <w:bCs/>
                <w:color w:val="FFFFFF"/>
                <w:sz w:val="15"/>
                <w:szCs w:val="15"/>
              </w:rPr>
              <w:t xml:space="preserve">HTTP Status</w:t>
            </w:r>
          </w:p>
        </w:tc>
        <w:tc>
          <w:tcPr>
            <w:tcW w:type="dxa" w:w="1966"/>
            <w:shd w:fill="1F5C3B" w:val="clear"/>
            <w:tcMar>
              <w:top w:type="dxa" w:w="50"/>
              <w:left w:type="dxa" w:w="80"/>
              <w:bottom w:type="dxa" w:w="50"/>
              <w:right w:type="dxa" w:w="80"/>
            </w:tcMar>
            <w:vAlign w:val="top"/>
          </w:tcPr>
          <w:p>
            <w:r>
              <w:rPr>
                <w:b/>
                <w:bCs/>
                <w:color w:val="FFFFFF"/>
                <w:sz w:val="15"/>
                <w:szCs w:val="15"/>
              </w:rPr>
              <w:t xml:space="preserve">Example Code</w:t>
            </w:r>
          </w:p>
        </w:tc>
        <w:tc>
          <w:tcPr>
            <w:tcW w:type="dxa" w:w="3089"/>
            <w:shd w:fill="1F5C3B" w:val="clear"/>
            <w:tcMar>
              <w:top w:type="dxa" w:w="50"/>
              <w:left w:type="dxa" w:w="80"/>
              <w:bottom w:type="dxa" w:w="50"/>
              <w:right w:type="dxa" w:w="80"/>
            </w:tcMar>
            <w:vAlign w:val="top"/>
          </w:tcPr>
          <w:p>
            <w:r>
              <w:rPr>
                <w:b/>
                <w:bCs/>
                <w:color w:val="FFFFFF"/>
                <w:sz w:val="15"/>
                <w:szCs w:val="15"/>
              </w:rPr>
              <w:t xml:space="preserve">Description</w:t>
            </w:r>
          </w:p>
        </w:tc>
        <w:tc>
          <w:tcPr>
            <w:tcW w:type="dxa" w:w="3370"/>
            <w:shd w:fill="1F5C3B" w:val="clear"/>
            <w:tcMar>
              <w:top w:type="dxa" w:w="50"/>
              <w:left w:type="dxa" w:w="80"/>
              <w:bottom w:type="dxa" w:w="50"/>
              <w:right w:type="dxa" w:w="80"/>
            </w:tcMar>
            <w:vAlign w:val="top"/>
          </w:tcPr>
          <w:p>
            <w:r>
              <w:rPr>
                <w:b/>
                <w:bCs/>
                <w:color w:val="FFFFFF"/>
                <w:sz w:val="15"/>
                <w:szCs w:val="15"/>
              </w:rPr>
              <w:t xml:space="preserve">Suggested Resolution</w:t>
            </w:r>
          </w:p>
        </w:tc>
        <w:tc>
          <w:tcPr>
            <w:tcW w:type="dxa" w:w="3229"/>
            <w:shd w:fill="1F5C3B" w:val="clear"/>
            <w:tcMar>
              <w:top w:type="dxa" w:w="50"/>
              <w:left w:type="dxa" w:w="80"/>
              <w:bottom w:type="dxa" w:w="50"/>
              <w:right w:type="dxa" w:w="80"/>
            </w:tcMar>
            <w:vAlign w:val="top"/>
          </w:tcPr>
          <w:p>
            <w:r>
              <w:rPr>
                <w:b/>
                <w:bCs/>
                <w:color w:val="FFFFFF"/>
                <w:sz w:val="15"/>
                <w:szCs w:val="15"/>
              </w:rPr>
              <w:t xml:space="preserve">Logging</w:t>
            </w:r>
          </w:p>
        </w:tc>
      </w:tr>
      <w:tr>
        <w:tc>
          <w:tcPr>
            <w:tcW w:type="dxa" w:w="1404"/>
            <w:tcMar>
              <w:top w:type="dxa" w:w="50"/>
              <w:left w:type="dxa" w:w="80"/>
              <w:bottom w:type="dxa" w:w="50"/>
              <w:right w:type="dxa" w:w="80"/>
            </w:tcMar>
            <w:vAlign w:val="top"/>
          </w:tcPr>
          <w:p>
            <w:r>
              <w:rPr>
                <w:b/>
                <w:bCs/>
                <w:color w:val="000000"/>
                <w:sz w:val="13"/>
                <w:szCs w:val="13"/>
              </w:rPr>
              <w:t xml:space="preserve">Validation</w:t>
            </w:r>
          </w:p>
        </w:tc>
        <w:tc>
          <w:tcPr>
            <w:tcW w:type="dxa" w:w="983"/>
            <w:tcMar>
              <w:top w:type="dxa" w:w="50"/>
              <w:left w:type="dxa" w:w="80"/>
              <w:bottom w:type="dxa" w:w="50"/>
              <w:right w:type="dxa" w:w="80"/>
            </w:tcMar>
            <w:vAlign w:val="top"/>
          </w:tcPr>
          <w:p>
            <w:r>
              <w:rPr>
                <w:b w:val="false"/>
                <w:bCs w:val="false"/>
                <w:color w:val="000000"/>
                <w:sz w:val="13"/>
                <w:szCs w:val="13"/>
              </w:rPr>
              <w:t xml:space="preserve">400</w:t>
            </w:r>
          </w:p>
        </w:tc>
        <w:tc>
          <w:tcPr>
            <w:tcW w:type="dxa" w:w="1966"/>
            <w:tcMar>
              <w:top w:type="dxa" w:w="50"/>
              <w:left w:type="dxa" w:w="80"/>
              <w:bottom w:type="dxa" w:w="50"/>
              <w:right w:type="dxa" w:w="80"/>
            </w:tcMar>
            <w:vAlign w:val="top"/>
          </w:tcPr>
          <w:p>
            <w:r>
              <w:rPr>
                <w:b w:val="false"/>
                <w:bCs w:val="false"/>
                <w:color w:val="000000"/>
                <w:sz w:val="13"/>
                <w:szCs w:val="13"/>
              </w:rPr>
              <w:t xml:space="preserve">VALIDATION_FAILED</w:t>
            </w:r>
          </w:p>
        </w:tc>
        <w:tc>
          <w:tcPr>
            <w:tcW w:type="dxa" w:w="3089"/>
            <w:tcMar>
              <w:top w:type="dxa" w:w="50"/>
              <w:left w:type="dxa" w:w="80"/>
              <w:bottom w:type="dxa" w:w="50"/>
              <w:right w:type="dxa" w:w="80"/>
            </w:tcMar>
            <w:vAlign w:val="top"/>
          </w:tcPr>
          <w:p>
            <w:r>
              <w:rPr>
                <w:b w:val="false"/>
                <w:bCs w:val="false"/>
                <w:color w:val="000000"/>
                <w:sz w:val="13"/>
                <w:szCs w:val="13"/>
              </w:rPr>
              <w:t xml:space="preserve">One or more request fields failed a DDS Part 8 constraint or type check.</w:t>
            </w:r>
          </w:p>
        </w:tc>
        <w:tc>
          <w:tcPr>
            <w:tcW w:type="dxa" w:w="3370"/>
            <w:tcMar>
              <w:top w:type="dxa" w:w="50"/>
              <w:left w:type="dxa" w:w="80"/>
              <w:bottom w:type="dxa" w:w="50"/>
              <w:right w:type="dxa" w:w="80"/>
            </w:tcMar>
            <w:vAlign w:val="top"/>
          </w:tcPr>
          <w:p>
            <w:r>
              <w:rPr>
                <w:b w:val="false"/>
                <w:bCs w:val="false"/>
                <w:color w:val="000000"/>
                <w:sz w:val="13"/>
                <w:szCs w:val="13"/>
              </w:rPr>
              <w:t xml:space="preserve">Client corrects the fields listed in details and resubmits.</w:t>
            </w:r>
          </w:p>
        </w:tc>
        <w:tc>
          <w:tcPr>
            <w:tcW w:type="dxa" w:w="3229"/>
            <w:tcMar>
              <w:top w:type="dxa" w:w="50"/>
              <w:left w:type="dxa" w:w="80"/>
              <w:bottom w:type="dxa" w:w="50"/>
              <w:right w:type="dxa" w:w="80"/>
            </w:tcMar>
            <w:vAlign w:val="top"/>
          </w:tcPr>
          <w:p>
            <w:r>
              <w:rPr>
                <w:b w:val="false"/>
                <w:bCs w:val="false"/>
                <w:color w:val="000000"/>
                <w:sz w:val="13"/>
                <w:szCs w:val="13"/>
              </w:rPr>
              <w:t xml:space="preserve">Not logged as an error — expected, high-frequency client-side condition; counted in metrics only (Part 13.6)</w:t>
            </w:r>
          </w:p>
        </w:tc>
      </w:tr>
      <w:tr>
        <w:tc>
          <w:tcPr>
            <w:tcW w:type="dxa" w:w="1404"/>
            <w:tcMar>
              <w:top w:type="dxa" w:w="50"/>
              <w:left w:type="dxa" w:w="80"/>
              <w:bottom w:type="dxa" w:w="50"/>
              <w:right w:type="dxa" w:w="80"/>
            </w:tcMar>
            <w:vAlign w:val="top"/>
          </w:tcPr>
          <w:p>
            <w:r>
              <w:rPr>
                <w:b/>
                <w:bCs/>
                <w:color w:val="000000"/>
                <w:sz w:val="13"/>
                <w:szCs w:val="13"/>
              </w:rPr>
              <w:t xml:space="preserve">Authentication</w:t>
            </w:r>
          </w:p>
        </w:tc>
        <w:tc>
          <w:tcPr>
            <w:tcW w:type="dxa" w:w="983"/>
            <w:tcMar>
              <w:top w:type="dxa" w:w="50"/>
              <w:left w:type="dxa" w:w="80"/>
              <w:bottom w:type="dxa" w:w="50"/>
              <w:right w:type="dxa" w:w="80"/>
            </w:tcMar>
            <w:vAlign w:val="top"/>
          </w:tcPr>
          <w:p>
            <w:r>
              <w:rPr>
                <w:b w:val="false"/>
                <w:bCs w:val="false"/>
                <w:color w:val="000000"/>
                <w:sz w:val="13"/>
                <w:szCs w:val="13"/>
              </w:rPr>
              <w:t xml:space="preserve">401</w:t>
            </w:r>
          </w:p>
        </w:tc>
        <w:tc>
          <w:tcPr>
            <w:tcW w:type="dxa" w:w="1966"/>
            <w:tcMar>
              <w:top w:type="dxa" w:w="50"/>
              <w:left w:type="dxa" w:w="80"/>
              <w:bottom w:type="dxa" w:w="50"/>
              <w:right w:type="dxa" w:w="80"/>
            </w:tcMar>
            <w:vAlign w:val="top"/>
          </w:tcPr>
          <w:p>
            <w:r>
              <w:rPr>
                <w:b w:val="false"/>
                <w:bCs w:val="false"/>
                <w:color w:val="000000"/>
                <w:sz w:val="13"/>
                <w:szCs w:val="13"/>
              </w:rPr>
              <w:t xml:space="preserve">TOKEN_MISSING / TOKEN_EXPIRED / TOKEN_INVALID</w:t>
            </w:r>
          </w:p>
        </w:tc>
        <w:tc>
          <w:tcPr>
            <w:tcW w:type="dxa" w:w="3089"/>
            <w:tcMar>
              <w:top w:type="dxa" w:w="50"/>
              <w:left w:type="dxa" w:w="80"/>
              <w:bottom w:type="dxa" w:w="50"/>
              <w:right w:type="dxa" w:w="80"/>
            </w:tcMar>
            <w:vAlign w:val="top"/>
          </w:tcPr>
          <w:p>
            <w:r>
              <w:rPr>
                <w:b w:val="false"/>
                <w:bCs w:val="false"/>
                <w:color w:val="000000"/>
                <w:sz w:val="13"/>
                <w:szCs w:val="13"/>
              </w:rPr>
              <w:t xml:space="preserve">No bearer token, an expired token, or a token that fails signature verification.</w:t>
            </w:r>
          </w:p>
        </w:tc>
        <w:tc>
          <w:tcPr>
            <w:tcW w:type="dxa" w:w="3370"/>
            <w:tcMar>
              <w:top w:type="dxa" w:w="50"/>
              <w:left w:type="dxa" w:w="80"/>
              <w:bottom w:type="dxa" w:w="50"/>
              <w:right w:type="dxa" w:w="80"/>
            </w:tcMar>
            <w:vAlign w:val="top"/>
          </w:tcPr>
          <w:p>
            <w:r>
              <w:rPr>
                <w:b w:val="false"/>
                <w:bCs w:val="false"/>
                <w:color w:val="000000"/>
                <w:sz w:val="13"/>
                <w:szCs w:val="13"/>
              </w:rPr>
              <w:t xml:space="preserve">Client obtains a new token via refresh (Part 5.2) or re-authenticates.</w:t>
            </w:r>
          </w:p>
        </w:tc>
        <w:tc>
          <w:tcPr>
            <w:tcW w:type="dxa" w:w="3229"/>
            <w:tcMar>
              <w:top w:type="dxa" w:w="50"/>
              <w:left w:type="dxa" w:w="80"/>
              <w:bottom w:type="dxa" w:w="50"/>
              <w:right w:type="dxa" w:w="80"/>
            </w:tcMar>
            <w:vAlign w:val="top"/>
          </w:tcPr>
          <w:p>
            <w:r>
              <w:rPr>
                <w:b w:val="false"/>
                <w:bCs w:val="false"/>
                <w:color w:val="000000"/>
                <w:sz w:val="13"/>
                <w:szCs w:val="13"/>
              </w:rPr>
              <w:t xml:space="preserve">Logged at INFO — high frequency (expiry) is normal; a spike in TOKEN_INVALID specifically is a security signal (Part 14.9)</w:t>
            </w:r>
          </w:p>
        </w:tc>
      </w:tr>
      <w:tr>
        <w:tc>
          <w:tcPr>
            <w:tcW w:type="dxa" w:w="1404"/>
            <w:tcMar>
              <w:top w:type="dxa" w:w="50"/>
              <w:left w:type="dxa" w:w="80"/>
              <w:bottom w:type="dxa" w:w="50"/>
              <w:right w:type="dxa" w:w="80"/>
            </w:tcMar>
            <w:vAlign w:val="top"/>
          </w:tcPr>
          <w:p>
            <w:r>
              <w:rPr>
                <w:b/>
                <w:bCs/>
                <w:color w:val="000000"/>
                <w:sz w:val="13"/>
                <w:szCs w:val="13"/>
              </w:rPr>
              <w:t xml:space="preserve">Authorization</w:t>
            </w:r>
          </w:p>
        </w:tc>
        <w:tc>
          <w:tcPr>
            <w:tcW w:type="dxa" w:w="983"/>
            <w:tcMar>
              <w:top w:type="dxa" w:w="50"/>
              <w:left w:type="dxa" w:w="80"/>
              <w:bottom w:type="dxa" w:w="50"/>
              <w:right w:type="dxa" w:w="80"/>
            </w:tcMar>
            <w:vAlign w:val="top"/>
          </w:tcPr>
          <w:p>
            <w:r>
              <w:rPr>
                <w:b w:val="false"/>
                <w:bCs w:val="false"/>
                <w:color w:val="000000"/>
                <w:sz w:val="13"/>
                <w:szCs w:val="13"/>
              </w:rPr>
              <w:t xml:space="preserve">403</w:t>
            </w:r>
          </w:p>
        </w:tc>
        <w:tc>
          <w:tcPr>
            <w:tcW w:type="dxa" w:w="1966"/>
            <w:tcMar>
              <w:top w:type="dxa" w:w="50"/>
              <w:left w:type="dxa" w:w="80"/>
              <w:bottom w:type="dxa" w:w="50"/>
              <w:right w:type="dxa" w:w="80"/>
            </w:tcMar>
            <w:vAlign w:val="top"/>
          </w:tcPr>
          <w:p>
            <w:r>
              <w:rPr>
                <w:b w:val="false"/>
                <w:bCs w:val="false"/>
                <w:color w:val="000000"/>
                <w:sz w:val="13"/>
                <w:szCs w:val="13"/>
              </w:rPr>
              <w:t xml:space="preserve">PERMISSION_DENIED / MFA_REQUIRED / STATE_SCOPE_VIOLATION</w:t>
            </w:r>
          </w:p>
        </w:tc>
        <w:tc>
          <w:tcPr>
            <w:tcW w:type="dxa" w:w="3089"/>
            <w:tcMar>
              <w:top w:type="dxa" w:w="50"/>
              <w:left w:type="dxa" w:w="80"/>
              <w:bottom w:type="dxa" w:w="50"/>
              <w:right w:type="dxa" w:w="80"/>
            </w:tcMar>
            <w:vAlign w:val="top"/>
          </w:tcPr>
          <w:p>
            <w:r>
              <w:rPr>
                <w:b w:val="false"/>
                <w:bCs w:val="false"/>
                <w:color w:val="000000"/>
                <w:sz w:val="13"/>
                <w:szCs w:val="13"/>
              </w:rPr>
              <w:t xml:space="preserve">Valid token, but the caller lacks the required permission, has not completed MFA, or requested a resource outside their state scope.</w:t>
            </w:r>
          </w:p>
        </w:tc>
        <w:tc>
          <w:tcPr>
            <w:tcW w:type="dxa" w:w="3370"/>
            <w:tcMar>
              <w:top w:type="dxa" w:w="50"/>
              <w:left w:type="dxa" w:w="80"/>
              <w:bottom w:type="dxa" w:w="50"/>
              <w:right w:type="dxa" w:w="80"/>
            </w:tcMar>
            <w:vAlign w:val="top"/>
          </w:tcPr>
          <w:p>
            <w:r>
              <w:rPr>
                <w:b w:val="false"/>
                <w:bCs w:val="false"/>
                <w:color w:val="000000"/>
                <w:sz w:val="13"/>
                <w:szCs w:val="13"/>
              </w:rPr>
              <w:t xml:space="preserve">Client should not retry; the UI should not have offered this action (an OpenDesign/permission-matrix mismatch if it did).</w:t>
            </w:r>
          </w:p>
        </w:tc>
        <w:tc>
          <w:tcPr>
            <w:tcW w:type="dxa" w:w="3229"/>
            <w:tcMar>
              <w:top w:type="dxa" w:w="50"/>
              <w:left w:type="dxa" w:w="80"/>
              <w:bottom w:type="dxa" w:w="50"/>
              <w:right w:type="dxa" w:w="80"/>
            </w:tcMar>
            <w:vAlign w:val="top"/>
          </w:tcPr>
          <w:p>
            <w:r>
              <w:rPr>
                <w:b w:val="false"/>
                <w:bCs w:val="false"/>
                <w:color w:val="000000"/>
                <w:sz w:val="13"/>
                <w:szCs w:val="13"/>
              </w:rPr>
              <w:t xml:space="preserve">Logged at WARN with the caller's userId and requested resource — feeds the Security Model's audit requirement (DDS Part 11.7)</w:t>
            </w:r>
          </w:p>
        </w:tc>
      </w:tr>
      <w:tr>
        <w:tc>
          <w:tcPr>
            <w:tcW w:type="dxa" w:w="1404"/>
            <w:tcMar>
              <w:top w:type="dxa" w:w="50"/>
              <w:left w:type="dxa" w:w="80"/>
              <w:bottom w:type="dxa" w:w="50"/>
              <w:right w:type="dxa" w:w="80"/>
            </w:tcMar>
            <w:vAlign w:val="top"/>
          </w:tcPr>
          <w:p>
            <w:r>
              <w:rPr>
                <w:b/>
                <w:bCs/>
                <w:color w:val="000000"/>
                <w:sz w:val="13"/>
                <w:szCs w:val="13"/>
              </w:rPr>
              <w:t xml:space="preserve">Business Rule</w:t>
            </w:r>
          </w:p>
        </w:tc>
        <w:tc>
          <w:tcPr>
            <w:tcW w:type="dxa" w:w="983"/>
            <w:tcMar>
              <w:top w:type="dxa" w:w="50"/>
              <w:left w:type="dxa" w:w="80"/>
              <w:bottom w:type="dxa" w:w="50"/>
              <w:right w:type="dxa" w:w="80"/>
            </w:tcMar>
            <w:vAlign w:val="top"/>
          </w:tcPr>
          <w:p>
            <w:r>
              <w:rPr>
                <w:b w:val="false"/>
                <w:bCs w:val="false"/>
                <w:color w:val="000000"/>
                <w:sz w:val="13"/>
                <w:szCs w:val="13"/>
              </w:rPr>
              <w:t xml:space="preserve">409</w:t>
            </w:r>
          </w:p>
        </w:tc>
        <w:tc>
          <w:tcPr>
            <w:tcW w:type="dxa" w:w="1966"/>
            <w:tcMar>
              <w:top w:type="dxa" w:w="50"/>
              <w:left w:type="dxa" w:w="80"/>
              <w:bottom w:type="dxa" w:w="50"/>
              <w:right w:type="dxa" w:w="80"/>
            </w:tcMar>
            <w:vAlign w:val="top"/>
          </w:tcPr>
          <w:p>
            <w:r>
              <w:rPr>
                <w:b w:val="false"/>
                <w:bCs w:val="false"/>
                <w:color w:val="000000"/>
                <w:sz w:val="13"/>
                <w:szCs w:val="13"/>
              </w:rPr>
              <w:t xml:space="preserve">WORKFLOW_STATE_CONFLICT / DUPLICATE_VERSION_IN_FLIGHT</w:t>
            </w:r>
          </w:p>
        </w:tc>
        <w:tc>
          <w:tcPr>
            <w:tcW w:type="dxa" w:w="3089"/>
            <w:tcMar>
              <w:top w:type="dxa" w:w="50"/>
              <w:left w:type="dxa" w:w="80"/>
              <w:bottom w:type="dxa" w:w="50"/>
              <w:right w:type="dxa" w:w="80"/>
            </w:tcMar>
            <w:vAlign w:val="top"/>
          </w:tcPr>
          <w:p>
            <w:r>
              <w:rPr>
                <w:b w:val="false"/>
                <w:bCs w:val="false"/>
                <w:color w:val="000000"/>
                <w:sz w:val="13"/>
                <w:szCs w:val="13"/>
              </w:rPr>
              <w:t xml:space="preserve">The request is well-formed but violates a business rule, e.g. attempting a new Document version while an approval is in flight (DDS Part 8, business rule BR-DOC-03 origin).</w:t>
            </w:r>
          </w:p>
        </w:tc>
        <w:tc>
          <w:tcPr>
            <w:tcW w:type="dxa" w:w="3370"/>
            <w:tcMar>
              <w:top w:type="dxa" w:w="50"/>
              <w:left w:type="dxa" w:w="80"/>
              <w:bottom w:type="dxa" w:w="50"/>
              <w:right w:type="dxa" w:w="80"/>
            </w:tcMar>
            <w:vAlign w:val="top"/>
          </w:tcPr>
          <w:p>
            <w:r>
              <w:rPr>
                <w:b w:val="false"/>
                <w:bCs w:val="false"/>
                <w:color w:val="000000"/>
                <w:sz w:val="13"/>
                <w:szCs w:val="13"/>
              </w:rPr>
              <w:t xml:space="preserve">Client refreshes the resource's current state and re-evaluates whether the action is still valid.</w:t>
            </w:r>
          </w:p>
        </w:tc>
        <w:tc>
          <w:tcPr>
            <w:tcW w:type="dxa" w:w="3229"/>
            <w:tcMar>
              <w:top w:type="dxa" w:w="50"/>
              <w:left w:type="dxa" w:w="80"/>
              <w:bottom w:type="dxa" w:w="50"/>
              <w:right w:type="dxa" w:w="80"/>
            </w:tcMar>
            <w:vAlign w:val="top"/>
          </w:tcPr>
          <w:p>
            <w:r>
              <w:rPr>
                <w:b w:val="false"/>
                <w:bCs w:val="false"/>
                <w:color w:val="000000"/>
                <w:sz w:val="13"/>
                <w:szCs w:val="13"/>
              </w:rPr>
              <w:t xml:space="preserve">Logged at INFO — expected under concurrent use; a high rate on one resource may indicate a UI race-condition bug worth investigating</w:t>
            </w:r>
          </w:p>
        </w:tc>
      </w:tr>
      <w:tr>
        <w:tc>
          <w:tcPr>
            <w:tcW w:type="dxa" w:w="1404"/>
            <w:tcMar>
              <w:top w:type="dxa" w:w="50"/>
              <w:left w:type="dxa" w:w="80"/>
              <w:bottom w:type="dxa" w:w="50"/>
              <w:right w:type="dxa" w:w="80"/>
            </w:tcMar>
            <w:vAlign w:val="top"/>
          </w:tcPr>
          <w:p>
            <w:r>
              <w:rPr>
                <w:b/>
                <w:bCs/>
                <w:color w:val="000000"/>
                <w:sz w:val="13"/>
                <w:szCs w:val="13"/>
              </w:rPr>
              <w:t xml:space="preserve">Not Found / Non-Disclosure</w:t>
            </w:r>
          </w:p>
        </w:tc>
        <w:tc>
          <w:tcPr>
            <w:tcW w:type="dxa" w:w="983"/>
            <w:tcMar>
              <w:top w:type="dxa" w:w="50"/>
              <w:left w:type="dxa" w:w="80"/>
              <w:bottom w:type="dxa" w:w="50"/>
              <w:right w:type="dxa" w:w="80"/>
            </w:tcMar>
            <w:vAlign w:val="top"/>
          </w:tcPr>
          <w:p>
            <w:r>
              <w:rPr>
                <w:b w:val="false"/>
                <w:bCs w:val="false"/>
                <w:color w:val="000000"/>
                <w:sz w:val="13"/>
                <w:szCs w:val="13"/>
              </w:rPr>
              <w:t xml:space="preserve">404</w:t>
            </w:r>
          </w:p>
        </w:tc>
        <w:tc>
          <w:tcPr>
            <w:tcW w:type="dxa" w:w="1966"/>
            <w:tcMar>
              <w:top w:type="dxa" w:w="50"/>
              <w:left w:type="dxa" w:w="80"/>
              <w:bottom w:type="dxa" w:w="50"/>
              <w:right w:type="dxa" w:w="80"/>
            </w:tcMar>
            <w:vAlign w:val="top"/>
          </w:tcPr>
          <w:p>
            <w:r>
              <w:rPr>
                <w:b w:val="false"/>
                <w:bCs w:val="false"/>
                <w:color w:val="000000"/>
                <w:sz w:val="13"/>
                <w:szCs w:val="13"/>
              </w:rPr>
              <w:t xml:space="preserve">RESOURCE_NOT_FOUND</w:t>
            </w:r>
          </w:p>
        </w:tc>
        <w:tc>
          <w:tcPr>
            <w:tcW w:type="dxa" w:w="3089"/>
            <w:tcMar>
              <w:top w:type="dxa" w:w="50"/>
              <w:left w:type="dxa" w:w="80"/>
              <w:bottom w:type="dxa" w:w="50"/>
              <w:right w:type="dxa" w:w="80"/>
            </w:tcMar>
            <w:vAlign w:val="top"/>
          </w:tcPr>
          <w:p>
            <w:r>
              <w:rPr>
                <w:b w:val="false"/>
                <w:bCs w:val="false"/>
                <w:color w:val="000000"/>
                <w:sz w:val="13"/>
                <w:szCs w:val="13"/>
              </w:rPr>
              <w:t xml:space="preserve">The resource does not exist, or (per SRS BR-SRCH-01/BR-PORT-01) exists but must not be disclosed to this caller (Part 5.7).</w:t>
            </w:r>
          </w:p>
        </w:tc>
        <w:tc>
          <w:tcPr>
            <w:tcW w:type="dxa" w:w="3370"/>
            <w:tcMar>
              <w:top w:type="dxa" w:w="50"/>
              <w:left w:type="dxa" w:w="80"/>
              <w:bottom w:type="dxa" w:w="50"/>
              <w:right w:type="dxa" w:w="80"/>
            </w:tcMar>
            <w:vAlign w:val="top"/>
          </w:tcPr>
          <w:p>
            <w:r>
              <w:rPr>
                <w:b w:val="false"/>
                <w:bCs w:val="false"/>
                <w:color w:val="000000"/>
                <w:sz w:val="13"/>
                <w:szCs w:val="13"/>
              </w:rPr>
              <w:t xml:space="preserve">Client verifies the ID; a persistent 404 for an ID the client previously saw may indicate the caller's permissions changed.</w:t>
            </w:r>
          </w:p>
        </w:tc>
        <w:tc>
          <w:tcPr>
            <w:tcW w:type="dxa" w:w="3229"/>
            <w:tcMar>
              <w:top w:type="dxa" w:w="50"/>
              <w:left w:type="dxa" w:w="80"/>
              <w:bottom w:type="dxa" w:w="50"/>
              <w:right w:type="dxa" w:w="80"/>
            </w:tcMar>
            <w:vAlign w:val="top"/>
          </w:tcPr>
          <w:p>
            <w:r>
              <w:rPr>
                <w:b w:val="false"/>
                <w:bCs w:val="false"/>
                <w:color w:val="000000"/>
                <w:sz w:val="13"/>
                <w:szCs w:val="13"/>
              </w:rPr>
              <w:t xml:space="preserve">Logged at INFO</w:t>
            </w:r>
          </w:p>
        </w:tc>
      </w:tr>
      <w:tr>
        <w:tc>
          <w:tcPr>
            <w:tcW w:type="dxa" w:w="1404"/>
            <w:tcMar>
              <w:top w:type="dxa" w:w="50"/>
              <w:left w:type="dxa" w:w="80"/>
              <w:bottom w:type="dxa" w:w="50"/>
              <w:right w:type="dxa" w:w="80"/>
            </w:tcMar>
            <w:vAlign w:val="top"/>
          </w:tcPr>
          <w:p>
            <w:r>
              <w:rPr>
                <w:b/>
                <w:bCs/>
                <w:color w:val="000000"/>
                <w:sz w:val="13"/>
                <w:szCs w:val="13"/>
              </w:rPr>
              <w:t xml:space="preserve">System</w:t>
            </w:r>
          </w:p>
        </w:tc>
        <w:tc>
          <w:tcPr>
            <w:tcW w:type="dxa" w:w="983"/>
            <w:tcMar>
              <w:top w:type="dxa" w:w="50"/>
              <w:left w:type="dxa" w:w="80"/>
              <w:bottom w:type="dxa" w:w="50"/>
              <w:right w:type="dxa" w:w="80"/>
            </w:tcMar>
            <w:vAlign w:val="top"/>
          </w:tcPr>
          <w:p>
            <w:r>
              <w:rPr>
                <w:b w:val="false"/>
                <w:bCs w:val="false"/>
                <w:color w:val="000000"/>
                <w:sz w:val="13"/>
                <w:szCs w:val="13"/>
              </w:rPr>
              <w:t xml:space="preserve">500</w:t>
            </w:r>
          </w:p>
        </w:tc>
        <w:tc>
          <w:tcPr>
            <w:tcW w:type="dxa" w:w="1966"/>
            <w:tcMar>
              <w:top w:type="dxa" w:w="50"/>
              <w:left w:type="dxa" w:w="80"/>
              <w:bottom w:type="dxa" w:w="50"/>
              <w:right w:type="dxa" w:w="80"/>
            </w:tcMar>
            <w:vAlign w:val="top"/>
          </w:tcPr>
          <w:p>
            <w:r>
              <w:rPr>
                <w:b w:val="false"/>
                <w:bCs w:val="false"/>
                <w:color w:val="000000"/>
                <w:sz w:val="13"/>
                <w:szCs w:val="13"/>
              </w:rPr>
              <w:t xml:space="preserve">INTERNAL_SERVER_ERROR</w:t>
            </w:r>
          </w:p>
        </w:tc>
        <w:tc>
          <w:tcPr>
            <w:tcW w:type="dxa" w:w="3089"/>
            <w:tcMar>
              <w:top w:type="dxa" w:w="50"/>
              <w:left w:type="dxa" w:w="80"/>
              <w:bottom w:type="dxa" w:w="50"/>
              <w:right w:type="dxa" w:w="80"/>
            </w:tcMar>
            <w:vAlign w:val="top"/>
          </w:tcPr>
          <w:p>
            <w:r>
              <w:rPr>
                <w:b w:val="false"/>
                <w:bCs w:val="false"/>
                <w:color w:val="000000"/>
                <w:sz w:val="13"/>
                <w:szCs w:val="13"/>
              </w:rPr>
              <w:t xml:space="preserve">An unexpected fault — an unhandled exception, a database connectivity failure, or similar.</w:t>
            </w:r>
          </w:p>
        </w:tc>
        <w:tc>
          <w:tcPr>
            <w:tcW w:type="dxa" w:w="3370"/>
            <w:tcMar>
              <w:top w:type="dxa" w:w="50"/>
              <w:left w:type="dxa" w:w="80"/>
              <w:bottom w:type="dxa" w:w="50"/>
              <w:right w:type="dxa" w:w="80"/>
            </w:tcMar>
            <w:vAlign w:val="top"/>
          </w:tcPr>
          <w:p>
            <w:r>
              <w:rPr>
                <w:b w:val="false"/>
                <w:bCs w:val="false"/>
                <w:color w:val="000000"/>
                <w:sz w:val="13"/>
                <w:szCs w:val="13"/>
              </w:rPr>
              <w:t xml:space="preserve">Client retries with exponential backoff (Part 13.7) up to 3 attempts; persistent failure should be reported via Support Tickets (SRS Part 19) with the requestId.</w:t>
            </w:r>
          </w:p>
        </w:tc>
        <w:tc>
          <w:tcPr>
            <w:tcW w:type="dxa" w:w="3229"/>
            <w:tcMar>
              <w:top w:type="dxa" w:w="50"/>
              <w:left w:type="dxa" w:w="80"/>
              <w:bottom w:type="dxa" w:w="50"/>
              <w:right w:type="dxa" w:w="80"/>
            </w:tcMar>
            <w:vAlign w:val="top"/>
          </w:tcPr>
          <w:p>
            <w:r>
              <w:rPr>
                <w:b w:val="false"/>
                <w:bCs w:val="false"/>
                <w:color w:val="000000"/>
                <w:sz w:val="13"/>
                <w:szCs w:val="13"/>
              </w:rPr>
              <w:t xml:space="preserve">Logged at ERROR with full stack trace server-side (never returned to the client); triggers alerting per Part 13.10 observability requirements</w:t>
            </w:r>
          </w:p>
        </w:tc>
      </w:tr>
      <w:tr>
        <w:tc>
          <w:tcPr>
            <w:tcW w:type="dxa" w:w="1404"/>
            <w:tcMar>
              <w:top w:type="dxa" w:w="50"/>
              <w:left w:type="dxa" w:w="80"/>
              <w:bottom w:type="dxa" w:w="50"/>
              <w:right w:type="dxa" w:w="80"/>
            </w:tcMar>
            <w:vAlign w:val="top"/>
          </w:tcPr>
          <w:p>
            <w:r>
              <w:rPr>
                <w:b/>
                <w:bCs/>
                <w:color w:val="000000"/>
                <w:sz w:val="13"/>
                <w:szCs w:val="13"/>
              </w:rPr>
              <w:t xml:space="preserve">Integration</w:t>
            </w:r>
          </w:p>
        </w:tc>
        <w:tc>
          <w:tcPr>
            <w:tcW w:type="dxa" w:w="983"/>
            <w:tcMar>
              <w:top w:type="dxa" w:w="50"/>
              <w:left w:type="dxa" w:w="80"/>
              <w:bottom w:type="dxa" w:w="50"/>
              <w:right w:type="dxa" w:w="80"/>
            </w:tcMar>
            <w:vAlign w:val="top"/>
          </w:tcPr>
          <w:p>
            <w:r>
              <w:rPr>
                <w:b w:val="false"/>
                <w:bCs w:val="false"/>
                <w:color w:val="000000"/>
                <w:sz w:val="13"/>
                <w:szCs w:val="13"/>
              </w:rPr>
              <w:t xml:space="preserve">502 / 504</w:t>
            </w:r>
          </w:p>
        </w:tc>
        <w:tc>
          <w:tcPr>
            <w:tcW w:type="dxa" w:w="1966"/>
            <w:tcMar>
              <w:top w:type="dxa" w:w="50"/>
              <w:left w:type="dxa" w:w="80"/>
              <w:bottom w:type="dxa" w:w="50"/>
              <w:right w:type="dxa" w:w="80"/>
            </w:tcMar>
            <w:vAlign w:val="top"/>
          </w:tcPr>
          <w:p>
            <w:r>
              <w:rPr>
                <w:b w:val="false"/>
                <w:bCs w:val="false"/>
                <w:color w:val="000000"/>
                <w:sz w:val="13"/>
                <w:szCs w:val="13"/>
              </w:rPr>
              <w:t xml:space="preserve">UPSTREAM_INTEGRATION_FAILURE / UPSTREAM_TIMEOUT</w:t>
            </w:r>
          </w:p>
        </w:tc>
        <w:tc>
          <w:tcPr>
            <w:tcW w:type="dxa" w:w="3089"/>
            <w:tcMar>
              <w:top w:type="dxa" w:w="50"/>
              <w:left w:type="dxa" w:w="80"/>
              <w:bottom w:type="dxa" w:w="50"/>
              <w:right w:type="dxa" w:w="80"/>
            </w:tcMar>
            <w:vAlign w:val="top"/>
          </w:tcPr>
          <w:p>
            <w:r>
              <w:rPr>
                <w:b w:val="false"/>
                <w:bCs w:val="false"/>
                <w:color w:val="000000"/>
                <w:sz w:val="13"/>
                <w:szCs w:val="13"/>
              </w:rPr>
              <w:t xml:space="preserve">One of the twelve external integrations (Part 9) failed or timed out while this request depended on it.</w:t>
            </w:r>
          </w:p>
        </w:tc>
        <w:tc>
          <w:tcPr>
            <w:tcW w:type="dxa" w:w="3370"/>
            <w:tcMar>
              <w:top w:type="dxa" w:w="50"/>
              <w:left w:type="dxa" w:w="80"/>
              <w:bottom w:type="dxa" w:w="50"/>
              <w:right w:type="dxa" w:w="80"/>
            </w:tcMar>
            <w:vAlign w:val="top"/>
          </w:tcPr>
          <w:p>
            <w:r>
              <w:rPr>
                <w:b w:val="false"/>
                <w:bCs w:val="false"/>
                <w:color w:val="000000"/>
                <w:sz w:val="13"/>
                <w:szCs w:val="13"/>
              </w:rPr>
              <w:t xml:space="preserve">Depends on the integration's criticality tier (Part 9) — Critical-tier failures are surfaced immediately to the client; High/Medium-tier failures degrade gracefully per DDS/SRS Part 29's graceful-degradation requirement rather than failing the whole request where avoidable.</w:t>
            </w:r>
          </w:p>
        </w:tc>
        <w:tc>
          <w:tcPr>
            <w:tcW w:type="dxa" w:w="3229"/>
            <w:tcMar>
              <w:top w:type="dxa" w:w="50"/>
              <w:left w:type="dxa" w:w="80"/>
              <w:bottom w:type="dxa" w:w="50"/>
              <w:right w:type="dxa" w:w="80"/>
            </w:tcMar>
            <w:vAlign w:val="top"/>
          </w:tcPr>
          <w:p>
            <w:r>
              <w:rPr>
                <w:b w:val="false"/>
                <w:bCs w:val="false"/>
                <w:color w:val="000000"/>
                <w:sz w:val="13"/>
                <w:szCs w:val="13"/>
              </w:rPr>
              <w:t xml:space="preserve">Logged at ERROR, tagged with the specific integration ID (INT-01 through INT-12, Part 9) for incident triage</w:t>
            </w:r>
          </w:p>
        </w:tc>
      </w:tr>
      <w:tr>
        <w:tc>
          <w:tcPr>
            <w:tcW w:type="dxa" w:w="1404"/>
            <w:tcMar>
              <w:top w:type="dxa" w:w="50"/>
              <w:left w:type="dxa" w:w="80"/>
              <w:bottom w:type="dxa" w:w="50"/>
              <w:right w:type="dxa" w:w="80"/>
            </w:tcMar>
            <w:vAlign w:val="top"/>
          </w:tcPr>
          <w:p>
            <w:r>
              <w:rPr>
                <w:b/>
                <w:bCs/>
                <w:color w:val="000000"/>
                <w:sz w:val="13"/>
                <w:szCs w:val="13"/>
              </w:rPr>
              <w:t xml:space="preserve">Rate Limit</w:t>
            </w:r>
          </w:p>
        </w:tc>
        <w:tc>
          <w:tcPr>
            <w:tcW w:type="dxa" w:w="983"/>
            <w:tcMar>
              <w:top w:type="dxa" w:w="50"/>
              <w:left w:type="dxa" w:w="80"/>
              <w:bottom w:type="dxa" w:w="50"/>
              <w:right w:type="dxa" w:w="80"/>
            </w:tcMar>
            <w:vAlign w:val="top"/>
          </w:tcPr>
          <w:p>
            <w:r>
              <w:rPr>
                <w:b w:val="false"/>
                <w:bCs w:val="false"/>
                <w:color w:val="000000"/>
                <w:sz w:val="13"/>
                <w:szCs w:val="13"/>
              </w:rPr>
              <w:t xml:space="preserve">429</w:t>
            </w:r>
          </w:p>
        </w:tc>
        <w:tc>
          <w:tcPr>
            <w:tcW w:type="dxa" w:w="1966"/>
            <w:tcMar>
              <w:top w:type="dxa" w:w="50"/>
              <w:left w:type="dxa" w:w="80"/>
              <w:bottom w:type="dxa" w:w="50"/>
              <w:right w:type="dxa" w:w="80"/>
            </w:tcMar>
            <w:vAlign w:val="top"/>
          </w:tcPr>
          <w:p>
            <w:r>
              <w:rPr>
                <w:b w:val="false"/>
                <w:bCs w:val="false"/>
                <w:color w:val="000000"/>
                <w:sz w:val="13"/>
                <w:szCs w:val="13"/>
              </w:rPr>
              <w:t xml:space="preserve">RATE_LIMIT_EXCEEDED</w:t>
            </w:r>
          </w:p>
        </w:tc>
        <w:tc>
          <w:tcPr>
            <w:tcW w:type="dxa" w:w="3089"/>
            <w:tcMar>
              <w:top w:type="dxa" w:w="50"/>
              <w:left w:type="dxa" w:w="80"/>
              <w:bottom w:type="dxa" w:w="50"/>
              <w:right w:type="dxa" w:w="80"/>
            </w:tcMar>
            <w:vAlign w:val="top"/>
          </w:tcPr>
          <w:p>
            <w:r>
              <w:rPr>
                <w:b w:val="false"/>
                <w:bCs w:val="false"/>
                <w:color w:val="000000"/>
                <w:sz w:val="13"/>
                <w:szCs w:val="13"/>
              </w:rPr>
              <w:t xml:space="preserve">The caller exceeded their tier's request-rate allowance (Part 13.5).</w:t>
            </w:r>
          </w:p>
        </w:tc>
        <w:tc>
          <w:tcPr>
            <w:tcW w:type="dxa" w:w="3370"/>
            <w:tcMar>
              <w:top w:type="dxa" w:w="50"/>
              <w:left w:type="dxa" w:w="80"/>
              <w:bottom w:type="dxa" w:w="50"/>
              <w:right w:type="dxa" w:w="80"/>
            </w:tcMar>
            <w:vAlign w:val="top"/>
          </w:tcPr>
          <w:p>
            <w:r>
              <w:rPr>
                <w:b w:val="false"/>
                <w:bCs w:val="false"/>
                <w:color w:val="000000"/>
                <w:sz w:val="13"/>
                <w:szCs w:val="13"/>
              </w:rPr>
              <w:t xml:space="preserve">Client respects the Retry-After header and backs off; a client that ignores Retry-After repeatedly is a candidate for API key/account-level review.</w:t>
            </w:r>
          </w:p>
        </w:tc>
        <w:tc>
          <w:tcPr>
            <w:tcW w:type="dxa" w:w="3229"/>
            <w:tcMar>
              <w:top w:type="dxa" w:w="50"/>
              <w:left w:type="dxa" w:w="80"/>
              <w:bottom w:type="dxa" w:w="50"/>
              <w:right w:type="dxa" w:w="80"/>
            </w:tcMar>
            <w:vAlign w:val="top"/>
          </w:tcPr>
          <w:p>
            <w:r>
              <w:rPr>
                <w:b w:val="false"/>
                <w:bCs w:val="false"/>
                <w:color w:val="000000"/>
                <w:sz w:val="13"/>
                <w:szCs w:val="13"/>
              </w:rPr>
              <w:t xml:space="preserve">Logged at WARN; sustained 429s from one caller feed the Security Monitoring dashboard (Part 14.10)</w:t>
            </w:r>
          </w:p>
        </w:tc>
      </w:tr>
    </w:tbl>
    <w:p>
      <w:pPr>
        <w:spacing w:after="160"/>
      </w:pPr>
    </w:p>
    <w:p>
      <w:pPr>
        <w:pStyle w:val="Heading1"/>
        <w:pBdr>
          <w:bottom w:val="single" w:color="1F5C3B" w:sz="6" w:space="4"/>
        </w:pBdr>
        <w:spacing w:after="130" w:before="320"/>
      </w:pPr>
      <w:r>
        <w:t xml:space="preserve">7.3 Timeout Errors</w:t>
      </w:r>
    </w:p>
    <w:p>
      <w:pPr>
        <w:spacing w:after="150" w:line="276"/>
        <w:jc w:val="both"/>
      </w:pPr>
      <w:r>
        <w:t xml:space="preserve">A timeout is distinguished from a generic system error specifically because its correct client response differs: REQUEST_TIMEOUT (HTTP 408, the client took too long to send a complete request — rare, mostly large file uploads on poor connectivity per SRS Part 18's low-bandwidth state-office scenario) should not be retried identically (the same slow connection will likely time out again), while UPSTREAM_TIMEOUT (HTTP 504, this server's own call to an integration or the database exceeded its budget, Part 13.8) is safe to retry per the System category's guidance above, since the fault is this platform's, not the client's connection.</w:t>
      </w:r>
    </w:p>
    <w:sectPr>
      <w:pgSz w:w="15840" w:h="12240"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pPr>
    <w:rPr>
      <w:rFonts w:ascii="Arial" w:cs="Arial" w:eastAsia="Arial" w:hAnsi="Arial"/>
      <w:b/>
      <w:bCs/>
      <w:color w:val="1F5C3B"/>
      <w:sz w:val="24"/>
      <w:szCs w:val="24"/>
    </w:rPr>
  </w:style>
  <w:style w:type="paragraph" w:styleId="Heading2">
    <w:name w:val="Heading 2"/>
    <w:basedOn w:val="Normal"/>
    <w:next w:val="Normal"/>
    <w:qFormat/>
    <w:pPr>
      <w:spacing w:after="100" w:before="220"/>
    </w:pPr>
    <w:rPr>
      <w:rFonts w:ascii="Arial" w:cs="Arial" w:eastAsia="Arial" w:hAnsi="Arial"/>
      <w:b/>
      <w:bCs/>
      <w:color w:val="2E8B57"/>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2026-07-19T09:50:36.985Z</dcterms:created>
  <dcterms:modified xsi:type="dcterms:W3CDTF">2026-07-19T09:50:36.985Z</dcterms:modified>
</cp:coreProperties>
</file>

<file path=docProps/custom.xml><?xml version="1.0" encoding="utf-8"?>
<Properties xmlns="http://schemas.openxmlformats.org/officeDocument/2006/custom-properties" xmlns:vt="http://schemas.openxmlformats.org/officeDocument/2006/docPropsVTypes"/>
</file>