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SAPZ PROGRAMME — REF: NPCO/SAPZ/IFAD/26/1023/588</w:t>
      </w:r>
    </w:p>
    <w:p>
      <w:pPr>
        <w:spacing w:after="60"/>
        <w:jc w:val="center"/>
      </w:pPr>
      <w:r>
        <w:rPr>
          <w:b/>
          <w:bCs/>
          <w:color w:val="1F5C3B"/>
          <w:sz w:val="32"/>
          <w:szCs w:val="32"/>
        </w:rPr>
        <w:t xml:space="preserve">API &amp; Integration Design Specification (AIDS)</w:t>
      </w:r>
    </w:p>
    <w:p>
      <w:pPr>
        <w:spacing w:after="60"/>
        <w:jc w:val="center"/>
      </w:pPr>
      <w:r>
        <w:rPr>
          <w:b/>
          <w:bCs/>
          <w:color w:val="2E8B57"/>
          <w:sz w:val="22"/>
          <w:szCs w:val="22"/>
        </w:rPr>
        <w:t xml:space="preserve">Enterprise System Management (ESM) Platform and Central Knowledge Repository (CKR)</w:t>
      </w:r>
    </w:p>
    <w:p>
      <w:pPr>
        <w:spacing w:after="40"/>
        <w:jc w:val="center"/>
      </w:pPr>
      <w:r>
        <w:rPr>
          <w:b/>
          <w:bCs/>
          <w:color w:val="2E8B57"/>
          <w:sz w:val="24"/>
          <w:szCs w:val="24"/>
        </w:rPr>
        <w:t xml:space="preserve">Part 9 — Integration Contracts</w:t>
      </w:r>
    </w:p>
    <w:p>
      <w:pPr>
        <w:spacing w:after="260"/>
        <w:jc w:val="center"/>
      </w:pPr>
      <w:r>
        <w:rPr>
          <w:i/>
          <w:iCs/>
          <w:color w:val="555555"/>
          <w:sz w:val="19"/>
          <w:szCs w:val="19"/>
        </w:rPr>
        <w:t xml:space="preserve">Prepared for the SAPZ National Programme Coordination Office — Consultant: Ahmed Babajide Olanrewaju</w:t>
      </w: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9.1 Purpose and Scope</w:t>
      </w:r>
    </w:p>
    <w:p>
      <w:pPr>
        <w:spacing w:after="150" w:line="276"/>
        <w:jc w:val="both"/>
      </w:pPr>
      <w:r>
        <w:t xml:space="preserve">SRS Part 29 first catalogued seven integrations (INT-01 through INT-07) at requirements level. This Part restates those seven as full technical contracts and adds five more — Microsoft 365 as a distinct contract from the Identity Provider it shares a vendor with, the Search Engine as an internal-but-separable component, and three explicitly future (Phase 2+) systems named in the Enterprise Architecture Blueprint's extensibility provisions — for twelve contracts in total. Each contract fixes nine attributes so that whoever builds or operates the integration (Antigravity, or a future maintenance engineer) has one unambiguous reference rather than needing to infer intent from the SRS's lighter-weight requirement statements.</w:t>
      </w: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INT-01 — Email Gateway (SMTP)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934"/>
      </w:tblGrid>
      <w:tr>
        <w:trPr>
          <w:tblHeader/>
        </w:trPr>
        <w:tc>
          <w:tcPr>
            <w:tcW w:type="dxa" w:w="250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93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Deliver email notifications (SRS Part 26) and scheduled report distribution (Part 15).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Direction of Data Flow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Outbound only — this platform sends, never receives, email programmatically.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SMTP AUTH over TLS (STARTTLS) using a dedicated service-account mailbox credential stored in the secrets manager (Part 13.9), not a personal account.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Data Format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MIME (multipart, HTML + plaintext fallback body) per Part 6 payload conventions applied to the notification template.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Frequency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Real-time, triggered per Notification row created (DDS Domain 9) — no batching in Phase 1.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Protocol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SMTP (port 587)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Error Handling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delivery failure is caught, logged, and retried up to 3 times (Part 13.7 retry policy); a Notification remains queryable via the API (GET /api/v1/notifications) even if its email channel permanently fails, so the failure is degraded, not silent data loss.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Ownership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Client's ICT unit provisions and rotates the mailbox credential; the platform team owns the SMTP client configuration.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SLA / Criticality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High — routine notification delivery depends on it, but a sustained outage degrades one channel, not the platform (Part 7 Integration error category).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INT-02 — SMS Gateway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934"/>
      </w:tblGrid>
      <w:tr>
        <w:trPr>
          <w:tblHeader/>
        </w:trPr>
        <w:tc>
          <w:tcPr>
            <w:tcW w:type="dxa" w:w="250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93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Deliver critical and escalation-tier SMS notifications (SRS Part 26: NOTIF-02, 15, 20).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Direction of Data Flow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Outbound only.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API key over HTTPS, vendor-specific (final vendor selected at implementation per the client's existing telecom relationship, per EA Blueprint Part 8).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Data Format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request per the vendor's REST API; response includes a vendor message ID persisted against the Notification row for delivery-status reconciliation.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Frequency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Real-time, reserved for critical/escalation notifications only — not a routine channel, consistent with SRS Part 26's channel-selection rule.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Protocol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HTTPS REST (vendor-specific endpoint)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Error Handling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3 retry attempts; persistent failure escalates the underlying event to the Notification's email or in-app channel as a fallback, since SMS is the highest-urgency channel and cannot fail silently for escalation-tier alerts.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Ownership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Client's ICT unit owns the vendor relationship and credential; platform team owns the client integration code.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SLA / Criticality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Medium tier by volume, but Critical by consequence for the specific escalation notifications routed through it (Part 7's category framing: low frequency, high importance).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INT-03 — GIS Data Source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934"/>
      </w:tblGrid>
      <w:tr>
        <w:trPr>
          <w:tblHeader/>
        </w:trPr>
        <w:tc>
          <w:tcPr>
            <w:tcW w:type="dxa" w:w="250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93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Supply geographic boundary and mapping data for state/zone visualisation (Analytics Part 16, Executive Dashboard state tiles).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Direction of Data Flow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Inbound only — this platform consumes boundary/mapping data, never publishes to the GIS source.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API key or, where the source is a government open-data portal, no authentication (public endpoint).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Data Format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GeoJSON for boundary polygons; the platform caches the fetched boundary set locally (it changes rarely) rather than calling the source on every dashboard render.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Frequency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Low — fetched at deployment/configuration time and refreshed on an administrator-triggered basis (state/LGA boundaries are effectively static data), not per-request.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Protocol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HTTPS REST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Error Handling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fetch failure at refresh time retains the last successfully cached boundary set rather than blanking the map — the dashboard degrades to stale-but-present data, never to an empty visualisation.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Ownership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Platform team owns the integration; boundary data accuracy is the GIS source's responsibility.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SLA / Criticality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Low — supplementary visualisation, not a Phase 1 Must Have dependency (Part 7 category: Medium overall, degrades gracefully).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INT-04 — Client Identity Provider (SSO)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934"/>
      </w:tblGrid>
      <w:tr>
        <w:trPr>
          <w:tblHeader/>
        </w:trPr>
        <w:tc>
          <w:tcPr>
            <w:tcW w:type="dxa" w:w="250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93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Federated authentication, consistent with the client's existing productivity suite (Microsoft 365 / Azure AD, per EA Blueprint's technology decision).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Direction of Data Flow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Bidirectional — this platform redirects the user to the IdP for authentication and receives an identity assertion back.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OAuth2 Authorization Code flow with PKCE, OIDC identity layer (Part 5.2) — the platform never sees or stores the user's IdP password.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Data Format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OIDC ID token (JWT) from the IdP, exchanged by this platform's backend for its own JWT (Part 5.3) — the two token formats are deliberately decoupled (Part 5.2's rationale).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Frequency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Per user login/session-refresh — not a batch or scheduled integration.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Protocol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HTTPS (OAuth2/OIDC over TLS 1.2+)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Error Handling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An IdP outage is a platform-wide incident (this is the one Critical-tier integration where graceful degradation is not possible, since authentication is the gate to everything) — escalated immediately per the EA Blueprint's incident response tiers, not handled as a routine Part 7 error category.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Ownership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Client's ICT/Identity team owns the IdP tenant and user provisioning; platform team owns the OIDC client registration and callback handling.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SLA / Criticality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Critical — the entire system is unusable if this integration fails; the EA Blueprint's availability target for the platform is contingent on the IdP's own SLA.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INT-05 — Power BI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934"/>
      </w:tblGrid>
      <w:tr>
        <w:trPr>
          <w:tblHeader/>
        </w:trPr>
        <w:tc>
          <w:tcPr>
            <w:tcW w:type="dxa" w:w="250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93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Optional advanced visualisation layer for users who prefer the client's existing BI tooling over in-product Analytics (Part 16).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Direction of Data Flow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Outbound only — this platform exposes a read-only data feed; it does not consume anything back from Power BI.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scoped, read-only API key (Part 5.6) distinct from any user's session token, since Power BI's data connector authenticates as a service, not as an individual user.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Data Format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OData or a dedicated REST endpoint returning the same aggregate shapes as the in-product Analytics module (DDS Part 13 materialized views) — Power BI is a second consumer of the same data layer, not a separately maintained one.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Frequency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On-demand, per Power BI's own refresh schedule (typically daily, configured client-side in Power BI, not controlled by this platform).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Protocol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HTTPS REST / OData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Error Handling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Standard Part 7 error envelope; a Power BI refresh failure is entirely external to this platform's operation and has no user-facing impact beyond the BI report itself going stale.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Ownership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Client's BI/Analytics team owns the Power BI report and refresh schedule; platform team owns the exposed data feed's stability and versioning.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SLA / Criticality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Low — supplementary, not a Phase 1 dependency for any Must Have requirement.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INT-06 — SAPZ Programme Website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934"/>
      </w:tblGrid>
      <w:tr>
        <w:trPr>
          <w:tblHeader/>
        </w:trPr>
        <w:tc>
          <w:tcPr>
            <w:tcW w:type="dxa" w:w="250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93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Surface CKR Public Portal content and federated search results on the main SAPZ Programme public website (SRS Part 21).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Direction of Data Flow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Outbound — this platform serves public-tagged content to the website; the website does not write back into this platform.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Public endpoints require no authentication (by design, per SRS BR-PORT-01's public-visibility rule); if the website instead proxies requests server-side, a scoped read-only API key is used.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Data Format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JSON, matching the standard REST response shape (Part 4, Part 6) filtered to public-visibility fields only (Part 5.7's non-disclosure pattern).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Frequency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Real-time per page load, or cached at the website's CDN layer with a short TTL — the website team's choice, not mandated by this platform.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Protocol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HTTPS REST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Error Handling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failure here is High, not Critical (Part 7): the SAPZ website should degrade to its last-cached content or a graceful "content temporarily unavailable" state rather than showing an error to public visitors, and correspondingly this integration triggers the ICT Administrator page on repeated webhook failure (Part 8.3, knowledge.published).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Ownership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Platform team owns the exposed API; the website's own hosting/CDN is owned by whichever team or vendor maintains the public SAPZ website.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SLA / Criticality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High — the Public Portal's public-facing value is substantially reduced without this integration functioning.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INT-07 — File Storage (Object Store)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934"/>
      </w:tblGrid>
      <w:tr>
        <w:trPr>
          <w:tblHeader/>
        </w:trPr>
        <w:tc>
          <w:tcPr>
            <w:tcW w:type="dxa" w:w="250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93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Underlying storage for all uploaded documents and media (Documents Part 11, Media Part 13), per the EA Blueprint's data architecture boundary decision that binary content lives outside the relational database.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Direction of Data Flow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Bidirectional — the platform writes uploaded files and reads them back for download/preview.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IAM-scoped credentials (cloud-provider-native, e.g. an S3-compatible bucket policy) issued to the application's service identity, never to an individual user directly.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Data Format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Raw binary, addressed by an object key derived from the DDS's DocumentVersion/MediaAsset UUID — never re-encoded or wrapped in JSON (Part 6.5).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Frequency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Real-time, per upload/download request.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Protocol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HTTPS (S3-compatible REST API, or equivalent for the selected cloud provider)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Error Handling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write failure fails the originating POST /documents or POST /media request outright (there is no safe partial-success state for a file upload) with a 502 UPSTREAM_INTEGRATION_FAILURE (Part 7); a read failure similarly fails the specific download/preview request without affecting the rest of the platform.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Ownership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Platform team owns the bucket/container configuration; the cloud provider owns the underlying storage SLA.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SLA / Criticality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Critical — no document or media upload/retrieval function operates without it.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INT-08 — Microsoft 365 (Collaboration Suite)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934"/>
      </w:tblGrid>
      <w:tr>
        <w:trPr>
          <w:tblHeader/>
        </w:trPr>
        <w:tc>
          <w:tcPr>
            <w:tcW w:type="dxa" w:w="250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93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Optional calendar sync (Meetings, SRS Part 20) and, where the client opts in, SharePoint-based document co-editing awareness — distinct from INT-04, which covers authentication only; this contract covers the productivity-suite data exchange that happens after a user is already signed in.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Direction of Data Flow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Bidirectional — calendar events created in this platform can sync to a user's Outlook calendar, and (Phase 2 candidate) SharePoint co-editing status could sync back.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OAuth2 delegated permissions via Microsoft Graph API, using the same IdP tenant as INT-04 but a separate, narrower consent scope (calendar.readwrite, not the full identity scope).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Data Format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via Microsoft Graph's REST API.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Frequency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Real-time for calendar event creation/update; not applicable to SharePoint sync in Phase 1 (explicitly out of scope, noted below).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Protocol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HTTPS REST (Microsoft Graph API)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Error Handling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 sync failure logs and retries per Part 13.7 but never blocks the underlying Meeting record from being created in this platform — Microsoft 365 sync is additive convenience, not authoritative; this platform's own Meeting/Calendar data (DDS Domain 15) remains the system of record regardless of sync status.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Ownership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Client's ICT unit owns Microsoft 365 tenant configuration and Graph API app registration; platform team owns the sync client.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SLA / Criticality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Medium — calendar sync is a Should Have (SRS Part 20), not a Must Have; SharePoint co-editing is explicitly Phase 2/future and out of Phase 1 scope entirely.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INT-09 — Search Engine (OpenSearch)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934"/>
      </w:tblGrid>
      <w:tr>
        <w:trPr>
          <w:tblHeader/>
        </w:trPr>
        <w:tc>
          <w:tcPr>
            <w:tcW w:type="dxa" w:w="250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93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Powers full-text and faceted search across Knowledge Repository, Documents, Tasks, and the federated Public Portal search (SRS Part 14, DDS Part 12).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Direction of Data Flow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Bidirectional internally — the platform writes indexed documents on every relevant entity change and reads query results back — but this is treated as an integration contract, not an internal database call, because it is a genuinely separate technology (OpenSearch, not PostgreSQL) with its own availability and consistency characteristics (DDS Part 12's near-real-time, not synchronous, sync model).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Internal network-level trust (not internet-facing) — mutual TLS between the application tier and the OpenSearch cluster within the same private network, per EA Blueprint's deployment topology.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Data Format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JSON documents matching DDS Part 12's SearchIndexEntry shape.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Frequency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Near-real-time — indexed asynchronously on write (DDS Part 12.3's event-driven sync, typically sub-second to a few seconds lag), not synchronously within the triggering request's transaction.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Protocol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HTTPS (OpenSearch REST API) over the internal network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Error Handling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An indexing failure is logged and retried (Part 13.7); the source-of-truth row in PostgreSQL is never at risk (search index is a derived, rebuildable projection, DDS Part 12.5's reindex capability) — a search-cluster outage degrades the GET /api/v1/search endpoint to a 502 while leaving every other endpoint fully operational, since no other endpoint depends on OpenSearch.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Ownership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Platform/infrastructure team owns the OpenSearch cluster; this is the domain explicitly named in Part 2.4 as the most likely future microservice-extraction candidate.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SLA / Criticality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High for the Search domain specifically; Medium for the platform overall, since Search's failure is isolated (Part 7's Integration category).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INT-10 — Future ERP System (Phase 2+)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934"/>
      </w:tblGrid>
      <w:tr>
        <w:trPr>
          <w:tblHeader/>
        </w:trPr>
        <w:tc>
          <w:tcPr>
            <w:tcW w:type="dxa" w:w="250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93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Named in the EA Blueprint's extensibility provisions as a plausible future integration for budget/expenditure data exchange with the client's financial systems — not built in Phase 1.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Direction of Data Flow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Anticipated bidirectional (budget figures in, commitment/expenditure actuals out) — to be confirmed against the specific ERP product selected by the client, which was not known at the time of this specification.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To be determined — likely OAuth2 client-credentials (service-to-service), pending the target ERP's own capabilities.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Data Format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To be determined — likely JSON/REST if the target ERP exposes a modern API, or a batch file-based exchange (CSV/XML) if it does not.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Frequency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To be determined — likely daily batch reconciliation rather than real-time, consistent with typical financial-system integration cadence.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Protocol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To be determined.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Error Handling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Not applicable in Phase 1 — no error-handling contract exists until this integration is scoped.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Ownership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Not applicable in Phase 1.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SLA / Criticality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Not applicable — Phase 2+ only; included here so that DDS's Project.budget and related financial fields (DDS Part 4) are understood as pre-positioned for this future integration rather than a closed data model.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INT-11 — Future M&amp;E (Monitoring &amp; Evaluation) Systems (Phase 2+)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934"/>
      </w:tblGrid>
      <w:tr>
        <w:trPr>
          <w:tblHeader/>
        </w:trPr>
        <w:tc>
          <w:tcPr>
            <w:tcW w:type="dxa" w:w="250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93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Named in the EA Blueprint as a plausible future integration with the client's or IFAD's own results-monitoring systems, for indicator/results data exchange — not built in Phase 1.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Direction of Data Flow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Anticipated outbound (this platform's Reports and Analytics data, Part 15/16, feeding an external M&amp;E system) — direction to be confirmed once a specific target system is named.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To be determined.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Data Format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To be determined — likely JSON/REST, or IATI-standard XML if the target system is donor-results-framework-aligned (a plausible fit given the IFAD context).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Frequency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To be determined — likely periodic (monthly/quarterly), matching typical M&amp;E reporting cadences rather than real-time.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Protocol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To be determined.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Error Handling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Not applicable in Phase 1.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Ownership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Not applicable in Phase 1.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SLA / Criticality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Not applicable — Phase 2+ only; the Reporting module's DDS materialized views (DDS Part 13) are structured to make this extraction straightforward when scoped.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>
          <w:b/>
          <w:bCs/>
          <w:color w:val="2E8B57"/>
          <w:sz w:val="21"/>
          <w:szCs w:val="21"/>
        </w:rPr>
        <w:t xml:space="preserve">INT-12 — Future Financial Management Systems (Phase 2+)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934"/>
      </w:tblGrid>
      <w:tr>
        <w:trPr>
          <w:tblHeader/>
        </w:trPr>
        <w:tc>
          <w:tcPr>
            <w:tcW w:type="dxa" w:w="2506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Attribute</w:t>
            </w:r>
          </w:p>
        </w:tc>
        <w:tc>
          <w:tcPr>
            <w:tcW w:type="dxa" w:w="7934"/>
            <w:shd w:fill="1F5C3B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Purpose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Named in the EA Blueprint as a plausible future integration distinct from INT-10 (ERP) — covering, specifically, disbursement/payment-tracking exchange with a client or donor financial-management platform — not built in Phase 1.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Direction of Data Flow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Anticipated outbound (project/activity financial commitments) — to be confirmed.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To be determined.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Data Format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To be determined.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Frequency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To be determined.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Protocol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To be determined.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Error Handling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Not applicable in Phase 1.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Ownership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Not applicable in Phase 1.</w:t>
            </w:r>
          </w:p>
        </w:tc>
      </w:tr>
      <w:tr>
        <w:tc>
          <w:tcPr>
            <w:tcW w:type="dxa" w:w="250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/>
                <w:bCs/>
                <w:color w:val="000000"/>
                <w:sz w:val="15"/>
                <w:szCs w:val="15"/>
              </w:rPr>
              <w:t xml:space="preserve">SLA / Criticality</w:t>
            </w:r>
          </w:p>
        </w:tc>
        <w:tc>
          <w:tcPr>
            <w:tcW w:type="dxa" w:w="793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color w:val="000000"/>
                <w:sz w:val="15"/>
                <w:szCs w:val="15"/>
              </w:rPr>
              <w:t xml:space="preserve">Not applicable — Phase 2+ only; distinguished from INT-10 because a client's core ERP and a donor-facing financial-management/disbursement system are frequently two separate platforms in IFAD-funded programmes, and conflating them into one integration contract would understate the future integration effort.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1F5C3B" w:sz="6" w:space="4"/>
        </w:pBdr>
        <w:spacing w:after="130" w:before="320"/>
      </w:pPr>
      <w:r>
        <w:t xml:space="preserve">9.2 Graceful Degradation Principle</w:t>
      </w:r>
    </w:p>
    <w:p>
      <w:pPr>
        <w:spacing w:after="150" w:line="276"/>
        <w:jc w:val="both"/>
      </w:pPr>
      <w:r>
        <w:t xml:space="preserve">Consistent with SRS Part 29's founding rule, every integration in this catalogue must degrade gracefully rather than causing a full system failure when unavailable. Only INT-04 (Identity Provider) is Critical in the sense that no workaround exists — every other integration's failure, including the other Critical-rated INT-07 (File Storage), is scoped to fail the specific dependent function (uploads, in INT-07's case) while leaving the rest of the platform fully operational, per the Part 7 Integration error category's 502/504 handling.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Arial" w:cs="Arial" w:eastAsia="Arial" w:hAnsi="Arial"/>
      <w:b/>
      <w:bCs/>
      <w:color w:val="1F5C3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Arial" w:cs="Arial" w:eastAsia="Arial" w:hAnsi="Arial"/>
      <w:b/>
      <w:bCs/>
      <w:color w:val="2E8B5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2026-07-19T09:50:49.896Z</dcterms:created>
  <dcterms:modified xsi:type="dcterms:W3CDTF">2026-07-19T09:50:49.896Z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