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10 — Event-Driven Architecture</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10.1 Purpose and Relationship to Webhooks</w:t>
      </w:r>
    </w:p>
    <w:p>
      <w:pPr>
        <w:spacing w:after="150" w:line="276"/>
        <w:jc w:val="both"/>
      </w:pPr>
      <w:r>
        <w:t xml:space="preserve">Part 8 specified webhooks — this platform's outbound notifications to external subscribers. This Part specifies a distinct, internal concern: how the platform itself decouples a primary write operation (e.g. POST /tasks) from its side effects (search indexing, notification generation, webhook dispatch, audit logging), using an internal event bus. A webhook delivery (Part 8) is one possible subscriber to an internal domain event defined here — the two are related but not the same mechanism, and conflating them was flagged in Part 1 as a risk this specification deliberately avoids.</w:t>
      </w:r>
    </w:p>
    <w:p>
      <w:pPr>
        <w:spacing w:after="150" w:line="276"/>
        <w:jc w:val="both"/>
      </w:pPr>
      <w:r>
        <w:t xml:space="preserve">This matters specifically because of the Modular Monolith decision (Part 2.4): a monolith without an internal event mechanism tends toward tightly-coupled, synchronous side effects buried inside request handlers (e.g. a Task creation handler that directly calls the search indexer, the notification service, and the audit logger in sequence, inside the same request). An internal event bus keeps the modular boundaries clean even inside a single deployable, and is the specific technical mechanism that makes the future 'progressive extraction' path (Part 2.4) viable — a module publishing and subscribing to events already behaves like a service boundary, long before it is physically split out.</w:t>
      </w:r>
    </w:p>
    <w:p>
      <w:pPr>
        <w:pStyle w:val="Heading1"/>
        <w:pBdr>
          <w:bottom w:val="single" w:color="1F5C3B" w:sz="6" w:space="4"/>
        </w:pBdr>
        <w:spacing w:after="130" w:before="320"/>
      </w:pPr>
      <w:r>
        <w:t xml:space="preserve">10.2 Domain Event Catalogue</w:t>
      </w:r>
    </w:p>
    <w:p>
      <w:pPr>
        <w:spacing w:after="150" w:line="276"/>
        <w:jc w:val="both"/>
      </w:pPr>
      <w:r>
        <w:t xml:space="preserve">Fifteen domain events are defined for Phase 1. Some correspond directly to a Part 8 webhook (marked); others are internal-only and have no external subscriber.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2246"/>
        <w:gridCol w:w="5897"/>
        <w:gridCol w:w="2808"/>
      </w:tblGrid>
      <w:tr>
        <w:trPr>
          <w:tblHeader/>
        </w:trPr>
        <w:tc>
          <w:tcPr>
            <w:tcW w:type="dxa" w:w="3089"/>
            <w:shd w:fill="1F5C3B" w:val="clear"/>
            <w:tcMar>
              <w:top w:type="dxa" w:w="50"/>
              <w:left w:type="dxa" w:w="80"/>
              <w:bottom w:type="dxa" w:w="50"/>
              <w:right w:type="dxa" w:w="80"/>
            </w:tcMar>
            <w:vAlign w:val="top"/>
          </w:tcPr>
          <w:p>
            <w:r>
              <w:rPr>
                <w:b/>
                <w:bCs/>
                <w:color w:val="FFFFFF"/>
                <w:sz w:val="15"/>
                <w:szCs w:val="15"/>
              </w:rPr>
              <w:t xml:space="preserve">Domain Event</w:t>
            </w:r>
          </w:p>
        </w:tc>
        <w:tc>
          <w:tcPr>
            <w:tcW w:type="dxa" w:w="2246"/>
            <w:shd w:fill="1F5C3B" w:val="clear"/>
            <w:tcMar>
              <w:top w:type="dxa" w:w="50"/>
              <w:left w:type="dxa" w:w="80"/>
              <w:bottom w:type="dxa" w:w="50"/>
              <w:right w:type="dxa" w:w="80"/>
            </w:tcMar>
            <w:vAlign w:val="top"/>
          </w:tcPr>
          <w:p>
            <w:r>
              <w:rPr>
                <w:b/>
                <w:bCs/>
                <w:color w:val="FFFFFF"/>
                <w:sz w:val="15"/>
                <w:szCs w:val="15"/>
              </w:rPr>
              <w:t xml:space="preserve">Publisher (Module)</w:t>
            </w:r>
          </w:p>
        </w:tc>
        <w:tc>
          <w:tcPr>
            <w:tcW w:type="dxa" w:w="5897"/>
            <w:shd w:fill="1F5C3B" w:val="clear"/>
            <w:tcMar>
              <w:top w:type="dxa" w:w="50"/>
              <w:left w:type="dxa" w:w="80"/>
              <w:bottom w:type="dxa" w:w="50"/>
              <w:right w:type="dxa" w:w="80"/>
            </w:tcMar>
            <w:vAlign w:val="top"/>
          </w:tcPr>
          <w:p>
            <w:r>
              <w:rPr>
                <w:b/>
                <w:bCs/>
                <w:color w:val="FFFFFF"/>
                <w:sz w:val="15"/>
                <w:szCs w:val="15"/>
              </w:rPr>
              <w:t xml:space="preserve">Subscriber(s)</w:t>
            </w:r>
          </w:p>
        </w:tc>
        <w:tc>
          <w:tcPr>
            <w:tcW w:type="dxa" w:w="2808"/>
            <w:shd w:fill="1F5C3B" w:val="clear"/>
            <w:tcMar>
              <w:top w:type="dxa" w:w="50"/>
              <w:left w:type="dxa" w:w="80"/>
              <w:bottom w:type="dxa" w:w="50"/>
              <w:right w:type="dxa" w:w="80"/>
            </w:tcMar>
            <w:vAlign w:val="top"/>
          </w:tcPr>
          <w:p>
            <w:r>
              <w:rPr>
                <w:b/>
                <w:bCs/>
                <w:color w:val="FFFFFF"/>
                <w:sz w:val="15"/>
                <w:szCs w:val="15"/>
              </w:rPr>
              <w:t xml:space="preserve">External Webhook?</w:t>
            </w:r>
          </w:p>
        </w:tc>
      </w:tr>
      <w:tr>
        <w:tc>
          <w:tcPr>
            <w:tcW w:type="dxa" w:w="3089"/>
            <w:tcMar>
              <w:top w:type="dxa" w:w="50"/>
              <w:left w:type="dxa" w:w="80"/>
              <w:bottom w:type="dxa" w:w="50"/>
              <w:right w:type="dxa" w:w="80"/>
            </w:tcMar>
            <w:vAlign w:val="top"/>
          </w:tcPr>
          <w:p>
            <w:r>
              <w:rPr>
                <w:b/>
                <w:bCs/>
                <w:color w:val="000000"/>
                <w:sz w:val="14"/>
                <w:szCs w:val="14"/>
              </w:rPr>
              <w:t xml:space="preserve">task.created</w:t>
            </w:r>
          </w:p>
        </w:tc>
        <w:tc>
          <w:tcPr>
            <w:tcW w:type="dxa" w:w="2246"/>
            <w:tcMar>
              <w:top w:type="dxa" w:w="50"/>
              <w:left w:type="dxa" w:w="80"/>
              <w:bottom w:type="dxa" w:w="50"/>
              <w:right w:type="dxa" w:w="80"/>
            </w:tcMar>
            <w:vAlign w:val="top"/>
          </w:tcPr>
          <w:p>
            <w:r>
              <w:rPr>
                <w:b w:val="false"/>
                <w:bCs w:val="false"/>
                <w:color w:val="000000"/>
                <w:sz w:val="14"/>
                <w:szCs w:val="14"/>
              </w:rPr>
              <w:t xml:space="preserve">Tasks</w:t>
            </w:r>
          </w:p>
        </w:tc>
        <w:tc>
          <w:tcPr>
            <w:tcW w:type="dxa" w:w="5897"/>
            <w:tcMar>
              <w:top w:type="dxa" w:w="50"/>
              <w:left w:type="dxa" w:w="80"/>
              <w:bottom w:type="dxa" w:w="50"/>
              <w:right w:type="dxa" w:w="80"/>
            </w:tcMar>
            <w:vAlign w:val="top"/>
          </w:tcPr>
          <w:p>
            <w:r>
              <w:rPr>
                <w:b w:val="false"/>
                <w:bCs w:val="false"/>
                <w:color w:val="000000"/>
                <w:sz w:val="14"/>
                <w:szCs w:val="14"/>
              </w:rPr>
              <w:t xml:space="preserve">Search Indexer, Audit Logger</w:t>
            </w:r>
          </w:p>
        </w:tc>
        <w:tc>
          <w:tcPr>
            <w:tcW w:type="dxa" w:w="2808"/>
            <w:tcMar>
              <w:top w:type="dxa" w:w="50"/>
              <w:left w:type="dxa" w:w="80"/>
              <w:bottom w:type="dxa" w:w="50"/>
              <w:right w:type="dxa" w:w="80"/>
            </w:tcMar>
            <w:vAlign w:val="top"/>
          </w:tcPr>
          <w:p>
            <w:r>
              <w:rPr>
                <w:b w:val="false"/>
                <w:bCs w:val="false"/>
                <w:color w:val="000000"/>
                <w:sz w:val="14"/>
                <w:szCs w:val="14"/>
              </w:rPr>
              <w:t xml:space="preserve">No</w:t>
            </w:r>
          </w:p>
        </w:tc>
      </w:tr>
      <w:tr>
        <w:tc>
          <w:tcPr>
            <w:tcW w:type="dxa" w:w="3089"/>
            <w:tcMar>
              <w:top w:type="dxa" w:w="50"/>
              <w:left w:type="dxa" w:w="80"/>
              <w:bottom w:type="dxa" w:w="50"/>
              <w:right w:type="dxa" w:w="80"/>
            </w:tcMar>
            <w:vAlign w:val="top"/>
          </w:tcPr>
          <w:p>
            <w:r>
              <w:rPr>
                <w:b/>
                <w:bCs/>
                <w:color w:val="000000"/>
                <w:sz w:val="14"/>
                <w:szCs w:val="14"/>
              </w:rPr>
              <w:t xml:space="preserve">task.assigned</w:t>
            </w:r>
          </w:p>
        </w:tc>
        <w:tc>
          <w:tcPr>
            <w:tcW w:type="dxa" w:w="2246"/>
            <w:tcMar>
              <w:top w:type="dxa" w:w="50"/>
              <w:left w:type="dxa" w:w="80"/>
              <w:bottom w:type="dxa" w:w="50"/>
              <w:right w:type="dxa" w:w="80"/>
            </w:tcMar>
            <w:vAlign w:val="top"/>
          </w:tcPr>
          <w:p>
            <w:r>
              <w:rPr>
                <w:b w:val="false"/>
                <w:bCs w:val="false"/>
                <w:color w:val="000000"/>
                <w:sz w:val="14"/>
                <w:szCs w:val="14"/>
              </w:rPr>
              <w:t xml:space="preserve">Tasks</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Search Indexer,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task.completed</w:t>
            </w:r>
          </w:p>
        </w:tc>
        <w:tc>
          <w:tcPr>
            <w:tcW w:type="dxa" w:w="2246"/>
            <w:tcMar>
              <w:top w:type="dxa" w:w="50"/>
              <w:left w:type="dxa" w:w="80"/>
              <w:bottom w:type="dxa" w:w="50"/>
              <w:right w:type="dxa" w:w="80"/>
            </w:tcMar>
            <w:vAlign w:val="top"/>
          </w:tcPr>
          <w:p>
            <w:r>
              <w:rPr>
                <w:b w:val="false"/>
                <w:bCs w:val="false"/>
                <w:color w:val="000000"/>
                <w:sz w:val="14"/>
                <w:szCs w:val="14"/>
              </w:rPr>
              <w:t xml:space="preserve">Tasks</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Search Indexer, Analytics Refresher,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document.uploaded</w:t>
            </w:r>
          </w:p>
        </w:tc>
        <w:tc>
          <w:tcPr>
            <w:tcW w:type="dxa" w:w="2246"/>
            <w:tcMar>
              <w:top w:type="dxa" w:w="50"/>
              <w:left w:type="dxa" w:w="80"/>
              <w:bottom w:type="dxa" w:w="50"/>
              <w:right w:type="dxa" w:w="80"/>
            </w:tcMar>
            <w:vAlign w:val="top"/>
          </w:tcPr>
          <w:p>
            <w:r>
              <w:rPr>
                <w:b w:val="false"/>
                <w:bCs w:val="false"/>
                <w:color w:val="000000"/>
                <w:sz w:val="14"/>
                <w:szCs w:val="14"/>
              </w:rPr>
              <w:t xml:space="preserve">Documents</w:t>
            </w:r>
          </w:p>
        </w:tc>
        <w:tc>
          <w:tcPr>
            <w:tcW w:type="dxa" w:w="5897"/>
            <w:tcMar>
              <w:top w:type="dxa" w:w="50"/>
              <w:left w:type="dxa" w:w="80"/>
              <w:bottom w:type="dxa" w:w="50"/>
              <w:right w:type="dxa" w:w="80"/>
            </w:tcMar>
            <w:vAlign w:val="top"/>
          </w:tcPr>
          <w:p>
            <w:r>
              <w:rPr>
                <w:b w:val="false"/>
                <w:bCs w:val="false"/>
                <w:color w:val="000000"/>
                <w:sz w:val="14"/>
                <w:szCs w:val="14"/>
              </w:rPr>
              <w:t xml:space="preserve">Search Indexer, Virus Scan Trigger (Part 11), Audit Logger</w:t>
            </w:r>
          </w:p>
        </w:tc>
        <w:tc>
          <w:tcPr>
            <w:tcW w:type="dxa" w:w="2808"/>
            <w:tcMar>
              <w:top w:type="dxa" w:w="50"/>
              <w:left w:type="dxa" w:w="80"/>
              <w:bottom w:type="dxa" w:w="50"/>
              <w:right w:type="dxa" w:w="80"/>
            </w:tcMar>
            <w:vAlign w:val="top"/>
          </w:tcPr>
          <w:p>
            <w:r>
              <w:rPr>
                <w:b w:val="false"/>
                <w:bCs w:val="false"/>
                <w:color w:val="000000"/>
                <w:sz w:val="14"/>
                <w:szCs w:val="14"/>
              </w:rPr>
              <w:t xml:space="preserve">No (document.version.uploaded webhook fires at the version-creation event below, not initial upload)</w:t>
            </w:r>
          </w:p>
        </w:tc>
      </w:tr>
      <w:tr>
        <w:tc>
          <w:tcPr>
            <w:tcW w:type="dxa" w:w="3089"/>
            <w:tcMar>
              <w:top w:type="dxa" w:w="50"/>
              <w:left w:type="dxa" w:w="80"/>
              <w:bottom w:type="dxa" w:w="50"/>
              <w:right w:type="dxa" w:w="80"/>
            </w:tcMar>
            <w:vAlign w:val="top"/>
          </w:tcPr>
          <w:p>
            <w:r>
              <w:rPr>
                <w:b/>
                <w:bCs/>
                <w:color w:val="000000"/>
                <w:sz w:val="14"/>
                <w:szCs w:val="14"/>
              </w:rPr>
              <w:t xml:space="preserve">document.version.created</w:t>
            </w:r>
          </w:p>
        </w:tc>
        <w:tc>
          <w:tcPr>
            <w:tcW w:type="dxa" w:w="2246"/>
            <w:tcMar>
              <w:top w:type="dxa" w:w="50"/>
              <w:left w:type="dxa" w:w="80"/>
              <w:bottom w:type="dxa" w:w="50"/>
              <w:right w:type="dxa" w:w="80"/>
            </w:tcMar>
            <w:vAlign w:val="top"/>
          </w:tcPr>
          <w:p>
            <w:r>
              <w:rPr>
                <w:b w:val="false"/>
                <w:bCs w:val="false"/>
                <w:color w:val="000000"/>
                <w:sz w:val="14"/>
                <w:szCs w:val="14"/>
              </w:rPr>
              <w:t xml:space="preserve">Documents</w:t>
            </w:r>
          </w:p>
        </w:tc>
        <w:tc>
          <w:tcPr>
            <w:tcW w:type="dxa" w:w="5897"/>
            <w:tcMar>
              <w:top w:type="dxa" w:w="50"/>
              <w:left w:type="dxa" w:w="80"/>
              <w:bottom w:type="dxa" w:w="50"/>
              <w:right w:type="dxa" w:w="80"/>
            </w:tcMar>
            <w:vAlign w:val="top"/>
          </w:tcPr>
          <w:p>
            <w:r>
              <w:rPr>
                <w:b w:val="false"/>
                <w:bCs w:val="false"/>
                <w:color w:val="000000"/>
                <w:sz w:val="14"/>
                <w:szCs w:val="14"/>
              </w:rPr>
              <w:t xml:space="preserve">Search Indexer, Notification Dispatcher,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workflowitem.decision.recorded</w:t>
            </w:r>
          </w:p>
        </w:tc>
        <w:tc>
          <w:tcPr>
            <w:tcW w:type="dxa" w:w="2246"/>
            <w:tcMar>
              <w:top w:type="dxa" w:w="50"/>
              <w:left w:type="dxa" w:w="80"/>
              <w:bottom w:type="dxa" w:w="50"/>
              <w:right w:type="dxa" w:w="80"/>
            </w:tcMar>
            <w:vAlign w:val="top"/>
          </w:tcPr>
          <w:p>
            <w:r>
              <w:rPr>
                <w:b w:val="false"/>
                <w:bCs w:val="false"/>
                <w:color w:val="000000"/>
                <w:sz w:val="14"/>
                <w:szCs w:val="14"/>
              </w:rPr>
              <w:t xml:space="preserve">Workflow</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Audit Logger, Workflow Engine (advances to next stage)</w:t>
            </w:r>
          </w:p>
        </w:tc>
        <w:tc>
          <w:tcPr>
            <w:tcW w:type="dxa" w:w="2808"/>
            <w:tcMar>
              <w:top w:type="dxa" w:w="50"/>
              <w:left w:type="dxa" w:w="80"/>
              <w:bottom w:type="dxa" w:w="50"/>
              <w:right w:type="dxa" w:w="80"/>
            </w:tcMar>
            <w:vAlign w:val="top"/>
          </w:tcPr>
          <w:p>
            <w:r>
              <w:rPr>
                <w:b w:val="false"/>
                <w:bCs w:val="false"/>
                <w:color w:val="000000"/>
                <w:sz w:val="14"/>
                <w:szCs w:val="14"/>
              </w:rPr>
              <w:t xml:space="preserve">No (workflow.completed fires only at the terminal decision)</w:t>
            </w:r>
          </w:p>
        </w:tc>
      </w:tr>
      <w:tr>
        <w:tc>
          <w:tcPr>
            <w:tcW w:type="dxa" w:w="3089"/>
            <w:tcMar>
              <w:top w:type="dxa" w:w="50"/>
              <w:left w:type="dxa" w:w="80"/>
              <w:bottom w:type="dxa" w:w="50"/>
              <w:right w:type="dxa" w:w="80"/>
            </w:tcMar>
            <w:vAlign w:val="top"/>
          </w:tcPr>
          <w:p>
            <w:r>
              <w:rPr>
                <w:b/>
                <w:bCs/>
                <w:color w:val="000000"/>
                <w:sz w:val="14"/>
                <w:szCs w:val="14"/>
              </w:rPr>
              <w:t xml:space="preserve">workflow.completed</w:t>
            </w:r>
          </w:p>
        </w:tc>
        <w:tc>
          <w:tcPr>
            <w:tcW w:type="dxa" w:w="2246"/>
            <w:tcMar>
              <w:top w:type="dxa" w:w="50"/>
              <w:left w:type="dxa" w:w="80"/>
              <w:bottom w:type="dxa" w:w="50"/>
              <w:right w:type="dxa" w:w="80"/>
            </w:tcMar>
            <w:vAlign w:val="top"/>
          </w:tcPr>
          <w:p>
            <w:r>
              <w:rPr>
                <w:b w:val="false"/>
                <w:bCs w:val="false"/>
                <w:color w:val="000000"/>
                <w:sz w:val="14"/>
                <w:szCs w:val="14"/>
              </w:rPr>
              <w:t xml:space="preserve">Workflow</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Search Indexer (re-index source entity's status),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knowledge.published</w:t>
            </w:r>
          </w:p>
        </w:tc>
        <w:tc>
          <w:tcPr>
            <w:tcW w:type="dxa" w:w="2246"/>
            <w:tcMar>
              <w:top w:type="dxa" w:w="50"/>
              <w:left w:type="dxa" w:w="80"/>
              <w:bottom w:type="dxa" w:w="50"/>
              <w:right w:type="dxa" w:w="80"/>
            </w:tcMar>
            <w:vAlign w:val="top"/>
          </w:tcPr>
          <w:p>
            <w:r>
              <w:rPr>
                <w:b w:val="false"/>
                <w:bCs w:val="false"/>
                <w:color w:val="000000"/>
                <w:sz w:val="14"/>
                <w:szCs w:val="14"/>
              </w:rPr>
              <w:t xml:space="preserve">Knowledge Repository</w:t>
            </w:r>
          </w:p>
        </w:tc>
        <w:tc>
          <w:tcPr>
            <w:tcW w:type="dxa" w:w="5897"/>
            <w:tcMar>
              <w:top w:type="dxa" w:w="50"/>
              <w:left w:type="dxa" w:w="80"/>
              <w:bottom w:type="dxa" w:w="50"/>
              <w:right w:type="dxa" w:w="80"/>
            </w:tcMar>
            <w:vAlign w:val="top"/>
          </w:tcPr>
          <w:p>
            <w:r>
              <w:rPr>
                <w:b w:val="false"/>
                <w:bCs w:val="false"/>
                <w:color w:val="000000"/>
                <w:sz w:val="14"/>
                <w:szCs w:val="14"/>
              </w:rPr>
              <w:t xml:space="preserve">Search Indexer, Public Portal cache invalidation,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meeting.scheduled</w:t>
            </w:r>
          </w:p>
        </w:tc>
        <w:tc>
          <w:tcPr>
            <w:tcW w:type="dxa" w:w="2246"/>
            <w:tcMar>
              <w:top w:type="dxa" w:w="50"/>
              <w:left w:type="dxa" w:w="80"/>
              <w:bottom w:type="dxa" w:w="50"/>
              <w:right w:type="dxa" w:w="80"/>
            </w:tcMar>
            <w:vAlign w:val="top"/>
          </w:tcPr>
          <w:p>
            <w:r>
              <w:rPr>
                <w:b w:val="false"/>
                <w:bCs w:val="false"/>
                <w:color w:val="000000"/>
                <w:sz w:val="14"/>
                <w:szCs w:val="14"/>
              </w:rPr>
              <w:t xml:space="preserve">Meetings</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Microsoft 365 Sync (INT-08),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user.created</w:t>
            </w:r>
          </w:p>
        </w:tc>
        <w:tc>
          <w:tcPr>
            <w:tcW w:type="dxa" w:w="2246"/>
            <w:tcMar>
              <w:top w:type="dxa" w:w="50"/>
              <w:left w:type="dxa" w:w="80"/>
              <w:bottom w:type="dxa" w:w="50"/>
              <w:right w:type="dxa" w:w="80"/>
            </w:tcMar>
            <w:vAlign w:val="top"/>
          </w:tcPr>
          <w:p>
            <w:r>
              <w:rPr>
                <w:b w:val="false"/>
                <w:bCs w:val="false"/>
                <w:color w:val="000000"/>
                <w:sz w:val="14"/>
                <w:szCs w:val="14"/>
              </w:rPr>
              <w:t xml:space="preserve">Users</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(welcome notification),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risk.raised</w:t>
            </w:r>
          </w:p>
        </w:tc>
        <w:tc>
          <w:tcPr>
            <w:tcW w:type="dxa" w:w="2246"/>
            <w:tcMar>
              <w:top w:type="dxa" w:w="50"/>
              <w:left w:type="dxa" w:w="80"/>
              <w:bottom w:type="dxa" w:w="50"/>
              <w:right w:type="dxa" w:w="80"/>
            </w:tcMar>
            <w:vAlign w:val="top"/>
          </w:tcPr>
          <w:p>
            <w:r>
              <w:rPr>
                <w:b w:val="false"/>
                <w:bCs w:val="false"/>
                <w:color w:val="000000"/>
                <w:sz w:val="14"/>
                <w:szCs w:val="14"/>
              </w:rPr>
              <w:t xml:space="preserve">Risk Register</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Analytics Refresher,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issue.closed</w:t>
            </w:r>
          </w:p>
        </w:tc>
        <w:tc>
          <w:tcPr>
            <w:tcW w:type="dxa" w:w="2246"/>
            <w:tcMar>
              <w:top w:type="dxa" w:w="50"/>
              <w:left w:type="dxa" w:w="80"/>
              <w:bottom w:type="dxa" w:w="50"/>
              <w:right w:type="dxa" w:w="80"/>
            </w:tcMar>
            <w:vAlign w:val="top"/>
          </w:tcPr>
          <w:p>
            <w:r>
              <w:rPr>
                <w:b w:val="false"/>
                <w:bCs w:val="false"/>
                <w:color w:val="000000"/>
                <w:sz w:val="14"/>
                <w:szCs w:val="14"/>
              </w:rPr>
              <w:t xml:space="preserve">Issue Register</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Analytics Refresher,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decision.approved</w:t>
            </w:r>
          </w:p>
        </w:tc>
        <w:tc>
          <w:tcPr>
            <w:tcW w:type="dxa" w:w="2246"/>
            <w:tcMar>
              <w:top w:type="dxa" w:w="50"/>
              <w:left w:type="dxa" w:w="80"/>
              <w:bottom w:type="dxa" w:w="50"/>
              <w:right w:type="dxa" w:w="80"/>
            </w:tcMar>
            <w:vAlign w:val="top"/>
          </w:tcPr>
          <w:p>
            <w:r>
              <w:rPr>
                <w:b w:val="false"/>
                <w:bCs w:val="false"/>
                <w:color w:val="000000"/>
                <w:sz w:val="14"/>
                <w:szCs w:val="14"/>
              </w:rPr>
              <w:t xml:space="preserve">Decision Register</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securityincident.raised</w:t>
            </w:r>
          </w:p>
        </w:tc>
        <w:tc>
          <w:tcPr>
            <w:tcW w:type="dxa" w:w="2246"/>
            <w:tcMar>
              <w:top w:type="dxa" w:w="50"/>
              <w:left w:type="dxa" w:w="80"/>
              <w:bottom w:type="dxa" w:w="50"/>
              <w:right w:type="dxa" w:w="80"/>
            </w:tcMar>
            <w:vAlign w:val="top"/>
          </w:tcPr>
          <w:p>
            <w:r>
              <w:rPr>
                <w:b w:val="false"/>
                <w:bCs w:val="false"/>
                <w:color w:val="000000"/>
                <w:sz w:val="14"/>
                <w:szCs w:val="14"/>
              </w:rPr>
              <w:t xml:space="preserve">Security Module</w:t>
            </w:r>
          </w:p>
        </w:tc>
        <w:tc>
          <w:tcPr>
            <w:tcW w:type="dxa" w:w="5897"/>
            <w:tcMar>
              <w:top w:type="dxa" w:w="50"/>
              <w:left w:type="dxa" w:w="80"/>
              <w:bottom w:type="dxa" w:w="50"/>
              <w:right w:type="dxa" w:w="80"/>
            </w:tcMar>
            <w:vAlign w:val="top"/>
          </w:tcPr>
          <w:p>
            <w:r>
              <w:rPr>
                <w:b w:val="false"/>
                <w:bCs w:val="false"/>
                <w:color w:val="000000"/>
                <w:sz w:val="14"/>
                <w:szCs w:val="14"/>
              </w:rPr>
              <w:t xml:space="preserve">ICT Administrator Paging, Audit Logger, Webhook Dispatcher</w:t>
            </w:r>
          </w:p>
        </w:tc>
        <w:tc>
          <w:tcPr>
            <w:tcW w:type="dxa" w:w="2808"/>
            <w:tcMar>
              <w:top w:type="dxa" w:w="50"/>
              <w:left w:type="dxa" w:w="80"/>
              <w:bottom w:type="dxa" w:w="50"/>
              <w:right w:type="dxa" w:w="80"/>
            </w:tcMar>
            <w:vAlign w:val="top"/>
          </w:tcPr>
          <w:p>
            <w:r>
              <w:rPr>
                <w:b w:val="false"/>
                <w:bCs w:val="false"/>
                <w:color w:val="000000"/>
                <w:sz w:val="14"/>
                <w:szCs w:val="14"/>
              </w:rPr>
              <w:t xml:space="preserve">Yes — Part 8.3</w:t>
            </w:r>
          </w:p>
        </w:tc>
      </w:tr>
      <w:tr>
        <w:tc>
          <w:tcPr>
            <w:tcW w:type="dxa" w:w="3089"/>
            <w:tcMar>
              <w:top w:type="dxa" w:w="50"/>
              <w:left w:type="dxa" w:w="80"/>
              <w:bottom w:type="dxa" w:w="50"/>
              <w:right w:type="dxa" w:w="80"/>
            </w:tcMar>
            <w:vAlign w:val="top"/>
          </w:tcPr>
          <w:p>
            <w:r>
              <w:rPr>
                <w:b/>
                <w:bCs/>
                <w:color w:val="000000"/>
                <w:sz w:val="14"/>
                <w:szCs w:val="14"/>
              </w:rPr>
              <w:t xml:space="preserve">report.generated</w:t>
            </w:r>
          </w:p>
        </w:tc>
        <w:tc>
          <w:tcPr>
            <w:tcW w:type="dxa" w:w="2246"/>
            <w:tcMar>
              <w:top w:type="dxa" w:w="50"/>
              <w:left w:type="dxa" w:w="80"/>
              <w:bottom w:type="dxa" w:w="50"/>
              <w:right w:type="dxa" w:w="80"/>
            </w:tcMar>
            <w:vAlign w:val="top"/>
          </w:tcPr>
          <w:p>
            <w:r>
              <w:rPr>
                <w:b w:val="false"/>
                <w:bCs w:val="false"/>
                <w:color w:val="000000"/>
                <w:sz w:val="14"/>
                <w:szCs w:val="14"/>
              </w:rPr>
              <w:t xml:space="preserve">Reporting</w:t>
            </w:r>
          </w:p>
        </w:tc>
        <w:tc>
          <w:tcPr>
            <w:tcW w:type="dxa" w:w="5897"/>
            <w:tcMar>
              <w:top w:type="dxa" w:w="50"/>
              <w:left w:type="dxa" w:w="80"/>
              <w:bottom w:type="dxa" w:w="50"/>
              <w:right w:type="dxa" w:w="80"/>
            </w:tcMar>
            <w:vAlign w:val="top"/>
          </w:tcPr>
          <w:p>
            <w:r>
              <w:rPr>
                <w:b w:val="false"/>
                <w:bCs w:val="false"/>
                <w:color w:val="000000"/>
                <w:sz w:val="14"/>
                <w:szCs w:val="14"/>
              </w:rPr>
              <w:t xml:space="preserve">Notification Dispatcher (report-ready notice), Audit Logger</w:t>
            </w:r>
          </w:p>
        </w:tc>
        <w:tc>
          <w:tcPr>
            <w:tcW w:type="dxa" w:w="2808"/>
            <w:tcMar>
              <w:top w:type="dxa" w:w="50"/>
              <w:left w:type="dxa" w:w="80"/>
              <w:bottom w:type="dxa" w:w="50"/>
              <w:right w:type="dxa" w:w="80"/>
            </w:tcMar>
            <w:vAlign w:val="top"/>
          </w:tcPr>
          <w:p>
            <w:r>
              <w:rPr>
                <w:b w:val="false"/>
                <w:bCs w:val="false"/>
                <w:color w:val="000000"/>
                <w:sz w:val="14"/>
                <w:szCs w:val="14"/>
              </w:rPr>
              <w:t xml:space="preserve">No — internal only; downloading the generated artifact is a synchronous GET (Part 4), not an event concern</w:t>
            </w:r>
          </w:p>
        </w:tc>
      </w:tr>
    </w:tbl>
    <w:p>
      <w:pPr>
        <w:spacing w:after="160"/>
      </w:pPr>
    </w:p>
    <w:p>
      <w:pPr>
        <w:pStyle w:val="Heading1"/>
        <w:pBdr>
          <w:bottom w:val="single" w:color="1F5C3B" w:sz="6" w:space="4"/>
        </w:pBdr>
        <w:spacing w:after="130" w:before="320"/>
      </w:pPr>
      <w:r>
        <w:t xml:space="preserve">10.3 Message Broker Recommendation</w:t>
      </w:r>
    </w:p>
    <w:p>
      <w:pPr>
        <w:spacing w:after="150" w:line="276"/>
        <w:jc w:val="both"/>
      </w:pPr>
      <w:r>
        <w:t xml:space="preserve">Recommendation: an in-process event bus (a synchronous publish call that dispatches to registered handlers within the same application process) backed by a lightweight, durable queue — Redis Streams — for handlers that must survive a process restart (Search Indexer, Notification Dispatcher, Webhook Dispatcher) rather than a heavyweight dedicated broker (RabbitMQ, Kafka) in Phase 1.</w:t>
      </w:r>
    </w:p>
    <w:p>
      <w:pPr>
        <w:spacing w:after="150" w:line="276"/>
        <w:jc w:val="both"/>
      </w:pPr>
      <w:r>
        <w:t xml:space="preserve">This is deliberately scoped to the platform's actual Phase 1 profile, the same four factors that drove the Modular Monolith decision (Part 2.4): at roughly 500 users and the DDS Part 16 volume projections, Redis Streams' throughput ceiling is not a binding constraint, while a dedicated broker's operational overhead (a separately deployed, monitored, and secured cluster) is a real cost against a 12-week delivery timeline and a small operations team. Redis is, in addition, already present in the EA Blueprint's technology stack as the session-cache layer (EA Blueprint Part 4), so this recommendation adds no new infrastructure component — it reuses one already justified for another purpose.</w:t>
      </w:r>
    </w:p>
    <w:p>
      <w:pPr>
        <w:spacing w:after="150" w:line="276"/>
        <w:jc w:val="both"/>
      </w:pPr>
      <w:r>
        <w:t xml:space="preserve">This is explicitly a Phase 1 decision, not a permanent one: the event catalogue (Section 10.2) and event schema (Section 10.6) are both broker-agnostic by design, so a future migration to Kafka or RabbitMQ — plausible if Search is extracted as a microservice per Part 2.4's progressive-extraction note, or if event volume grows well beyond current projections — would change the transport, not the publishers, subscribers, or event contracts defined here.</w:t>
      </w:r>
    </w:p>
    <w:p>
      <w:pPr>
        <w:pStyle w:val="Heading1"/>
        <w:pBdr>
          <w:bottom w:val="single" w:color="1F5C3B" w:sz="6" w:space="4"/>
        </w:pBdr>
        <w:spacing w:after="130" w:before="320"/>
      </w:pPr>
      <w:r>
        <w:t xml:space="preserve">10.4 Retry Strategy and Dead Letter Queue</w:t>
      </w:r>
    </w:p>
    <w:p>
      <w:pPr>
        <w:spacing w:after="150" w:line="276"/>
        <w:jc w:val="both"/>
      </w:pPr>
      <w:r>
        <w:t xml:space="preserve">Every subscriber handler is independently retried on failure — one subscriber's failure (e.g. the Webhook Dispatcher's target being unreachable) never blocks or retries another subscriber (e.g. the Search Indexer) processing the same event, since each subscriber maintains its own consumer position on the stream. Retry counts mirror the corresponding webhook's policy where one exists (Part 8.3: 3 or 5 attempts, exponential backoff) and default to 3 attempts, exponential backoff (30s, 5m, 30m) for internal-only subscribers with no Part 8 equivalent.</w:t>
      </w:r>
    </w:p>
    <w:p>
      <w:pPr>
        <w:spacing w:after="150" w:line="276"/>
        <w:jc w:val="both"/>
      </w:pPr>
      <w:r>
        <w:t xml:space="preserve">A Dead Letter Queue (a separate Redis Stream, one per subscriber) receives an event after its subscriber exhausts all retry attempts, preserving the full event payload and failure history for manual replay or investigation — critical events routed to the Dead Letter Queue (any event whose subscriber includes Audit Logger, which is every event in this catalogue) trigger a WARN-level log entry (Part 7's Integration category conventions) so a sustained pattern of DLQ entries is visible on the observability dashboard (Part 13.10), not silently accumulating unnoticed.</w:t>
      </w:r>
    </w:p>
    <w:p>
      <w:pPr>
        <w:pStyle w:val="Heading1"/>
        <w:pBdr>
          <w:bottom w:val="single" w:color="1F5C3B" w:sz="6" w:space="4"/>
        </w:pBdr>
        <w:spacing w:after="130" w:before="320"/>
      </w:pPr>
      <w:r>
        <w:t xml:space="preserve">10.5 Event Schema and Versioning</w:t>
      </w:r>
    </w:p>
    <w:p>
      <w:pPr>
        <w:spacing w:after="150" w:line="276"/>
        <w:jc w:val="both"/>
      </w:pPr>
      <w:r>
        <w:t xml:space="preserve">Every event shares one envelope: eventType (matches the Section 10.2 catalogue name), eventId (UUID, distinct from and not to be confused with the Part 8 webhook eventId, though the Webhook Dispatcher subscriber does propagate this platform's internal eventId as the webhook's own for end-to-end traceability), occurredAt, publisherModule, and a data payload shaped identically to the corresponding REST resource (Part 4, Part 6) — the same design choice made for webhooks (Part 8.2) and for the same reason: one payload shape learned once, reused everywhere a resource appears.</w:t>
      </w:r>
    </w:p>
    <w:p>
      <w:pPr>
        <w:spacing w:after="150" w:line="276"/>
        <w:jc w:val="both"/>
      </w:pPr>
      <w:r>
        <w:t xml:space="preserve">Event schemas are versioned via an explicit schemaVersion field (starting at 1 for every Phase 1 event) rather than via the event bus itself — a breaking change to an event's payload shape increments schemaVersion and is handled by having subscribers branch on it during any transition period, consistent with the additive, backward-compatible-by-default posture set out in Part 14's API Governance for the REST layer.</w:t>
      </w:r>
    </w:p>
    <w:p>
      <w:pPr>
        <w:pStyle w:val="Heading1"/>
        <w:pBdr>
          <w:bottom w:val="single" w:color="1F5C3B" w:sz="6" w:space="4"/>
        </w:pBdr>
        <w:spacing w:after="130" w:before="320"/>
      </w:pPr>
      <w:r>
        <w:t xml:space="preserve">10.6 Ordering Guarantees</w:t>
      </w:r>
    </w:p>
    <w:p>
      <w:pPr>
        <w:spacing w:after="150" w:line="276"/>
        <w:jc w:val="both"/>
      </w:pPr>
      <w:r>
        <w:t xml:space="preserve">Ordering is guaranteed only within a single entity's event stream (all events for one Task, keyed by taskId as the Redis Streams partition key, are delivered to each subscriber in the order they were published) and is not guaranteed across different entities or different event types for unrelated entities. This mirrors the webhook ordering guarantee (Part 8.4) deliberately, since the Webhook Dispatcher subscriber is itself a consumer of this same internal stream and cannot offer subscribers a stronger guarantee than it itself receives.</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2026-07-19T09:47:19.326Z</dcterms:created>
  <dcterms:modified xsi:type="dcterms:W3CDTF">2026-07-19T09:47:19.327Z</dcterms:modified>
</cp:coreProperties>
</file>

<file path=docProps/custom.xml><?xml version="1.0" encoding="utf-8"?>
<Properties xmlns="http://schemas.openxmlformats.org/officeDocument/2006/custom-properties" xmlns:vt="http://schemas.openxmlformats.org/officeDocument/2006/docPropsVTypes"/>
</file>