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1F5C3B"/>
          <w:sz w:val="32"/>
          <w:szCs w:val="32"/>
        </w:rPr>
        <w:t xml:space="preserve">API &amp; Integration Design Specification (AIDS)</w:t>
      </w:r>
    </w:p>
    <w:p>
      <w:pPr>
        <w:spacing w:after="60"/>
        <w:jc w:val="center"/>
      </w:pPr>
      <w:r>
        <w:rPr>
          <w:b/>
          <w:bCs/>
          <w:color w:val="2E8B57"/>
          <w:sz w:val="22"/>
          <w:szCs w:val="22"/>
        </w:rPr>
        <w:t xml:space="preserve">Enterprise System Management (ESM) Platform and Central Knowledge Repository (CKR)</w:t>
      </w:r>
    </w:p>
    <w:p>
      <w:pPr>
        <w:spacing w:after="40"/>
        <w:jc w:val="center"/>
      </w:pPr>
      <w:r>
        <w:rPr>
          <w:b/>
          <w:bCs/>
          <w:color w:val="2E8B57"/>
          <w:sz w:val="24"/>
          <w:szCs w:val="24"/>
        </w:rPr>
        <w:t xml:space="preserve">Part 11 — File &amp; Media APIs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Prepared for the SAPZ National Programme Coordination Office — Consultant: Ahmed Babajide Olanrewaju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11.1 Scope</w:t>
      </w:r>
    </w:p>
    <w:p>
      <w:pPr>
        <w:spacing w:after="150" w:line="276"/>
        <w:jc w:val="both"/>
      </w:pPr>
      <w:r>
        <w:t xml:space="preserve">Part 4 already catalogues the Document, DocumentVersion, and MediaAsset REST endpoints as resources; Part 6.5 already fixes the multipart/form-data upload convention; Part 9's INT-07 already fixes the object-storage contract. This Part is where those three threads are drawn together into one operational specification for the upload-to-delivery pipeline, covering the processing steps that happen between a client's POST and a file becoming safely available for download or preview.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11.2 Upload Pipeline</w:t>
      </w:r>
    </w:p>
    <w:p>
      <w:pPr>
        <w:spacing w:after="150" w:line="276"/>
        <w:jc w:val="both"/>
      </w:pPr>
      <w:r>
        <w:t xml:space="preserve">A file upload (POST /api/v1/documents/{id}/versions or POST /api/v1/media) proceeds through five stages before the client receives a 201 response: (1) the multipart body is streamed directly to a temporary object-storage location rather than buffered fully in application memory, protecting the platform against large-file memory exhaustion; (2) the file is validated against Section 11.5's virus-scanning and Section 11.6's type/size policy; (3) on a pass, the object is moved to its permanent key (derived from the DocumentVersion/MediaAsset UUID, per Part 9's INT-07 contract) and the DDS row is written inside the same database transaction as the metadata (filename, sizeBytes, checksumSha256, contentType); (4) the document.version.created or equivalent domain event is published (Part 10.2); (5) the response returns the resource representation with its metadata, never the binary content inline (Part 6.5).</w:t>
      </w:r>
    </w:p>
    <w:p>
      <w:pPr>
        <w:spacing w:after="150" w:line="276"/>
        <w:jc w:val="both"/>
      </w:pPr>
      <w:r>
        <w:t xml:space="preserve">A failure at stage 2 (virus/policy rejection) or stage 3 (storage write failure) returns a 400 or 502 respectively (Part 7) and leaves no orphaned database row — the temporary object at stage 1 is cleaned up by a scheduled sweep job regardless of whether the request path itself completes the cleanup, guarding against a client disconnecting mid-upload.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11.3 Download and Preview</w:t>
      </w:r>
    </w:p>
    <w:p>
      <w:pPr>
        <w:spacing w:after="150" w:line="276"/>
        <w:jc w:val="both"/>
      </w:pPr>
      <w:r>
        <w:t xml:space="preserve">GET /api/v1/documents/{id}/versions/{versionId}/content streams the raw file with Content-Type set from the stored contentType and Content-Disposition: attachment (forcing a download rather than an inline browser render) by default; a companion ?disposition=inline query parameter is available for the Preview use case (SRS Part 11's document preview requirement), used when the client wants an in-browser view rather than a save-to-disk prompt.</w:t>
      </w:r>
    </w:p>
    <w:p>
      <w:pPr>
        <w:spacing w:after="150" w:line="276"/>
        <w:jc w:val="both"/>
      </w:pPr>
      <w:r>
        <w:t xml:space="preserve">Preview for common office and PDF formats renders the stored file directly (PDF is browser-native; DOCX/XLSX/PPTX preview relies on a server-side conversion to PDF, Section 11.7) rather than requiring the client to have the originating application installed — consistent with SRS Part 18's low-bandwidth, low-resource state-office usage scenario, where requiring a local copy of Microsoft Office to preview a document would be a genuine access barrier.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11.4 Versioning and Metadata</w:t>
      </w:r>
    </w:p>
    <w:p>
      <w:pPr>
        <w:spacing w:after="150" w:line="276"/>
        <w:jc w:val="both"/>
      </w:pPr>
      <w:r>
        <w:t xml:space="preserve">Every Document has one or more DocumentVersion rows (DDS Part 4); POST /api/v1/documents/{id}/versions always creates a new version rather than overwriting an existing one — consistent with DDS's append-only DocumentVersion model and the business rule (DDS Part 8, BR-DOC-03 origin) that a version cannot be replaced while an approval workflow references it (Part 4's 409 WORKFLOW_STATE_CONFLICT example). GET /api/v1/documents/{id}/versions lists the full version history; the Document resource's current pointer (currentVersionId, DDS Part 4) determines which version is served by default when no versionId is specified.</w:t>
      </w:r>
    </w:p>
    <w:p>
      <w:pPr>
        <w:spacing w:after="150" w:line="276"/>
        <w:jc w:val="both"/>
      </w:pPr>
      <w:r>
        <w:t xml:space="preserve">Metadata (filename, sizeBytes, checksumSha256, contentType, uploadedBy, uploadedAt) is captured at upload time and never independently editable after the fact — correcting a wrong filename means uploading a new version, not PATCHing the metadata of an existing one, preserving the integrity of checksumSha256 as a reliable tamper-evidence field for audit purposes (DDS Part 10).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11.5 Virus Scanning</w:t>
      </w:r>
    </w:p>
    <w:p>
      <w:pPr>
        <w:spacing w:after="150" w:line="276"/>
        <w:jc w:val="both"/>
      </w:pPr>
      <w:r>
        <w:t xml:space="preserve">Every uploaded file is scanned before being moved to its permanent object-storage key (Section 11.2, stage 2) — no file is ever servable to a second user until it has passed scanning, closing the window in which an infected file could be uploaded by one user and downloaded by another before detection. A scan-engine outage is treated as a stage-2 failure (upload rejected with 502, Part 7's Integration category) rather than a bypassed check — the platform never trades security for availability on this specific control, consistent with the OWASP API Security Top 10 guidance this specification follows (Part 14.7).</w:t>
      </w:r>
    </w:p>
    <w:p>
      <w:pPr>
        <w:spacing w:after="150" w:line="276"/>
        <w:jc w:val="both"/>
      </w:pPr>
      <w:r>
        <w:t xml:space="preserve">A file that fails the scan is rejected with 400 FILE_REJECTED_SECURITY, the rejection is written to the AuditLog (DDS Part 10) with the scan engine's finding, and — because a failed scan is itself a security-relevant event — a securityincident.raised domain event (Part 10.2) is published so the ICT Administrator is notified per Part 9's INT-04-adjacent security escalation path.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11.6 Image Processing and Document Conversion</w:t>
      </w:r>
    </w:p>
    <w:p>
      <w:pPr>
        <w:spacing w:after="150" w:line="276"/>
        <w:jc w:val="both"/>
      </w:pPr>
      <w:r>
        <w:t xml:space="preserve">Image uploads (MediaAsset, DDS Domain 13) are processed into three derived sizes at upload time — thumbnail, medium (for in-page display), and the original — rather than resizing on every request, trading a small amount of extra storage for consistently fast delivery; GET /api/v1/media/{id}?size=thumbnail|medium|original selects which derivative is returned.</w:t>
      </w:r>
    </w:p>
    <w:p>
      <w:pPr>
        <w:spacing w:after="150" w:line="276"/>
        <w:jc w:val="both"/>
      </w:pPr>
      <w:r>
        <w:t xml:space="preserve">Office-format documents (DOCX, XLSX, PPTX) are converted to PDF asynchronously after upload specifically to support the Section 11.3 inline preview use case — the conversion is not on the upload request's critical path (the upload still returns 201 as soon as the original file is safely stored and scanned); the converted PDF becomes available a short time later, and GET requests for preview before conversion completes receive a 202-style 'preview not yet ready, retry shortly' response rather than blocking.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11.7 Storage Policies</w:t>
      </w:r>
    </w:p>
    <w:p>
      <w:pPr>
        <w:spacing w:after="150" w:line="276"/>
        <w:jc w:val="both"/>
      </w:pPr>
      <w:r>
        <w:t xml:space="preserve">Maximum file size is enforced per resource type at the API Gateway layer (Part 2.4's gateway function list) before the request reaches the application — 25MB for Document/DocumentVersion, 10MB for MediaAsset images — sized against the DDS Part 16 volume projections and the SRS Part 18 low-bandwidth usage scenario, rather than an arbitrarily large ceiling that would make a single bad upload disproportionately expensive on a poor connection.</w:t>
      </w:r>
    </w:p>
    <w:p>
      <w:pPr>
        <w:spacing w:after="150" w:line="276"/>
        <w:jc w:val="both"/>
      </w:pPr>
      <w:r>
        <w:t xml:space="preserve">Allowed content types are enforced by an explicit allow-list, not a deny-list (PDF, DOCX, XLSX, PPTX, and the standard image formats for MediaAsset; PDF and DOCX/XLSX/PPTX for Document) — a deny-list approach was rejected because it fails open against file types not yet anticipated, whereas an allow-list fails closed, consistent with this specification's overall secure-by-design posture (the API Design Principles list).</w:t>
      </w:r>
    </w:p>
    <w:p>
      <w:pPr>
        <w:spacing w:after="150" w:line="276"/>
        <w:jc w:val="both"/>
      </w:pPr>
      <w:r>
        <w:t xml:space="preserve">Retention follows DDS Part 15's backup and recovery policy for the underlying rows; the object-storage layer itself (Part 9's INT-07) is configured with the same retention window so that a restored database row is never left pointing at an already-purged object.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1F5C3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Arial" w:cs="Arial" w:eastAsia="Arial" w:hAnsi="Arial"/>
      <w:b/>
      <w:bCs/>
      <w:color w:val="2E8B5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2026-07-19T09:48:33.656Z</dcterms:created>
  <dcterms:modified xsi:type="dcterms:W3CDTF">2026-07-19T09:48:33.657Z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