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13 — Non-Functional Requirements</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13.1 Performance Targets and Latency Budgets</w:t>
      </w:r>
    </w:p>
    <w:p>
      <w:pPr>
        <w:spacing w:after="150" w:line="276"/>
        <w:jc w:val="both"/>
      </w:pPr>
      <w:r>
        <w:t xml:space="preserve">SRS Part 33 already fixes platform-wide performance targets; this Part restates the subset directly relevant to the API layer as enforceable budgets. Standard CRUD endpoints (GET/POST/PATCH/DELETE on a single resource) target p95 latency under 400ms measured at the API Gateway; list endpoints with filtering (Part 4) target p95 under 800ms; the federated Search endpoint (Part 12.2) targets p95 under 1200ms, a higher budget reflecting its cross-domain OpenSearch query cost. These budgets exclude any Part 9 external integration call on the critical path — an endpoint that synchronously depends on an integration (there are very few; most integration calls are dispatched asynchronously via Part 10's event bus specifically to avoid this) is budgeted separately against that integration's own typical response time.</w:t>
      </w:r>
    </w:p>
    <w:p>
      <w:pPr>
        <w:pStyle w:val="Heading1"/>
        <w:pBdr>
          <w:bottom w:val="single" w:color="1F5C3B" w:sz="6" w:space="4"/>
        </w:pBdr>
        <w:spacing w:after="130" w:before="320"/>
      </w:pPr>
      <w:r>
        <w:t xml:space="preserve">13.2 Throughput and Concurrency</w:t>
      </w:r>
    </w:p>
    <w:p>
      <w:pPr>
        <w:spacing w:after="150" w:line="276"/>
        <w:jc w:val="both"/>
      </w:pPr>
      <w:r>
        <w:t xml:space="preserve">The API must sustain 50 requests/second sustained, 150 requests/second peak, sized against the DDS Part 16 volume projections for roughly 500 concurrent users at typical government-office usage patterns (not a consumer-scale platform) — this is a conservative target with headroom, not a tightly-optimised ceiling, consistent with the Modular Monolith decision's premise (Part 2.4) that Phase 1 scale does not demand microservices-grade horizontal scaling sophistication.</w:t>
      </w:r>
    </w:p>
    <w:p>
      <w:pPr>
        <w:spacing w:after="150" w:line="276"/>
        <w:jc w:val="both"/>
      </w:pPr>
      <w:r>
        <w:t xml:space="preserve">Concurrent write conflicts on the same resource are handled via optimistic concurrency control: PATCH requests may include an If-Match header carrying the resource's current ETag (or a version field on resources without an ETag), and a mismatched value returns 409 (Part 7) rather than silently overwriting a concurrent edit — applied specifically to resources DDS Part 8 flags as concurrent-edit-prone (Document, WorkflowItem, Task).</w:t>
      </w:r>
    </w:p>
    <w:p>
      <w:pPr>
        <w:pStyle w:val="Heading1"/>
        <w:pBdr>
          <w:bottom w:val="single" w:color="1F5C3B" w:sz="6" w:space="4"/>
        </w:pBdr>
        <w:spacing w:after="130" w:before="320"/>
      </w:pPr>
      <w:r>
        <w:t xml:space="preserve">13.3 Availability and Scalability</w:t>
      </w:r>
    </w:p>
    <w:p>
      <w:pPr>
        <w:spacing w:after="150" w:line="276"/>
        <w:jc w:val="both"/>
      </w:pPr>
      <w:r>
        <w:t xml:space="preserve">Target availability is 99.5% during business hours (SRS Part 33's platform-wide figure, inherited unchanged here since the API is the platform's sole access layer) — a figure chosen deliberately below the 99.9%+ figures common in commercial SaaS, reflecting the client's realistic infrastructure and operations capacity rather than an aspirational number the delivery team cannot actually support in Phase 1.</w:t>
      </w:r>
    </w:p>
    <w:p>
      <w:pPr>
        <w:spacing w:after="150" w:line="276"/>
        <w:jc w:val="both"/>
      </w:pPr>
      <w:r>
        <w:t xml:space="preserve">The Modular Monolith (Part 2.4) scales vertically and via read-replica-backed horizontal scaling of stateless application instances behind the API Gateway — the application layer is intentionally stateless (no in-process session state beyond the JWT itself, Part 5.3) specifically so that horizontal scaling requires no sticky-session configuration.</w:t>
      </w:r>
    </w:p>
    <w:p>
      <w:pPr>
        <w:pStyle w:val="Heading1"/>
        <w:pBdr>
          <w:bottom w:val="single" w:color="1F5C3B" w:sz="6" w:space="4"/>
        </w:pBdr>
        <w:spacing w:after="130" w:before="320"/>
      </w:pPr>
      <w:r>
        <w:t xml:space="preserve">13.4 Caching and Compression</w:t>
      </w:r>
    </w:p>
    <w:p>
      <w:pPr>
        <w:spacing w:after="150" w:line="276"/>
        <w:jc w:val="both"/>
      </w:pPr>
      <w:r>
        <w:t xml:space="preserve">Read-heavy, slow-changing endpoints (GET /api/v1/lookup/* per DDS Part 7's lookup tables, GET /api/v1/taxonomy) are cached at the API Gateway layer with a short TTL (5 minutes) and an explicit cache-busting mechanism (a version query parameter incremented on any underlying change) rather than relying on TTL expiry alone for correctness-sensitive lookups. User-specific and permission-scoped responses (nearly everything else) are never cached at the gateway layer, since RLS/permission scope (Part 5.6) makes a cached response for one user potentially incorrect for another.</w:t>
      </w:r>
    </w:p>
    <w:p>
      <w:pPr>
        <w:spacing w:after="150" w:line="276"/>
        <w:jc w:val="both"/>
      </w:pPr>
      <w:r>
        <w:t xml:space="preserve">All API responses are gzip-compressed by default (Accept-Encoding negotiation, standard HTTP) — sized specifically against the SRS Part 18 low-bandwidth state-office scenario, where compression meaningfully reduces perceived latency on constrained connections.</w:t>
      </w:r>
    </w:p>
    <w:p>
      <w:pPr>
        <w:pStyle w:val="Heading1"/>
        <w:pBdr>
          <w:bottom w:val="single" w:color="1F5C3B" w:sz="6" w:space="4"/>
        </w:pBdr>
        <w:spacing w:after="130" w:before="320"/>
      </w:pPr>
      <w:r>
        <w:t xml:space="preserve">13.5 Rate Limiting</w:t>
      </w:r>
    </w:p>
    <w:p>
      <w:pPr>
        <w:spacing w:after="150" w:line="276"/>
        <w:jc w:val="both"/>
      </w:pPr>
      <w:r>
        <w:t xml:space="preserve">Three rate-limit tiers apply per authenticated caller (identified by userId, or by API key for service accounts, Part 5.6): Standard (600 requests/hour, the default for authenticated users), Elevated (2,000 requests/hour, for service accounts and integration credentials, e.g. the Power BI feed, INT-05), and Public (100 requests/hour per IP address, for the unauthenticated Public Portal endpoints, Part 4/12.2, where no userId exists to key the limit against). A caller exceeding their tier receives 429 RATE_LIMIT_EXCEEDED (Part 7) with a Retry-After header.</w:t>
      </w:r>
    </w:p>
    <w:p>
      <w:pPr>
        <w:spacing w:after="150" w:line="276"/>
        <w:jc w:val="both"/>
      </w:pPr>
      <w:r>
        <w:t xml:space="preserve">Rate limiting is enforced at the API Gateway (Part 2.4's gateway function list), not in application code, so that a limit is applied before a request consumes any application-tier resources — a deliberate defense-in-depth placement consistent with this specification's secure-by-design principle.</w:t>
      </w:r>
    </w:p>
    <w:p>
      <w:pPr>
        <w:pStyle w:val="Heading1"/>
        <w:pBdr>
          <w:bottom w:val="single" w:color="1F5C3B" w:sz="6" w:space="4"/>
        </w:pBdr>
        <w:spacing w:after="130" w:before="320"/>
      </w:pPr>
      <w:r>
        <w:t xml:space="preserve">13.6 Metrics and Logging Volume Management</w:t>
      </w:r>
    </w:p>
    <w:p>
      <w:pPr>
        <w:spacing w:after="150" w:line="276"/>
        <w:jc w:val="both"/>
      </w:pPr>
      <w:r>
        <w:t xml:space="preserve">Not every event is logged as an error (Part 7's Validation category, for instance, is explicitly excluded from error-level logging as an expected, high-frequency condition) — instead, high-frequency, low-severity conditions are tracked as counters/metrics (request counts by endpoint and status code, validation-failure counts by field) rather than individual log lines, keeping log volume proportionate to genuinely actionable events and avoiding the common failure mode where a high-volume API's logs become too noisy to usefully search during an incident.</w:t>
      </w:r>
    </w:p>
    <w:p>
      <w:pPr>
        <w:pStyle w:val="Heading1"/>
        <w:pBdr>
          <w:bottom w:val="single" w:color="1F5C3B" w:sz="6" w:space="4"/>
        </w:pBdr>
        <w:spacing w:after="130" w:before="320"/>
      </w:pPr>
      <w:r>
        <w:t xml:space="preserve">13.7 Retry Policies</w:t>
      </w:r>
    </w:p>
    <w:p>
      <w:pPr>
        <w:spacing w:after="150" w:line="276"/>
        <w:jc w:val="both"/>
      </w:pPr>
      <w:r>
        <w:t xml:space="preserve">Client-side retry guidance (restated from Part 7's per-category table for convenience as one policy): 5xx System and Integration errors are safe to retry with exponential backoff (base 1s, up to 3 attempts, jitter applied to avoid a thundering-herd retry spike from many clients failing simultaneously); 4xx errors (400, 401, 403, 404, 409) are never safe to retry unmodified, since the fault is in the request itself, not a transient condition; 429 Rate Limit errors must honour the Retry-After header rather than applying generic exponential backoff. This mirrors, and is the authoritative source for, the retry guidance already referenced from Part 7, Part 9's integration contracts, and Part 10's internal event-bus retry policy — all three reuse this one policy rather than each defining its own.</w:t>
      </w:r>
    </w:p>
    <w:p>
      <w:pPr>
        <w:pStyle w:val="Heading1"/>
        <w:pBdr>
          <w:bottom w:val="single" w:color="1F5C3B" w:sz="6" w:space="4"/>
        </w:pBdr>
        <w:spacing w:after="130" w:before="320"/>
      </w:pPr>
      <w:r>
        <w:t xml:space="preserve">13.8 Circuit Breakers and Timeouts</w:t>
      </w:r>
    </w:p>
    <w:p>
      <w:pPr>
        <w:spacing w:after="150" w:line="276"/>
        <w:jc w:val="both"/>
      </w:pPr>
      <w:r>
        <w:t xml:space="preserve">Every outbound call this platform makes to a Part 9 integration is wrapped in a circuit breaker: after 5 consecutive failures within a 60-second window, the breaker opens and subsequent calls fail fast (immediate 502/504, Part 7) for 30 seconds without attempting the call at all, protecting the platform from wasting request-handling capacity retrying a target that is confirmed down, and protecting the failing integration from a retry storm compounding its own recovery. The breaker then half-opens, allowing one trial call through before fully closing again.</w:t>
      </w:r>
    </w:p>
    <w:p>
      <w:pPr>
        <w:spacing w:after="150" w:line="276"/>
        <w:jc w:val="both"/>
      </w:pPr>
      <w:r>
        <w:t xml:space="preserve">Timeout budgets: 5 seconds for a synchronous integration call (the rare cases where Part 9's contract requires a synchronous response, e.g. the OIDC token exchange, INT-04), 2 seconds for an internal OpenSearch query (INT-09), 10 seconds for a database query (beyond which the query is treated as pathological and logged for investigation regardless of whether it eventually completes), and 30 seconds as the absolute outer bound for the API Gateway itself before it returns 504 to the client, per Part 7's UPSTREAM_TIMEOUT category (Part 7.3, this Section referenced there).</w:t>
      </w:r>
    </w:p>
    <w:p>
      <w:pPr>
        <w:pStyle w:val="Heading1"/>
        <w:pBdr>
          <w:bottom w:val="single" w:color="1F5C3B" w:sz="6" w:space="4"/>
        </w:pBdr>
        <w:spacing w:after="130" w:before="320"/>
      </w:pPr>
      <w:r>
        <w:t xml:space="preserve">13.9 Secrets Management (Cross-Reference)</w:t>
      </w:r>
    </w:p>
    <w:p>
      <w:pPr>
        <w:spacing w:after="150" w:line="276"/>
        <w:jc w:val="both"/>
      </w:pPr>
      <w:r>
        <w:t xml:space="preserve">Every credential referenced across Part 9's integration contracts (SMTP credentials, SMS gateway API keys, GIS API keys, Power BI service credentials, OIDC client secrets, object-storage IAM credentials) is stored in a dedicated secrets manager, never in application configuration files or environment variables committed to source control — full detail (rotation policy, access audit, encryption at rest) is specified in Part 14's Security Architecture (Part 14.8), which this Section defers to rather than duplicating, consistent with this specification's no-redundant-restatement discipline (Part 19).</w:t>
      </w:r>
    </w:p>
    <w:p>
      <w:pPr>
        <w:pStyle w:val="Heading1"/>
        <w:pBdr>
          <w:bottom w:val="single" w:color="1F5C3B" w:sz="6" w:space="4"/>
        </w:pBdr>
        <w:spacing w:after="130" w:before="320"/>
      </w:pPr>
      <w:r>
        <w:t xml:space="preserve">13.10 Observability and Alerting</w:t>
      </w:r>
    </w:p>
    <w:p>
      <w:pPr>
        <w:spacing w:after="150" w:line="276"/>
        <w:jc w:val="both"/>
      </w:pPr>
      <w:r>
        <w:t xml:space="preserve">Every request is tagged with a requestId (Part 7.1) propagated through every log line, metric, and downstream integration call it triggers, enabling full request-lifecycle tracing across the modular monolith's internal module boundaries — the same requestId a support ticket references (SRS Part 19) is the one an engineer searches for in the observability platform during investigation.</w:t>
      </w:r>
    </w:p>
    <w:p>
      <w:pPr>
        <w:spacing w:after="150" w:line="276"/>
        <w:jc w:val="both"/>
      </w:pPr>
      <w:r>
        <w:t xml:space="preserve">Alerting thresholds: sustained 5xx rate above 1% of requests over 5 minutes, p95 latency exceeding the Section 13.1 budget for 10 consecutive minutes, any circuit breaker opening (Section 13.8), and any Dead Letter Queue receiving an entry (Part 10.4) all page the on-call engineer — these four conditions were chosen because each represents a distinct failure mode (error rate, latency degradation, downstream dependency failure, and event-processing failure respectively) rather than relying on one generic 'something is wrong' threshold that would leave the on-call engineer to diagnose the category from scratch.</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2026-07-19T09:51:42.457Z</dcterms:created>
  <dcterms:modified xsi:type="dcterms:W3CDTF">2026-07-19T09:51:42.457Z</dcterms:modified>
</cp:coreProperties>
</file>

<file path=docProps/custom.xml><?xml version="1.0" encoding="utf-8"?>
<Properties xmlns="http://schemas.openxmlformats.org/officeDocument/2006/custom-properties" xmlns:vt="http://schemas.openxmlformats.org/officeDocument/2006/docPropsVTypes"/>
</file>