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14 — Security Architecture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14.1 TLS and Transport Security</w:t>
      </w:r>
    </w:p>
    <w:p>
      <w:pPr>
        <w:spacing w:after="150" w:line="276"/>
        <w:jc w:val="both"/>
      </w:pPr>
      <w:r>
        <w:t xml:space="preserve">TLS 1.2 minimum, TLS 1.3 preferred, is mandatory for every API call without exception — internal service-to-service traffic (e.g. the application tier to OpenSearch, INT-09) uses mutual TLS within the private network, and every external-facing endpoint (the API Gateway's public listener) rejects any request that arrives over plain HTTP with a redirect to HTTPS rather than serving the request insecurely. This is a platform-wide baseline, not endpoint-specific — even the Section 12.2 public/unauthenticated search endpoint, which requires no bearer token, still requires TLS.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14.2 Encryption at Rest</w:t>
      </w:r>
    </w:p>
    <w:p>
      <w:pPr>
        <w:spacing w:after="150" w:line="276"/>
        <w:jc w:val="both"/>
      </w:pPr>
      <w:r>
        <w:t xml:space="preserve">Database-level encryption at rest (DDS Part 11.9) covers the PostgreSQL data store; object storage (INT-07) is similarly encrypted at rest using the cloud provider's native encryption. At the API layer specifically, two field categories receive additional application-level encryption beyond the storage-level baseline: JWT signing keys and integration credentials (Section 14.8) are never stored in plaintext even within the otherwise-encrypted database, and any DDS column flagged sensitive under DDS Part 11's data classification (e.g. MFAToken secrets) is encrypted at the application layer before the write, not relying on storage-level encryption alone as the only control.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14.3 Input Validation</w:t>
      </w:r>
    </w:p>
    <w:p>
      <w:pPr>
        <w:spacing w:after="150" w:line="276"/>
        <w:jc w:val="both"/>
      </w:pPr>
      <w:r>
        <w:t xml:space="preserve">Every request body, path parameter, and query parameter is validated against its OpenAPI 3.1 schema (Part 17) at the API Gateway before the request reaches application code — type, format, length, and enum-membership checks happen at this layer uniformly across all 62 resources, rather than each resource's handler re-implementing its own validation logic inconsistently. Schema validation failures return 400 VALIDATION_FAILED (Part 7) before any database or business-logic code executes, closing off an entire class of injection and malformed-input attacks before they reach anything that touches data.</w:t>
      </w:r>
    </w:p>
    <w:p>
      <w:pPr>
        <w:spacing w:after="150" w:line="276"/>
        <w:jc w:val="both"/>
      </w:pPr>
      <w:r>
        <w:t xml:space="preserve">Beyond schema-level validation, business-rule validation (DDS Part 8's constraints, e.g. a Task's due date must not precede its Project's start date) executes in application code after schema validation passes, and returns the same 400 VALIDATION_FAILED envelope with a business-rule-specific details entry — the two validation layers share one error shape (Part 7.1) so a client does not need to distinguish schema-level from business-rule-level failures in its error-handling code.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14.4 Output Encoding</w:t>
      </w:r>
    </w:p>
    <w:p>
      <w:pPr>
        <w:spacing w:after="150" w:line="276"/>
        <w:jc w:val="both"/>
      </w:pPr>
      <w:r>
        <w:t xml:space="preserve">Every API response is JSON with Content-Type: application/json; charset=utf-8 — a fixed content type that itself is a defensive measure (it prevents a browser from ever interpreting an API response as HTML/JavaScript, closing off reflected-content XSS vectors that occur when an API's output is later rendered without the client application's own encoding). Free-text fields that ultimately render in a browser (e.g. KnowledgeArticle.body) are the client application's responsibility to encode at render time — the API itself never pre-encodes for HTML, since doing so would corrupt the field for a non-browser consumer (e.g. a future mobile client or the INT-06 website integration) that needs the raw text.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14.5 API Gateway Security Policies</w:t>
      </w:r>
    </w:p>
    <w:p>
      <w:pPr>
        <w:spacing w:after="150" w:line="276"/>
        <w:jc w:val="both"/>
      </w:pPr>
      <w:r>
        <w:t xml:space="preserve">The API Gateway (Part 2.4's five gateway functions) is the single enforcement point for: TLS termination (Section 14.1), JWT signature verification (Part 5.3) before any request reaches the application tier, rate limiting (Part 13.5), request-size limits (Part 11.7's upload ceilings, and a smaller default limit for non-upload JSON bodies), and IP-based access restriction for the small set of administrative-only endpoints (e.g. bulk data export) that SRS Part 9's Security module scopes to specific administrative network ranges.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14.6 Rate Limiting and Abuse Prevention</w:t>
      </w:r>
    </w:p>
    <w:p>
      <w:pPr>
        <w:spacing w:after="150" w:line="276"/>
        <w:jc w:val="both"/>
      </w:pPr>
      <w:r>
        <w:t xml:space="preserve">Rate limiting's throughput/availability rationale and tier definitions are fixed in Part 13.5; from a security standpoint the same mechanism is this platform's primary defense against credential-stuffing and enumeration abuse (Section 14.9) — a caller exceeding their tier is throttled regardless of intent, and a pattern of throttling specifically correlated with authentication failures (Section 14.9) is escalated from a routine 429 into a security signal on the Section 14.10 monitoring dashboard.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14.7 OWASP API Security Top 10 Mapping</w:t>
      </w:r>
    </w:p>
    <w:p>
      <w:pPr>
        <w:spacing w:after="150" w:line="276"/>
        <w:jc w:val="both"/>
      </w:pPr>
      <w:r>
        <w:t xml:space="preserve">Every one of the OWASP API Security Top 10 (2023 edition) categories is mapped to a specific control already defined elsewhere in this specification — restated here as a single traceability table rather than scattered across Parts, so a security reviewer can verify coverage in one pass.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4385"/>
        <w:gridCol w:w="2923"/>
      </w:tblGrid>
      <w:tr>
        <w:trPr>
          <w:tblHeader/>
        </w:trPr>
        <w:tc>
          <w:tcPr>
            <w:tcW w:type="dxa" w:w="3132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OWASP Category</w:t>
            </w:r>
          </w:p>
        </w:tc>
        <w:tc>
          <w:tcPr>
            <w:tcW w:type="dxa" w:w="4385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  <w:tc>
          <w:tcPr>
            <w:tcW w:type="dxa" w:w="292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Specified In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API1: Broken Object Level Authorization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Every resource GET/PATCH/DELETE by ID re-checks RLS/state scope, not just the endpoint-level permission — an authorized caller cannot access another tenant's/state's object by guessing its ID.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5.5 (two-check pattern), DDS Part 11 (RLS)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API2: Broken Authentication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OAuth2/OIDC via the client's IdP, short-lived JWTs, MFA gate on sensitive roles.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5.2, 5.3, 5.4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API3: Broken Object Property Level Authorization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Field-level response filtering for non-disclosure cases (public vs internal fields on the same resource).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5.7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API4: Unrestricted Resource Consumption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Rate limiting tiers, request-size limits, pagination caps (Part 4's default/max page size).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13.5, Part 14.5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API5: Broken Function Level Authorization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Permission-code checks on every custom action endpoint (e.g. POST /workflow-items/{id}/decision), not just standard CRUD.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5.5, Part 4's EXTRA_ACTIONS endpoints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API6: Unrestricted Access to Sensitive Business Flows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Idempotency-Key requirement on state-changing custom actions prevents automated abuse of business-critical flows (e.g. repeated workflow decisions).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4's idempotency field, Part 6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API7: Server-Side Request Forgery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Outbound integration calls (Part 9) are made only to an explicit allow-list of pre-configured hosts; no endpoint accepts an arbitrary user-supplied URL to fetch.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9 (fixed integration endpoints, no dynamic URL input)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API8: Security Misconfiguration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Schema validation rejects unexpected fields; default-deny CORS policy naming only the platform's own web client origin; no verbose stack traces returned to clients (Part 7's System category).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14.3, Part 7.2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API9: Improper Inventory Management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Every endpoint is versioned (/api/v1/), catalogued in Part 4 and the OpenAPI Blueprint (Part 17) — no undocumented or shadow endpoints.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4, Part 15 (Governance), Part 17</w:t>
            </w:r>
          </w:p>
        </w:tc>
      </w:tr>
      <w:tr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API10: Unsafe Consumption of Third-Party APIs</w:t>
            </w:r>
          </w:p>
        </w:tc>
        <w:tc>
          <w:tcPr>
            <w:tcW w:type="dxa" w:w="4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Every Part 9 integration response is schema-validated before use, and circuit breakers (Part 13.8) prevent a compromised or malfunctioning integration from cascading into this platform's own availability.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Part 9, Part 13.8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14.8 Secrets Management</w:t>
      </w:r>
    </w:p>
    <w:p>
      <w:pPr>
        <w:spacing w:after="150" w:line="276"/>
        <w:jc w:val="both"/>
      </w:pPr>
      <w:r>
        <w:t xml:space="preserve">All credentials referenced across this specification (Part 9's twelve integration contracts, JWT signing keys, database credentials) live in a dedicated secrets manager (a cloud-provider-native service, e.g. AWS Secrets Manager or Azure Key Vault, per whichever cloud the EA Blueprint's deployment target selects) — never in source control, container images, or plain environment variables. Every secret has an owner (Part 9's Ownership column) and a rotation policy: 90 days for integration API keys, 30 days for the JWT signing key (with a dual-key overlap period so tokens signed with the outgoing key remain valid until their own expiry, avoiding a hard cutover that would invalidate live sessions), and immediate rotation on any suspected compromise.</w:t>
      </w:r>
    </w:p>
    <w:p>
      <w:pPr>
        <w:spacing w:after="150" w:line="276"/>
        <w:jc w:val="both"/>
      </w:pPr>
      <w:r>
        <w:t xml:space="preserve">Access to secrets is itself audited — every read of a secret value is logged to the AuditLog (DDS Part 10) with the requesting service identity, so a secrets-manager access log is a first-class input to the Section 14.10 security monitoring, not a blind spot outside it.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14.9 Authentication Anomaly Signals</w:t>
      </w:r>
    </w:p>
    <w:p>
      <w:pPr>
        <w:spacing w:after="150" w:line="276"/>
        <w:jc w:val="both"/>
      </w:pPr>
      <w:r>
        <w:t xml:space="preserve">Beyond routine 401/403 logging (Part 7.2), specific patterns are treated as active security signals rather than passive log entries: a spike in TOKEN_INVALID (signature verification failures, as opposed to the much more common and benign TOKEN_EXPIRED) suggests token tampering or a misconfigured client, not routine session expiry, and is monitored separately; repeated MFA_REQUIRED denials from the same account suggest a credential-stuffing attempt against an account whose password is known but MFA is not yet bypassed; and a burst of PERMISSION_DENIED responses from one caller across many different resources (as opposed to one resource repeatedly) suggests reconnaissance/enumeration behaviour rather than a single legitimate access mistake.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14.10 Security Monitoring</w:t>
      </w:r>
    </w:p>
    <w:p>
      <w:pPr>
        <w:spacing w:after="150" w:line="276"/>
        <w:jc w:val="both"/>
      </w:pPr>
      <w:r>
        <w:t xml:space="preserve">A Security Monitoring dashboard aggregates the Section 14.9 anomaly signals, sustained 429 patterns per caller (Part 7.2's Rate Limit category), and Section 14.8's secrets-access log into one operational view for the ICT Administrator, distinct from the Section 13.10 general observability dashboard (which watches platform health) — this dashboard watches for hostile or anomalous behaviour specifically, and its alert thresholds are tuned for precision (avoiding alert fatigue from routine traffic) rather than the general-health dashboard's broader coverage.</w:t>
      </w:r>
    </w:p>
    <w:p>
      <w:pPr>
        <w:spacing w:after="150" w:line="276"/>
        <w:jc w:val="both"/>
      </w:pPr>
      <w:r>
        <w:t xml:space="preserve">A confirmed security incident (whether detected via this dashboard or reported, e.g. via the Section 11.5 virus-scan rejection path) is recorded as a SecurityIncident (DDS Part 11.7) and triggers the securityincident.raised domain event (Part 10.2), which pages the ICT Administrator regardless of webhook delivery outcome (Part 8.3's explicit note on this event) — internal paging is never made dependent on the same infrastructure being monitored for compromise.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14.11 NDPR Compliance</w:t>
      </w:r>
    </w:p>
    <w:p>
      <w:pPr>
        <w:spacing w:after="150" w:line="276"/>
        <w:jc w:val="both"/>
      </w:pPr>
      <w:r>
        <w:t xml:space="preserve">The Nigeria Data Protection Regulation (NDPR) requirements already established at the platform level (SRS Part 35's Compliance Requirements) translate into three API-layer obligations: lawful-basis-scoped data minimisation (a resource's response never includes a field beyond what the requesting role's function requires — the same field-level filtering used for non-disclosure, Part 5.7, doubles as the NDPR minimisation control); a documented data-subject access mechanism (GET /api/v1/users/{id}/data-export, a Should Have per SRS Part 35, returning a complete export of one user's personal data across every domain that references them); and breach-notification support (the AuditLog, Section 14.8's access logs, and Section 14.10's monitoring together provide the evidentiary trail an NDPR-mandated breach notification requires, rather than requiring a separate compliance-only logging system built after the fact).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2026-07-19T09:53:41.442Z</dcterms:created>
  <dcterms:modified xsi:type="dcterms:W3CDTF">2026-07-19T09:53:41.442Z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