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1F5C3B"/>
          <w:sz w:val="32"/>
          <w:szCs w:val="32"/>
        </w:rPr>
        <w:t xml:space="preserve">API &amp; Integration Design Specification (AIDS)</w:t>
      </w:r>
    </w:p>
    <w:p>
      <w:pPr>
        <w:spacing w:after="60"/>
        <w:jc w:val="center"/>
      </w:pPr>
      <w:r>
        <w:rPr>
          <w:b/>
          <w:bCs/>
          <w:color w:val="2E8B57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2E8B57"/>
          <w:sz w:val="24"/>
          <w:szCs w:val="24"/>
        </w:rPr>
        <w:t xml:space="preserve">Part 15 — API Governance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15.1 Naming Standards</w:t>
      </w:r>
    </w:p>
    <w:p>
      <w:pPr>
        <w:spacing w:after="150" w:line="276"/>
        <w:jc w:val="both"/>
      </w:pPr>
      <w:r>
        <w:t xml:space="preserve">URI paths use kebab-case, plural nouns for collections (e.g. /api/v1/knowledge-articles, matching aids_resources.js's URI_MAP), never verbs — an action that does not fit CRUD semantics is expressed as a sub-resource or a POST to a noun-phrased path (POST /workflow-items/{id}/decision, not POST /decideWorkflowItem), consistent with the REST resource-orientation the API Design Principles require. JSON field names are camelCase (Part 6.2); HTTP header names follow standard casing conventions (X-AIDS-Signature, If-Match); query parameter names are camelCase, matching field names, so a client filtering on a field never needs to remember a different casing convention for the query string versus the response body.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15.2 Versioning Policy</w:t>
      </w:r>
    </w:p>
    <w:p>
      <w:pPr>
        <w:spacing w:after="150" w:line="276"/>
        <w:jc w:val="both"/>
      </w:pPr>
      <w:r>
        <w:t xml:space="preserve">URI-based versioning (/api/v1/) is the sole versioning mechanism (Part 2.6) — no header-based or content-negotiation versioning is used, a deliberate simplicity choice consistent with this specification's overall bias toward mechanisms an operations team of this platform's size can reason about without specialised tooling. A new major version (/api/v2/) is created only for breaking changes (Section 15.5's definition); the current v1 continues to run unchanged and in parallel for the duration of the Section 15.3 deprecation window — a client is never forced to migrate on the API's release schedule, only on its own.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15.3 Deprecation Policy</w:t>
      </w:r>
    </w:p>
    <w:p>
      <w:pPr>
        <w:spacing w:after="150" w:line="276"/>
        <w:jc w:val="both"/>
      </w:pPr>
      <w:r>
        <w:t xml:space="preserve">A deprecated endpoint or field is marked with a Deprecation response header (per the emerging IETF draft standard this convention follows) carrying the sunset date, remains fully functional for a minimum 6-month deprecation window from the date it is first marked, and is documented in the OpenAPI Blueprint (Part 17) with a deprecated: true schema annotation so tooling (and Antigravity-generated client code) surfaces the warning automatically rather than relying on a developer reading a changelog. No endpoint is removed without having first spent its full deprecation window in this marked-but-functional state — an emergency security-driven removal (e.g. an endpoint found to have a Section 14.7 OWASP-class vulnerability with no viable patch) is the sole exception, and even then is preceded by direct notification to known integration owners (Part 9's Ownership column) rather than silent removal.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15.4 Documentation Standards</w:t>
      </w:r>
    </w:p>
    <w:p>
      <w:pPr>
        <w:spacing w:after="150" w:line="276"/>
        <w:jc w:val="both"/>
      </w:pPr>
      <w:r>
        <w:t xml:space="preserve">Every endpoint's documentation is generated from the OpenAPI 3.1 Blueprint (Part 17), never hand-authored separately — this is a single-source-of-truth discipline applied at the governance layer, mirroring the same discipline Part 4's endpoint catalogue applies to the DDS entity dataset (aids_resources.js derives from dds_entities.js programmatically): a hand-maintained second copy of API documentation inevitably drifts from the implementation, while a generated one cannot. Every endpoint's OpenAPI entry includes, at minimum, a description, all parameters with examples, request/response schemas, and at least one worked example (Part 4's 12 curated examples serve as the seed set for this requirement across the catalogue).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15.5 Backward Compatibility</w:t>
      </w:r>
    </w:p>
    <w:p>
      <w:pPr>
        <w:spacing w:after="150" w:line="276"/>
        <w:jc w:val="both"/>
      </w:pPr>
      <w:r>
        <w:t xml:space="preserve">A change is non-breaking (and may ship within the current v1 without a version bump) if it: adds a new optional request field, adds a new response field (clients per Part 6.4's expand convention and general REST practice are expected to ignore unrecognised response fields rather than fail on them), adds a new endpoint, or adds a new enum value to a field already documented as extensible (DDS Part 7's lookup-table-backed enums, which are explicitly designed to grow). A change is breaking (and requires a v2) if it: removes or renames a field, changes a field's type, changes an endpoint's URI or HTTP method, tightens a validation rule in a way that would reject previously-valid requests, or changes a status code's meaning for an existing scenario.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15.6 Release Management</w:t>
      </w:r>
    </w:p>
    <w:p>
      <w:pPr>
        <w:spacing w:after="150" w:line="276"/>
        <w:jc w:val="both"/>
      </w:pPr>
      <w:r>
        <w:t xml:space="preserve">API releases follow the platform's overall release cadence (SRS Part 38-adjacent release planning) — non-breaking changes ship continuously within v1 as they are completed and tested; breaking changes accumulate behind a v2 branch and ship as a single coordinated release, never piecemeal, so a client migrating to v2 encounters one complete, stable target rather than a moving one. Every release, breaking or not, is preceded by the Part 16 Testing Strategy's full regression suite passing against the OpenAPI Blueprint's contract tests.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15.7 Change Control and Approval Process</w:t>
      </w:r>
    </w:p>
    <w:p>
      <w:pPr>
        <w:spacing w:after="150" w:line="276"/>
        <w:jc w:val="both"/>
      </w:pPr>
      <w:r>
        <w:t xml:space="preserve">Any change to a published endpoint's contract (request/response schema, status codes, authentication requirement) requires: (1) an update to the OpenAPI Blueprint (Part 17) as the change's single source of truth, (2) a Section 15.5 breaking/non-breaking classification, (3) for breaking changes only, sign-off from the platform's technical lead confirming the Section 15.3 deprecation process has been correctly initiated for the superseded version, and (4) for changes touching Part 14's security controls specifically, a security review before merge. This is a lightweight process by design — proportionate to a single-team, 12-week Phase 1 delivery (Part 2.4's team-size rationale) rather than the multi-stakeholder governance board process more typical of a large enterprise API programme, with an explicit note that a future Phase would reasonably formalise this further as the platform's API surface and consumer count grow.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5C3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2E8B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2026-07-19T09:54:43.114Z</dcterms:created>
  <dcterms:modified xsi:type="dcterms:W3CDTF">2026-07-19T09:54:43.115Z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