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5C3B"/>
          <w:sz w:val="32"/>
          <w:szCs w:val="32"/>
        </w:rPr>
        <w:t xml:space="preserve">API &amp; Integration Design Specification (AIDS)</w:t>
      </w:r>
    </w:p>
    <w:p>
      <w:pPr>
        <w:spacing w:after="60"/>
        <w:jc w:val="center"/>
      </w:pPr>
      <w:r>
        <w:rPr>
          <w:b/>
          <w:bCs/>
          <w:color w:val="2E8B57"/>
          <w:sz w:val="22"/>
          <w:szCs w:val="22"/>
        </w:rPr>
        <w:t xml:space="preserve">Enterprise System Management (ESM) Platform and Central Knowledge Repository (CKR)</w:t>
      </w:r>
    </w:p>
    <w:p>
      <w:pPr>
        <w:spacing w:after="40"/>
        <w:jc w:val="center"/>
      </w:pPr>
      <w:r>
        <w:rPr>
          <w:b/>
          <w:bCs/>
          <w:color w:val="2E8B57"/>
          <w:sz w:val="24"/>
          <w:szCs w:val="24"/>
        </w:rPr>
        <w:t xml:space="preserve">Part 16 — Testing Strategy</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5C3B" w:sz="6" w:space="4"/>
        </w:pBdr>
        <w:spacing w:after="130" w:before="320"/>
      </w:pPr>
      <w:r>
        <w:t xml:space="preserve">16.1 Overview</w:t>
      </w:r>
    </w:p>
    <w:p>
      <w:pPr>
        <w:spacing w:after="150" w:line="276"/>
        <w:jc w:val="both"/>
      </w:pPr>
      <w:r>
        <w:t xml:space="preserve">Six test categories cover the API layer end-to-end, each targeting a distinct failure mode this specification's other Parts have identified — the goal, consistent with SRS Part 36's platform-wide test scenario catalogue, is that every one of Part 4's 62 resources and every rule fixed in Parts 5-15 has at least one corresponding automated test, so a regression is caught before release rather than discovered by a user.</w:t>
      </w:r>
    </w:p>
    <w:p>
      <w:pPr>
        <w:pStyle w:val="Heading1"/>
        <w:pBdr>
          <w:bottom w:val="single" w:color="1F5C3B" w:sz="6" w:space="4"/>
        </w:pBdr>
        <w:spacing w:after="130" w:before="320"/>
      </w:pPr>
      <w:r>
        <w:t xml:space="preserve">16.2 Unit Tests</w:t>
      </w:r>
    </w:p>
    <w:p>
      <w:pPr>
        <w:spacing w:after="150" w:line="276"/>
        <w:jc w:val="both"/>
      </w:pPr>
      <w:r>
        <w:t xml:space="preserve">Unit tests cover business-rule validation logic (Section 14.3's second validation layer) in isolation from HTTP and database concerns — e.g. the DDS Part 8 rule that a Task's due date must not precede its Project's start date is tested as a pure function against fixture data, independent of whether it is invoked via POST /tasks or PATCH /tasks/{id}. Target coverage: 80% of business-rule and payload-transformation code (Part 6's camelCase/snake_case mapping, Part 6's null-handling logic), a pragmatic figure chosen over 100% because the highest-value unit tests are on rule and transformation logic, not on generated boilerplate (request/response DTOs) where a unit test would only restate the schema.</w:t>
      </w:r>
    </w:p>
    <w:p>
      <w:pPr>
        <w:pStyle w:val="Heading1"/>
        <w:pBdr>
          <w:bottom w:val="single" w:color="1F5C3B" w:sz="6" w:space="4"/>
        </w:pBdr>
        <w:spacing w:after="130" w:before="320"/>
      </w:pPr>
      <w:r>
        <w:t xml:space="preserve">16.3 Integration Tests</w:t>
      </w:r>
    </w:p>
    <w:p>
      <w:pPr>
        <w:spacing w:after="150" w:line="276"/>
        <w:jc w:val="both"/>
      </w:pPr>
      <w:r>
        <w:t xml:space="preserve">Integration tests exercise a full request through the real application stack against a real (test) database — every endpoint in Part 4's catalogue has at least one integration test covering its happy path and its primary error path (the 400/403/404 cases most relevant to that specific resource, drawn from Part 7's category framework). These run against a database seeded via the Section 16.5 test data strategy, not against production data or a hand-mocked database layer, so the tests exercise the same DDS constraints (Part 8, Part 9) that production traffic does.</w:t>
      </w:r>
    </w:p>
    <w:p>
      <w:pPr>
        <w:pStyle w:val="Heading1"/>
        <w:pBdr>
          <w:bottom w:val="single" w:color="1F5C3B" w:sz="6" w:space="4"/>
        </w:pBdr>
        <w:spacing w:after="130" w:before="320"/>
      </w:pPr>
      <w:r>
        <w:t xml:space="preserve">16.4 Contract Tests</w:t>
      </w:r>
    </w:p>
    <w:p>
      <w:pPr>
        <w:spacing w:after="150" w:line="276"/>
        <w:jc w:val="both"/>
      </w:pPr>
      <w:r>
        <w:t xml:space="preserve">Contract tests validate every response against its OpenAPI 3.1 schema (Part 17) automatically — this is the mechanical enforcement mechanism behind Part 15.4's single-source-of-truth documentation claim: if an endpoint's actual response ever drifts from its documented schema, a contract test fails the build, rather than the drift being discovered later by a confused API consumer. Contract tests run on every pull request, before the Section 16.3 integration suite, since a schema violation is cheaper to catch and fix at this stage than after a full integration test run.</w:t>
      </w:r>
    </w:p>
    <w:p>
      <w:pPr>
        <w:pStyle w:val="Heading1"/>
        <w:pBdr>
          <w:bottom w:val="single" w:color="1F5C3B" w:sz="6" w:space="4"/>
        </w:pBdr>
        <w:spacing w:after="130" w:before="320"/>
      </w:pPr>
      <w:r>
        <w:t xml:space="preserve">16.5 Test Data Strategy</w:t>
      </w:r>
    </w:p>
    <w:p>
      <w:pPr>
        <w:spacing w:after="150" w:line="276"/>
        <w:jc w:val="both"/>
      </w:pPr>
      <w:r>
        <w:t xml:space="preserve">A seed dataset covering all 62 DDS entities at representative volume (tens, not thousands, of rows per entity — enough to exercise pagination, filtering, and relationship traversal without making the test suite slow) is generated programmatically from the same aids_resources.js/dds_entities.js dataset this specification itself derives from, ensuring test fixtures never drift out of sync with the schema they are meant to validate against — the same single-source-of-truth discipline applied to documentation (Part 15.4) applied here to test data. Sensitive-shaped fields (names, contact details) use clearly-fake synthetic values (never real client or beneficiary data) even in test environments, consistent with the NDPR minimisation principle (Part 14.11) extended as a matter of practice into non-production environments.</w:t>
      </w:r>
    </w:p>
    <w:p>
      <w:pPr>
        <w:spacing w:after="150" w:line="276"/>
        <w:jc w:val="both"/>
      </w:pPr>
      <w:r>
        <w:t xml:space="preserve">A separate, smaller performance-test dataset scaled to the Part 13.2 throughput projections (approximating the ~500-user, several-year data-volume profile from DDS Part 16) is maintained for Section 16.6's load tests, distinct from the smaller functional-test seed set, since a dataset sized for fast functional-test iteration is deliberately too small to produce meaningful performance numbers.</w:t>
      </w:r>
    </w:p>
    <w:p>
      <w:pPr>
        <w:pStyle w:val="Heading1"/>
        <w:pBdr>
          <w:bottom w:val="single" w:color="1F5C3B" w:sz="6" w:space="4"/>
        </w:pBdr>
        <w:spacing w:after="130" w:before="320"/>
      </w:pPr>
      <w:r>
        <w:t xml:space="preserve">16.6 Performance and Load Tests</w:t>
      </w:r>
    </w:p>
    <w:p>
      <w:pPr>
        <w:spacing w:after="150" w:line="276"/>
        <w:jc w:val="both"/>
      </w:pPr>
      <w:r>
        <w:t xml:space="preserve">Load tests validate the Part 13.1 latency budgets and Part 13.2 throughput targets under synthetic load ramped to the peak figure (150 requests/second) and held for a sustained period, run against the Section 16.5 performance dataset — these run on a schedule (not on every pull request, given their duration and infrastructure cost) and before every major release. A load test that reveals a latency budget breach is treated as a release blocker, not an advisory finding, consistent with Part 13's framing of these budgets as enforceable rather than aspirational.</w:t>
      </w:r>
    </w:p>
    <w:p>
      <w:pPr>
        <w:pStyle w:val="Heading1"/>
        <w:pBdr>
          <w:bottom w:val="single" w:color="1F5C3B" w:sz="6" w:space="4"/>
        </w:pBdr>
        <w:spacing w:after="130" w:before="320"/>
      </w:pPr>
      <w:r>
        <w:t xml:space="preserve">16.7 Security and Negative Tests</w:t>
      </w:r>
    </w:p>
    <w:p>
      <w:pPr>
        <w:spacing w:after="150" w:line="276"/>
        <w:jc w:val="both"/>
      </w:pPr>
      <w:r>
        <w:t xml:space="preserve">Security tests specifically probe the Part 14.7 OWASP API Security Top 10 mapping — an automated suite attempts, for a sample of endpoints, object-level authorization bypass (accessing another state's/tenant's resource by ID), function-level authorization bypass (calling an administrative action with a non-administrative token), and injection-style malformed input, verifying each is correctly rejected per Part 7's error framework rather than succeeding or, worse, causing a 500. Negative tests more broadly cover every documented error path in Part 7's category table — a validation failure, an authorization failure, a not-found, a conflict — for a representative sample of endpoints per domain (Part 3's 28 domains), not just the happy path Section 16.3 already covers.</w:t>
      </w:r>
    </w:p>
    <w:p>
      <w:pPr>
        <w:pStyle w:val="Heading1"/>
        <w:pBdr>
          <w:bottom w:val="single" w:color="1F5C3B" w:sz="6" w:space="4"/>
        </w:pBdr>
        <w:spacing w:after="130" w:before="320"/>
      </w:pPr>
      <w:r>
        <w:t xml:space="preserve">16.8 Mock Services</w:t>
      </w:r>
    </w:p>
    <w:p>
      <w:pPr>
        <w:spacing w:after="150" w:line="276"/>
        <w:jc w:val="both"/>
      </w:pPr>
      <w:r>
        <w:t xml:space="preserve">Every Part 9 integration has a mock implementation used in the Section 16.3 integration suite and local development — the mock honours the same contract (Part 9's nine attributes per integration) as the real integration, including simulating failure modes (a mock that always fails, to test Part 13.8's circuit breaker behaviour; a mock with injected latency, to test Section 16.6-adjacent timeout handling) so that integration resilience logic is tested deterministically rather than depending on a real external system's actual uptime during a test run.</w:t>
      </w:r>
    </w:p>
    <w:p>
      <w:pPr>
        <w:pStyle w:val="Heading1"/>
        <w:pBdr>
          <w:bottom w:val="single" w:color="1F5C3B" w:sz="6" w:space="4"/>
        </w:pBdr>
        <w:spacing w:after="130" w:before="320"/>
      </w:pPr>
      <w:r>
        <w:t xml:space="preserve">16.9 Automation and CI Integration</w:t>
      </w:r>
    </w:p>
    <w:p>
      <w:pPr>
        <w:spacing w:after="150" w:line="276"/>
        <w:jc w:val="both"/>
      </w:pPr>
      <w:r>
        <w:t xml:space="preserve">All six test categories run in continuous integration on every pull request except Section 16.6's load tests (scheduled, per that Section's rationale); a pull request cannot merge with a failing unit, integration, contract, or security/negative test. Test results, alongside the Section 16.4 contract-test pass/fail status, are the concrete gate referenced in Part 15.6's release management process — 'the full regression suite passing' is not a subjective judgment call but this automated gate's binary output.</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5C3B"/>
      <w:sz w:val="24"/>
      <w:szCs w:val="24"/>
    </w:rPr>
  </w:style>
  <w:style w:type="paragraph" w:styleId="Heading2">
    <w:name w:val="Heading 2"/>
    <w:basedOn w:val="Normal"/>
    <w:next w:val="Normal"/>
    <w:qFormat/>
    <w:pPr>
      <w:spacing w:after="100" w:before="220"/>
    </w:pPr>
    <w:rPr>
      <w:rFonts w:ascii="Arial" w:cs="Arial" w:eastAsia="Arial" w:hAnsi="Arial"/>
      <w:b/>
      <w:bCs/>
      <w:color w:val="2E8B5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2026-07-19T09:55:58.420Z</dcterms:created>
  <dcterms:modified xsi:type="dcterms:W3CDTF">2026-07-19T09:55:58.421Z</dcterms:modified>
</cp:coreProperties>
</file>

<file path=docProps/custom.xml><?xml version="1.0" encoding="utf-8"?>
<Properties xmlns="http://schemas.openxmlformats.org/officeDocument/2006/custom-properties" xmlns:vt="http://schemas.openxmlformats.org/officeDocument/2006/docPropsVTypes"/>
</file>