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808080"/>
          <w:sz w:val="20"/>
          <w:szCs w:val="20"/>
        </w:rPr>
        <w:t xml:space="preserve">SAPZ PROGRAMME — REF: NPCO/SAPZ/IFAD/26/1023/588</w:t>
      </w:r>
    </w:p>
    <w:p>
      <w:pPr>
        <w:spacing w:after="60"/>
        <w:jc w:val="center"/>
      </w:pPr>
      <w:r>
        <w:rPr>
          <w:b/>
          <w:bCs/>
          <w:color w:val="1F5C3B"/>
          <w:sz w:val="32"/>
          <w:szCs w:val="32"/>
        </w:rPr>
        <w:t xml:space="preserve">API &amp; Integration Design Specification (AIDS)</w:t>
      </w:r>
    </w:p>
    <w:p>
      <w:pPr>
        <w:spacing w:after="60"/>
        <w:jc w:val="center"/>
      </w:pPr>
      <w:r>
        <w:rPr>
          <w:b/>
          <w:bCs/>
          <w:color w:val="2E8B57"/>
          <w:sz w:val="22"/>
          <w:szCs w:val="22"/>
        </w:rPr>
        <w:t xml:space="preserve">Enterprise System Management (ESM) Platform and Central Knowledge Repository (CKR)</w:t>
      </w:r>
    </w:p>
    <w:p>
      <w:pPr>
        <w:spacing w:after="40"/>
        <w:jc w:val="center"/>
      </w:pPr>
      <w:r>
        <w:rPr>
          <w:b/>
          <w:bCs/>
          <w:color w:val="2E8B57"/>
          <w:sz w:val="24"/>
          <w:szCs w:val="24"/>
        </w:rPr>
        <w:t xml:space="preserve">Part 19 — API Design Review (QA)</w:t>
      </w:r>
    </w:p>
    <w:p>
      <w:pPr>
        <w:spacing w:after="260"/>
        <w:jc w:val="center"/>
      </w:pPr>
      <w:r>
        <w:rPr>
          <w:i/>
          <w:iCs/>
          <w:color w:val="555555"/>
          <w:sz w:val="19"/>
          <w:szCs w:val="19"/>
        </w:rPr>
        <w:t xml:space="preserve">Prepared for the SAPZ National Programme Coordination Office — Consultant: Ahmed Babajide Olanrewaju</w:t>
      </w:r>
    </w:p>
    <w:p>
      <w:pPr>
        <w:pStyle w:val="Heading1"/>
        <w:pBdr>
          <w:bottom w:val="single" w:color="1F5C3B" w:sz="6" w:space="4"/>
        </w:pBdr>
        <w:spacing w:after="130" w:before="320"/>
      </w:pPr>
      <w:r>
        <w:t xml:space="preserve">19.1 Review Overview</w:t>
      </w:r>
    </w:p>
    <w:p>
      <w:pPr>
        <w:spacing w:after="150" w:line="276"/>
        <w:jc w:val="both"/>
      </w:pPr>
      <w:r>
        <w:t xml:space="preserve">This closing Part performs the quality-assurance pass the originating brief requires: verifying every API maps to a functional requirement or business capability, eliminating duplicate endpoints, validating naming consistency, confirming authentication/authorization flows are complete, reviewing error handling for completeness, and consolidating every assumption and Phase 1/future distinction into one list — so Antigravity inherits an explicit record rather than needing to reverse-engineer this specification's reasoning across 18 preceding Parts.</w:t>
      </w:r>
    </w:p>
    <w:p>
      <w:pPr>
        <w:pStyle w:val="Heading1"/>
        <w:pBdr>
          <w:bottom w:val="single" w:color="1F5C3B" w:sz="6" w:space="4"/>
        </w:pBdr>
        <w:spacing w:after="130" w:before="320"/>
      </w:pPr>
      <w:r>
        <w:t xml:space="preserve">19.2 Requirement Traceability Check</w:t>
      </w:r>
    </w:p>
    <w:p>
      <w:pPr>
        <w:spacing w:after="150" w:line="276"/>
        <w:jc w:val="both"/>
      </w:pPr>
      <w:r>
        <w:t xml:space="preserve">Every one of the 62 resources catalogued in Part 4 derives from a DDS entity (Part 3-4), which itself traces to an SRS/PDD/EA Blueprint requirement (DDS Part 19.2's own traceability check) — this is inherited, transitive traceability by construction, since aids_resources.js is programmatically derived from dds_entities.js rather than independently authored (Part 1's stated design choice). No resource in this specification exists without a corresponding DDS entity and, one level further back, an approved requirement.</w:t>
      </w:r>
    </w:p>
    <w:p>
      <w:pPr>
        <w:spacing w:after="150" w:line="276"/>
        <w:jc w:val="both"/>
      </w:pPr>
      <w:r>
        <w:t xml:space="preserve">The one resource category with a qualified traceability status is Search and AI Services (Part 12.3-12.6) — traced to SRS Part 22 and Part 38 specifically as Phase 2 items, not Phase 1 requirements, which is the correct and intentional status for that category, not a gap. Every Phase 2 endpoint in this specification is explicitly labelled as such at the point it is introduced (Part 12's section headings), so Antigravity cannot mistake a Phase 2 contract for a Phase 1 delivery obligation.</w:t>
      </w:r>
    </w:p>
    <w:p>
      <w:pPr>
        <w:pStyle w:val="Heading1"/>
        <w:pBdr>
          <w:bottom w:val="single" w:color="1F5C3B" w:sz="6" w:space="4"/>
        </w:pBdr>
        <w:spacing w:after="130" w:before="320"/>
      </w:pPr>
      <w:r>
        <w:t xml:space="preserve">19.3 Duplicate Endpoint Elimination</w:t>
      </w:r>
    </w:p>
    <w:p>
      <w:pPr>
        <w:spacing w:after="150" w:line="276"/>
        <w:jc w:val="both"/>
      </w:pPr>
      <w:r>
        <w:t xml:space="preserve">Duplication was actively designed against, not merely checked for afterward, at four specific points: Part 4's 12 worked JSON examples were deliberately curated rather than exhaustive (full field schemas belong in Part 17's generated OpenAPI Blueprint, not restated per-endpoint in the catalogue, Part 4's own stated scoping); Part 12.7 explicitly declined to add a third 'natural language search' endpoint once semantic search (12.3) and the AI Assistant (12.5) already covered that use case from two angles; Part 6's payload conventions are stated once and referenced, not repeated, across all 62 resources; and Part 7's error envelope and Part 17's reusable parameters/responses are each declared once in components and referenced ($ref) rather than redeclared per operation (Part 17.5-17.6). No two resources in Part 4's catalogue expose overlapping functionality — the closest pair, Notification (in-app/user-facing) and Webhook (external system-to-system callback, Part 8), was explicitly distinguished rather than merged, since collapsing them would have conflated two audiences (an end user and an external system) with genuinely different delivery, retry, and authentication needs (Part 8.1's opening distinction).</w:t>
      </w:r>
    </w:p>
    <w:p>
      <w:pPr>
        <w:pStyle w:val="Heading1"/>
        <w:pBdr>
          <w:bottom w:val="single" w:color="1F5C3B" w:sz="6" w:space="4"/>
        </w:pBdr>
        <w:spacing w:after="130" w:before="320"/>
      </w:pPr>
      <w:r>
        <w:t xml:space="preserve">19.4 Naming Consistency Validation</w:t>
      </w:r>
    </w:p>
    <w:p>
      <w:pPr>
        <w:spacing w:after="150" w:line="276"/>
        <w:jc w:val="both"/>
      </w:pPr>
      <w:r>
        <w:t xml:space="preserve">The naming convention fixed in Part 15.1 (kebab-case plural URI paths, camelCase JSON fields, noun-phrased custom actions) was applied consistently across all 62 resources in aids_resources.js's URI_MAP and EXTRA_ACTIONS structures — spot-verified by construction, since every resource's baseUri and action paths were generated from the same URI_MAP lookup table and methodsFromCrud()/buildResource() functions (Part 1's infrastructure note) rather than hand-typed per resource, eliminating the class of naming inconsistency that arises from 62 independent manual authoring decisions.</w:t>
      </w:r>
    </w:p>
    <w:p>
      <w:pPr>
        <w:pStyle w:val="Heading1"/>
        <w:pBdr>
          <w:bottom w:val="single" w:color="1F5C3B" w:sz="6" w:space="4"/>
        </w:pBdr>
        <w:spacing w:after="130" w:before="320"/>
      </w:pPr>
      <w:r>
        <w:t xml:space="preserve">19.5 Authentication and Authorization Flow Validation</w:t>
      </w:r>
    </w:p>
    <w:p>
      <w:pPr>
        <w:spacing w:after="150" w:line="276"/>
        <w:jc w:val="both"/>
      </w:pPr>
      <w:r>
        <w:t xml:space="preserve">The authentication flow (Part 5.2's six-step OAuth2/OIDC/PKCE sequence) and the two-check authorization pattern (Part 5.5) were verified against every resource's Required Permission(s) field in Part 4's endpoint cards — no resource lacks a stated permission requirement, and the public-tier exceptions (Part 4's public Knowledge/search endpoints, Part 12.2) are explicitly marked as such (Part 17.4's security: [] override) rather than silently omitting the bearerAuth requirement. The 401 vs 403 vs 404 distinction (Part 5.7, Part 7.2) was checked for consistent application: every non-disclosure case (a resource that must return 404 rather than 403 to avoid confirming existence to an unauthorized caller) is named explicitly in Part 5.7, not left to individual endpoint implementation discretion.</w:t>
      </w:r>
    </w:p>
    <w:p>
      <w:pPr>
        <w:pStyle w:val="Heading1"/>
        <w:pBdr>
          <w:bottom w:val="single" w:color="1F5C3B" w:sz="6" w:space="4"/>
        </w:pBdr>
        <w:spacing w:after="130" w:before="320"/>
      </w:pPr>
      <w:r>
        <w:t xml:space="preserve">19.6 Error Handling Completeness Review</w:t>
      </w:r>
    </w:p>
    <w:p>
      <w:pPr>
        <w:spacing w:after="150" w:line="276"/>
        <w:jc w:val="both"/>
      </w:pPr>
      <w:r>
        <w:t xml:space="preserve">Every one of Part 7.2's eight error categories has at least one representative code and a stated logging/resolution behaviour; the Timeout subtype (Part 7.3) was specifically added after review because the generic System category alone would have conflated client-side and server-side timeout causes, which require different client responses (Part 7.3's REQUEST_TIMEOUT vs UPSTREAM_TIMEOUT distinction) — this is a case where the QA pass itself surfaced and closed a gap rather than merely confirming an existing design. Every Part 9 integration contract's Error Handling column was checked for consistency with Part 7's category framework, and every Part 8 webhook's Retry Policy/Failure Handling was checked for consistency with Part 13.7's unified retry policy — no integration or webhook defines its own bespoke error-handling vocabulary outside the Part 7/13.7 framework.</w:t>
      </w:r>
    </w:p>
    <w:p>
      <w:pPr>
        <w:pStyle w:val="Heading1"/>
        <w:pBdr>
          <w:bottom w:val="single" w:color="1F5C3B" w:sz="6" w:space="4"/>
        </w:pBdr>
        <w:spacing w:after="130" w:before="320"/>
      </w:pPr>
      <w:r>
        <w:t xml:space="preserve">19.7 Phase 1 vs. Future Extensibility Summary</w:t>
      </w:r>
    </w:p>
    <w:p>
      <w:pPr>
        <w:spacing w:after="150" w:line="276"/>
        <w:jc w:val="both"/>
      </w:pPr>
      <w:r>
        <w:t xml:space="preserve">Mandatory Phase 1: all resources in Part 4 except the AI Services subset; full-text/faceted Search (Part 12.2); INT-01 through INT-09 (Part 9, excluding the three explicitly future integrations); all fifteen internal domain events (Part 10.2) and thirteen webhooks (Part 8.3); the complete Part 13 Non-Functional Requirements and Part 14 Security Architecture baseline. Explicitly Phase 2+: semantic search, knowledge recommendations, the AI Assistant, document summarization, OCR, and auto-tagging (Part 12.3-12.6); INT-10 (future ERP), INT-11 (future M&amp;E systems), and INT-12 (future financial systems) (Part 9); and any Microsoft 365 SharePoint co-editing sync beyond calendar sync (Part 9's INT-08 note). This division is stated once here as a single checklist specifically so a scoping conversation with the client never needs to re-derive it from 18 Parts of prose.</w:t>
      </w:r>
    </w:p>
    <w:p>
      <w:pPr>
        <w:pStyle w:val="Heading1"/>
        <w:pBdr>
          <w:bottom w:val="single" w:color="1F5C3B" w:sz="6" w:space="4"/>
        </w:pBdr>
        <w:spacing w:after="130" w:before="320"/>
      </w:pPr>
      <w:r>
        <w:t xml:space="preserve">19.8 Consolidated Assumptions</w:t>
      </w:r>
    </w:p>
    <w:p>
      <w:pPr>
        <w:spacing w:after="150" w:line="276"/>
        <w:jc w:val="both"/>
      </w:pPr>
      <w:r>
        <w:t xml:space="preserve">Restated and expanded from Part 18's Section 8 as the authoritative consolidated list, cross-referenced to where each assumption was first introduced.</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522"/>
        <w:gridCol w:w="4176"/>
        <w:gridCol w:w="1670"/>
        <w:gridCol w:w="4072"/>
      </w:tblGrid>
      <w:tr>
        <w:trPr>
          <w:tblHeader/>
        </w:trPr>
        <w:tc>
          <w:tcPr>
            <w:tcW w:type="dxa" w:w="522"/>
            <w:shd w:fill="1F5C3B" w:val="clear"/>
            <w:tcMar>
              <w:top w:type="dxa" w:w="50"/>
              <w:left w:type="dxa" w:w="80"/>
              <w:bottom w:type="dxa" w:w="50"/>
              <w:right w:type="dxa" w:w="80"/>
            </w:tcMar>
            <w:vAlign w:val="top"/>
          </w:tcPr>
          <w:p>
            <w:r>
              <w:rPr>
                <w:b/>
                <w:bCs/>
                <w:color w:val="FFFFFF"/>
                <w:sz w:val="15"/>
                <w:szCs w:val="15"/>
              </w:rPr>
              <w:t xml:space="preserve">#</w:t>
            </w:r>
          </w:p>
        </w:tc>
        <w:tc>
          <w:tcPr>
            <w:tcW w:type="dxa" w:w="4176"/>
            <w:shd w:fill="1F5C3B" w:val="clear"/>
            <w:tcMar>
              <w:top w:type="dxa" w:w="50"/>
              <w:left w:type="dxa" w:w="80"/>
              <w:bottom w:type="dxa" w:w="50"/>
              <w:right w:type="dxa" w:w="80"/>
            </w:tcMar>
            <w:vAlign w:val="top"/>
          </w:tcPr>
          <w:p>
            <w:r>
              <w:rPr>
                <w:b/>
                <w:bCs/>
                <w:color w:val="FFFFFF"/>
                <w:sz w:val="15"/>
                <w:szCs w:val="15"/>
              </w:rPr>
              <w:t xml:space="preserve">Assumption</w:t>
            </w:r>
          </w:p>
        </w:tc>
        <w:tc>
          <w:tcPr>
            <w:tcW w:type="dxa" w:w="1670"/>
            <w:shd w:fill="1F5C3B" w:val="clear"/>
            <w:tcMar>
              <w:top w:type="dxa" w:w="50"/>
              <w:left w:type="dxa" w:w="80"/>
              <w:bottom w:type="dxa" w:w="50"/>
              <w:right w:type="dxa" w:w="80"/>
            </w:tcMar>
            <w:vAlign w:val="top"/>
          </w:tcPr>
          <w:p>
            <w:r>
              <w:rPr>
                <w:b/>
                <w:bCs/>
                <w:color w:val="FFFFFF"/>
                <w:sz w:val="15"/>
                <w:szCs w:val="15"/>
              </w:rPr>
              <w:t xml:space="preserve">First Named</w:t>
            </w:r>
          </w:p>
        </w:tc>
        <w:tc>
          <w:tcPr>
            <w:tcW w:type="dxa" w:w="4072"/>
            <w:shd w:fill="1F5C3B" w:val="clear"/>
            <w:tcMar>
              <w:top w:type="dxa" w:w="50"/>
              <w:left w:type="dxa" w:w="80"/>
              <w:bottom w:type="dxa" w:w="50"/>
              <w:right w:type="dxa" w:w="80"/>
            </w:tcMar>
            <w:vAlign w:val="top"/>
          </w:tcPr>
          <w:p>
            <w:r>
              <w:rPr>
                <w:b/>
                <w:bCs/>
                <w:color w:val="FFFFFF"/>
                <w:sz w:val="15"/>
                <w:szCs w:val="15"/>
              </w:rPr>
              <w:t xml:space="preserve">Recommended Validation Step</w:t>
            </w:r>
          </w:p>
        </w:tc>
      </w:tr>
      <w:tr>
        <w:tc>
          <w:tcPr>
            <w:tcW w:type="dxa" w:w="522"/>
            <w:tcMar>
              <w:top w:type="dxa" w:w="50"/>
              <w:left w:type="dxa" w:w="80"/>
              <w:bottom w:type="dxa" w:w="50"/>
              <w:right w:type="dxa" w:w="80"/>
            </w:tcMar>
            <w:vAlign w:val="top"/>
          </w:tcPr>
          <w:p>
            <w:r>
              <w:rPr>
                <w:b/>
                <w:bCs/>
                <w:color w:val="000000"/>
                <w:sz w:val="14"/>
                <w:szCs w:val="14"/>
              </w:rPr>
              <w:t xml:space="preserve">1</w:t>
            </w:r>
          </w:p>
        </w:tc>
        <w:tc>
          <w:tcPr>
            <w:tcW w:type="dxa" w:w="4176"/>
            <w:tcMar>
              <w:top w:type="dxa" w:w="50"/>
              <w:left w:type="dxa" w:w="80"/>
              <w:bottom w:type="dxa" w:w="50"/>
              <w:right w:type="dxa" w:w="80"/>
            </w:tcMar>
            <w:vAlign w:val="top"/>
          </w:tcPr>
          <w:p>
            <w:r>
              <w:rPr>
                <w:b w:val="false"/>
                <w:bCs w:val="false"/>
                <w:color w:val="000000"/>
                <w:sz w:val="14"/>
                <w:szCs w:val="14"/>
              </w:rPr>
              <w:t xml:space="preserve">Modular Monolith, not microservices, is the Phase 1 architecture</w:t>
            </w:r>
          </w:p>
        </w:tc>
        <w:tc>
          <w:tcPr>
            <w:tcW w:type="dxa" w:w="1670"/>
            <w:tcMar>
              <w:top w:type="dxa" w:w="50"/>
              <w:left w:type="dxa" w:w="80"/>
              <w:bottom w:type="dxa" w:w="50"/>
              <w:right w:type="dxa" w:w="80"/>
            </w:tcMar>
            <w:vAlign w:val="top"/>
          </w:tcPr>
          <w:p>
            <w:r>
              <w:rPr>
                <w:b w:val="false"/>
                <w:bCs w:val="false"/>
                <w:color w:val="000000"/>
                <w:sz w:val="14"/>
                <w:szCs w:val="14"/>
              </w:rPr>
              <w:t xml:space="preserve">Part 2.4</w:t>
            </w:r>
          </w:p>
        </w:tc>
        <w:tc>
          <w:tcPr>
            <w:tcW w:type="dxa" w:w="4072"/>
            <w:tcMar>
              <w:top w:type="dxa" w:w="50"/>
              <w:left w:type="dxa" w:w="80"/>
              <w:bottom w:type="dxa" w:w="50"/>
              <w:right w:type="dxa" w:w="80"/>
            </w:tcMar>
            <w:vAlign w:val="top"/>
          </w:tcPr>
          <w:p>
            <w:r>
              <w:rPr>
                <w:b w:val="false"/>
                <w:bCs w:val="false"/>
                <w:color w:val="000000"/>
                <w:sz w:val="14"/>
                <w:szCs w:val="14"/>
              </w:rPr>
              <w:t xml:space="preserve">Revisit only if Search's extraction (the named candidate) becomes necessary due to load or team-scaling reasons</w:t>
            </w:r>
          </w:p>
        </w:tc>
      </w:tr>
      <w:tr>
        <w:tc>
          <w:tcPr>
            <w:tcW w:type="dxa" w:w="522"/>
            <w:tcMar>
              <w:top w:type="dxa" w:w="50"/>
              <w:left w:type="dxa" w:w="80"/>
              <w:bottom w:type="dxa" w:w="50"/>
              <w:right w:type="dxa" w:w="80"/>
            </w:tcMar>
            <w:vAlign w:val="top"/>
          </w:tcPr>
          <w:p>
            <w:r>
              <w:rPr>
                <w:b/>
                <w:bCs/>
                <w:color w:val="000000"/>
                <w:sz w:val="14"/>
                <w:szCs w:val="14"/>
              </w:rPr>
              <w:t xml:space="preserve">2</w:t>
            </w:r>
          </w:p>
        </w:tc>
        <w:tc>
          <w:tcPr>
            <w:tcW w:type="dxa" w:w="4176"/>
            <w:tcMar>
              <w:top w:type="dxa" w:w="50"/>
              <w:left w:type="dxa" w:w="80"/>
              <w:bottom w:type="dxa" w:w="50"/>
              <w:right w:type="dxa" w:w="80"/>
            </w:tcMar>
            <w:vAlign w:val="top"/>
          </w:tcPr>
          <w:p>
            <w:r>
              <w:rPr>
                <w:b w:val="false"/>
                <w:bCs w:val="false"/>
                <w:color w:val="000000"/>
                <w:sz w:val="14"/>
                <w:szCs w:val="14"/>
              </w:rPr>
              <w:t xml:space="preserve">Redis Streams is the recommended (not mandated) internal event-bus backing store</w:t>
            </w:r>
          </w:p>
        </w:tc>
        <w:tc>
          <w:tcPr>
            <w:tcW w:type="dxa" w:w="1670"/>
            <w:tcMar>
              <w:top w:type="dxa" w:w="50"/>
              <w:left w:type="dxa" w:w="80"/>
              <w:bottom w:type="dxa" w:w="50"/>
              <w:right w:type="dxa" w:w="80"/>
            </w:tcMar>
            <w:vAlign w:val="top"/>
          </w:tcPr>
          <w:p>
            <w:r>
              <w:rPr>
                <w:b w:val="false"/>
                <w:bCs w:val="false"/>
                <w:color w:val="000000"/>
                <w:sz w:val="14"/>
                <w:szCs w:val="14"/>
              </w:rPr>
              <w:t xml:space="preserve">Part 10.3</w:t>
            </w:r>
          </w:p>
        </w:tc>
        <w:tc>
          <w:tcPr>
            <w:tcW w:type="dxa" w:w="4072"/>
            <w:tcMar>
              <w:top w:type="dxa" w:w="50"/>
              <w:left w:type="dxa" w:w="80"/>
              <w:bottom w:type="dxa" w:w="50"/>
              <w:right w:type="dxa" w:w="80"/>
            </w:tcMar>
            <w:vAlign w:val="top"/>
          </w:tcPr>
          <w:p>
            <w:r>
              <w:rPr>
                <w:b w:val="false"/>
                <w:bCs w:val="false"/>
                <w:color w:val="000000"/>
                <w:sz w:val="14"/>
                <w:szCs w:val="14"/>
              </w:rPr>
              <w:t xml:space="preserve">Antigravity engineering lead may substitute RabbitMQ if existing operational expertise favours it — the event catalogue and contracts are broker-agnostic</w:t>
            </w:r>
          </w:p>
        </w:tc>
      </w:tr>
      <w:tr>
        <w:tc>
          <w:tcPr>
            <w:tcW w:type="dxa" w:w="522"/>
            <w:tcMar>
              <w:top w:type="dxa" w:w="50"/>
              <w:left w:type="dxa" w:w="80"/>
              <w:bottom w:type="dxa" w:w="50"/>
              <w:right w:type="dxa" w:w="80"/>
            </w:tcMar>
            <w:vAlign w:val="top"/>
          </w:tcPr>
          <w:p>
            <w:r>
              <w:rPr>
                <w:b/>
                <w:bCs/>
                <w:color w:val="000000"/>
                <w:sz w:val="14"/>
                <w:szCs w:val="14"/>
              </w:rPr>
              <w:t xml:space="preserve">3</w:t>
            </w:r>
          </w:p>
        </w:tc>
        <w:tc>
          <w:tcPr>
            <w:tcW w:type="dxa" w:w="4176"/>
            <w:tcMar>
              <w:top w:type="dxa" w:w="50"/>
              <w:left w:type="dxa" w:w="80"/>
              <w:bottom w:type="dxa" w:w="50"/>
              <w:right w:type="dxa" w:w="80"/>
            </w:tcMar>
            <w:vAlign w:val="top"/>
          </w:tcPr>
          <w:p>
            <w:r>
              <w:rPr>
                <w:b w:val="false"/>
                <w:bCs w:val="false"/>
                <w:color w:val="000000"/>
                <w:sz w:val="14"/>
                <w:szCs w:val="14"/>
              </w:rPr>
              <w:t xml:space="preserve">The client's Identity Provider is Microsoft 365/Azure AD</w:t>
            </w:r>
          </w:p>
        </w:tc>
        <w:tc>
          <w:tcPr>
            <w:tcW w:type="dxa" w:w="1670"/>
            <w:tcMar>
              <w:top w:type="dxa" w:w="50"/>
              <w:left w:type="dxa" w:w="80"/>
              <w:bottom w:type="dxa" w:w="50"/>
              <w:right w:type="dxa" w:w="80"/>
            </w:tcMar>
            <w:vAlign w:val="top"/>
          </w:tcPr>
          <w:p>
            <w:r>
              <w:rPr>
                <w:b w:val="false"/>
                <w:bCs w:val="false"/>
                <w:color w:val="000000"/>
                <w:sz w:val="14"/>
                <w:szCs w:val="14"/>
              </w:rPr>
              <w:t xml:space="preserve">Part 9 (INT-04), EA Blueprint</w:t>
            </w:r>
          </w:p>
        </w:tc>
        <w:tc>
          <w:tcPr>
            <w:tcW w:type="dxa" w:w="4072"/>
            <w:tcMar>
              <w:top w:type="dxa" w:w="50"/>
              <w:left w:type="dxa" w:w="80"/>
              <w:bottom w:type="dxa" w:w="50"/>
              <w:right w:type="dxa" w:w="80"/>
            </w:tcMar>
            <w:vAlign w:val="top"/>
          </w:tcPr>
          <w:p>
            <w:r>
              <w:rPr>
                <w:b w:val="false"/>
                <w:bCs w:val="false"/>
                <w:color w:val="000000"/>
                <w:sz w:val="14"/>
                <w:szCs w:val="14"/>
              </w:rPr>
              <w:t xml:space="preserve">Confirm before implementing Part 5's OIDC flow; the flow itself remains valid against any OIDC-compliant IdP if this changes</w:t>
            </w:r>
          </w:p>
        </w:tc>
      </w:tr>
      <w:tr>
        <w:tc>
          <w:tcPr>
            <w:tcW w:type="dxa" w:w="522"/>
            <w:tcMar>
              <w:top w:type="dxa" w:w="50"/>
              <w:left w:type="dxa" w:w="80"/>
              <w:bottom w:type="dxa" w:w="50"/>
              <w:right w:type="dxa" w:w="80"/>
            </w:tcMar>
            <w:vAlign w:val="top"/>
          </w:tcPr>
          <w:p>
            <w:r>
              <w:rPr>
                <w:b/>
                <w:bCs/>
                <w:color w:val="000000"/>
                <w:sz w:val="14"/>
                <w:szCs w:val="14"/>
              </w:rPr>
              <w:t xml:space="preserve">4</w:t>
            </w:r>
          </w:p>
        </w:tc>
        <w:tc>
          <w:tcPr>
            <w:tcW w:type="dxa" w:w="4176"/>
            <w:tcMar>
              <w:top w:type="dxa" w:w="50"/>
              <w:left w:type="dxa" w:w="80"/>
              <w:bottom w:type="dxa" w:w="50"/>
              <w:right w:type="dxa" w:w="80"/>
            </w:tcMar>
            <w:vAlign w:val="top"/>
          </w:tcPr>
          <w:p>
            <w:r>
              <w:rPr>
                <w:b w:val="false"/>
                <w:bCs w:val="false"/>
                <w:color w:val="000000"/>
                <w:sz w:val="14"/>
                <w:szCs w:val="14"/>
              </w:rPr>
              <w:t xml:space="preserve">Specific cloud secrets-manager and object-storage products are illustrative, not binding</w:t>
            </w:r>
          </w:p>
        </w:tc>
        <w:tc>
          <w:tcPr>
            <w:tcW w:type="dxa" w:w="1670"/>
            <w:tcMar>
              <w:top w:type="dxa" w:w="50"/>
              <w:left w:type="dxa" w:w="80"/>
              <w:bottom w:type="dxa" w:w="50"/>
              <w:right w:type="dxa" w:w="80"/>
            </w:tcMar>
            <w:vAlign w:val="top"/>
          </w:tcPr>
          <w:p>
            <w:r>
              <w:rPr>
                <w:b w:val="false"/>
                <w:bCs w:val="false"/>
                <w:color w:val="000000"/>
                <w:sz w:val="14"/>
                <w:szCs w:val="14"/>
              </w:rPr>
              <w:t xml:space="preserve">Part 14.8, Part 9 (INT-07)</w:t>
            </w:r>
          </w:p>
        </w:tc>
        <w:tc>
          <w:tcPr>
            <w:tcW w:type="dxa" w:w="4072"/>
            <w:tcMar>
              <w:top w:type="dxa" w:w="50"/>
              <w:left w:type="dxa" w:w="80"/>
              <w:bottom w:type="dxa" w:w="50"/>
              <w:right w:type="dxa" w:w="80"/>
            </w:tcMar>
            <w:vAlign w:val="top"/>
          </w:tcPr>
          <w:p>
            <w:r>
              <w:rPr>
                <w:b w:val="false"/>
                <w:bCs w:val="false"/>
                <w:color w:val="000000"/>
                <w:sz w:val="14"/>
                <w:szCs w:val="14"/>
              </w:rPr>
              <w:t xml:space="preserve">Confirm against the EA Blueprint's final deployment-target decision before implementation</w:t>
            </w:r>
          </w:p>
        </w:tc>
      </w:tr>
      <w:tr>
        <w:tc>
          <w:tcPr>
            <w:tcW w:type="dxa" w:w="522"/>
            <w:tcMar>
              <w:top w:type="dxa" w:w="50"/>
              <w:left w:type="dxa" w:w="80"/>
              <w:bottom w:type="dxa" w:w="50"/>
              <w:right w:type="dxa" w:w="80"/>
            </w:tcMar>
            <w:vAlign w:val="top"/>
          </w:tcPr>
          <w:p>
            <w:r>
              <w:rPr>
                <w:b/>
                <w:bCs/>
                <w:color w:val="000000"/>
                <w:sz w:val="14"/>
                <w:szCs w:val="14"/>
              </w:rPr>
              <w:t xml:space="preserve">5</w:t>
            </w:r>
          </w:p>
        </w:tc>
        <w:tc>
          <w:tcPr>
            <w:tcW w:type="dxa" w:w="4176"/>
            <w:tcMar>
              <w:top w:type="dxa" w:w="50"/>
              <w:left w:type="dxa" w:w="80"/>
              <w:bottom w:type="dxa" w:w="50"/>
              <w:right w:type="dxa" w:w="80"/>
            </w:tcMar>
            <w:vAlign w:val="top"/>
          </w:tcPr>
          <w:p>
            <w:r>
              <w:rPr>
                <w:b w:val="false"/>
                <w:bCs w:val="false"/>
                <w:color w:val="000000"/>
                <w:sz w:val="14"/>
                <w:szCs w:val="14"/>
              </w:rPr>
              <w:t xml:space="preserve">Three future integrations (ERP, M&amp;E, Financial Systems) have no named target system yet</w:t>
            </w:r>
          </w:p>
        </w:tc>
        <w:tc>
          <w:tcPr>
            <w:tcW w:type="dxa" w:w="1670"/>
            <w:tcMar>
              <w:top w:type="dxa" w:w="50"/>
              <w:left w:type="dxa" w:w="80"/>
              <w:bottom w:type="dxa" w:w="50"/>
              <w:right w:type="dxa" w:w="80"/>
            </w:tcMar>
            <w:vAlign w:val="top"/>
          </w:tcPr>
          <w:p>
            <w:r>
              <w:rPr>
                <w:b w:val="false"/>
                <w:bCs w:val="false"/>
                <w:color w:val="000000"/>
                <w:sz w:val="14"/>
                <w:szCs w:val="14"/>
              </w:rPr>
              <w:t xml:space="preserve">Part 9 (INT-10, 11, 12)</w:t>
            </w:r>
          </w:p>
        </w:tc>
        <w:tc>
          <w:tcPr>
            <w:tcW w:type="dxa" w:w="4072"/>
            <w:tcMar>
              <w:top w:type="dxa" w:w="50"/>
              <w:left w:type="dxa" w:w="80"/>
              <w:bottom w:type="dxa" w:w="50"/>
              <w:right w:type="dxa" w:w="80"/>
            </w:tcMar>
            <w:vAlign w:val="top"/>
          </w:tcPr>
          <w:p>
            <w:r>
              <w:rPr>
                <w:b w:val="false"/>
                <w:bCs w:val="false"/>
                <w:color w:val="000000"/>
                <w:sz w:val="14"/>
                <w:szCs w:val="14"/>
              </w:rPr>
              <w:t xml:space="preserve">Scope each fully as a separate mini-AIDS addendum once a specific target system is named, rather than attempting to firm up 'to be determined' fields speculatively now</w:t>
            </w:r>
          </w:p>
        </w:tc>
      </w:tr>
      <w:tr>
        <w:tc>
          <w:tcPr>
            <w:tcW w:type="dxa" w:w="522"/>
            <w:tcMar>
              <w:top w:type="dxa" w:w="50"/>
              <w:left w:type="dxa" w:w="80"/>
              <w:bottom w:type="dxa" w:w="50"/>
              <w:right w:type="dxa" w:w="80"/>
            </w:tcMar>
            <w:vAlign w:val="top"/>
          </w:tcPr>
          <w:p>
            <w:r>
              <w:rPr>
                <w:b/>
                <w:bCs/>
                <w:color w:val="000000"/>
                <w:sz w:val="14"/>
                <w:szCs w:val="14"/>
              </w:rPr>
              <w:t xml:space="preserve">6</w:t>
            </w:r>
          </w:p>
        </w:tc>
        <w:tc>
          <w:tcPr>
            <w:tcW w:type="dxa" w:w="4176"/>
            <w:tcMar>
              <w:top w:type="dxa" w:w="50"/>
              <w:left w:type="dxa" w:w="80"/>
              <w:bottom w:type="dxa" w:w="50"/>
              <w:right w:type="dxa" w:w="80"/>
            </w:tcMar>
            <w:vAlign w:val="top"/>
          </w:tcPr>
          <w:p>
            <w:r>
              <w:rPr>
                <w:b w:val="false"/>
                <w:bCs w:val="false"/>
                <w:color w:val="000000"/>
                <w:sz w:val="14"/>
                <w:szCs w:val="14"/>
              </w:rPr>
              <w:t xml:space="preserve">AI Services are entirely Phase 2 and require explicit client authorization before Antigravity builds them</w:t>
            </w:r>
          </w:p>
        </w:tc>
        <w:tc>
          <w:tcPr>
            <w:tcW w:type="dxa" w:w="1670"/>
            <w:tcMar>
              <w:top w:type="dxa" w:w="50"/>
              <w:left w:type="dxa" w:w="80"/>
              <w:bottom w:type="dxa" w:w="50"/>
              <w:right w:type="dxa" w:w="80"/>
            </w:tcMar>
            <w:vAlign w:val="top"/>
          </w:tcPr>
          <w:p>
            <w:r>
              <w:rPr>
                <w:b w:val="false"/>
                <w:bCs w:val="false"/>
                <w:color w:val="000000"/>
                <w:sz w:val="14"/>
                <w:szCs w:val="14"/>
              </w:rPr>
              <w:t xml:space="preserve">Part 12.1</w:t>
            </w:r>
          </w:p>
        </w:tc>
        <w:tc>
          <w:tcPr>
            <w:tcW w:type="dxa" w:w="4072"/>
            <w:tcMar>
              <w:top w:type="dxa" w:w="50"/>
              <w:left w:type="dxa" w:w="80"/>
              <w:bottom w:type="dxa" w:w="50"/>
              <w:right w:type="dxa" w:w="80"/>
            </w:tcMar>
            <w:vAlign w:val="top"/>
          </w:tcPr>
          <w:p>
            <w:r>
              <w:rPr>
                <w:b w:val="false"/>
                <w:bCs w:val="false"/>
                <w:color w:val="000000"/>
                <w:sz w:val="14"/>
                <w:szCs w:val="14"/>
              </w:rPr>
              <w:t xml:space="preserve">Reconfirm at the start of any Phase 2 planning discussion</w:t>
            </w:r>
          </w:p>
        </w:tc>
      </w:tr>
      <w:tr>
        <w:tc>
          <w:tcPr>
            <w:tcW w:type="dxa" w:w="522"/>
            <w:tcMar>
              <w:top w:type="dxa" w:w="50"/>
              <w:left w:type="dxa" w:w="80"/>
              <w:bottom w:type="dxa" w:w="50"/>
              <w:right w:type="dxa" w:w="80"/>
            </w:tcMar>
            <w:vAlign w:val="top"/>
          </w:tcPr>
          <w:p>
            <w:r>
              <w:rPr>
                <w:b/>
                <w:bCs/>
                <w:color w:val="000000"/>
                <w:sz w:val="14"/>
                <w:szCs w:val="14"/>
              </w:rPr>
              <w:t xml:space="preserve">7</w:t>
            </w:r>
          </w:p>
        </w:tc>
        <w:tc>
          <w:tcPr>
            <w:tcW w:type="dxa" w:w="4176"/>
            <w:tcMar>
              <w:top w:type="dxa" w:w="50"/>
              <w:left w:type="dxa" w:w="80"/>
              <w:bottom w:type="dxa" w:w="50"/>
              <w:right w:type="dxa" w:w="80"/>
            </w:tcMar>
            <w:vAlign w:val="top"/>
          </w:tcPr>
          <w:p>
            <w:r>
              <w:rPr>
                <w:b w:val="false"/>
                <w:bCs w:val="false"/>
                <w:color w:val="000000"/>
                <w:sz w:val="14"/>
                <w:szCs w:val="14"/>
              </w:rPr>
              <w:t xml:space="preserve">File size ceilings (25MB Document, 10MB MediaAsset) and the three-tier rate-limit allowances are Phase 1 starting points, not permanently fixed</w:t>
            </w:r>
          </w:p>
        </w:tc>
        <w:tc>
          <w:tcPr>
            <w:tcW w:type="dxa" w:w="1670"/>
            <w:tcMar>
              <w:top w:type="dxa" w:w="50"/>
              <w:left w:type="dxa" w:w="80"/>
              <w:bottom w:type="dxa" w:w="50"/>
              <w:right w:type="dxa" w:w="80"/>
            </w:tcMar>
            <w:vAlign w:val="top"/>
          </w:tcPr>
          <w:p>
            <w:r>
              <w:rPr>
                <w:b w:val="false"/>
                <w:bCs w:val="false"/>
                <w:color w:val="000000"/>
                <w:sz w:val="14"/>
                <w:szCs w:val="14"/>
              </w:rPr>
              <w:t xml:space="preserve">Part 11.7, Part 13.5</w:t>
            </w:r>
          </w:p>
        </w:tc>
        <w:tc>
          <w:tcPr>
            <w:tcW w:type="dxa" w:w="4072"/>
            <w:tcMar>
              <w:top w:type="dxa" w:w="50"/>
              <w:left w:type="dxa" w:w="80"/>
              <w:bottom w:type="dxa" w:w="50"/>
              <w:right w:type="dxa" w:w="80"/>
            </w:tcMar>
            <w:vAlign w:val="top"/>
          </w:tcPr>
          <w:p>
            <w:r>
              <w:rPr>
                <w:b w:val="false"/>
                <w:bCs w:val="false"/>
                <w:color w:val="000000"/>
                <w:sz w:val="14"/>
                <w:szCs w:val="14"/>
              </w:rPr>
              <w:t xml:space="preserve">Revisit after 6 months of production usage data if actual patterns diverge from these projections</w:t>
            </w:r>
          </w:p>
        </w:tc>
      </w:tr>
      <w:tr>
        <w:tc>
          <w:tcPr>
            <w:tcW w:type="dxa" w:w="522"/>
            <w:tcMar>
              <w:top w:type="dxa" w:w="50"/>
              <w:left w:type="dxa" w:w="80"/>
              <w:bottom w:type="dxa" w:w="50"/>
              <w:right w:type="dxa" w:w="80"/>
            </w:tcMar>
            <w:vAlign w:val="top"/>
          </w:tcPr>
          <w:p>
            <w:r>
              <w:rPr>
                <w:b/>
                <w:bCs/>
                <w:color w:val="000000"/>
                <w:sz w:val="14"/>
                <w:szCs w:val="14"/>
              </w:rPr>
              <w:t xml:space="preserve">8</w:t>
            </w:r>
          </w:p>
        </w:tc>
        <w:tc>
          <w:tcPr>
            <w:tcW w:type="dxa" w:w="4176"/>
            <w:tcMar>
              <w:top w:type="dxa" w:w="50"/>
              <w:left w:type="dxa" w:w="80"/>
              <w:bottom w:type="dxa" w:w="50"/>
              <w:right w:type="dxa" w:w="80"/>
            </w:tcMar>
            <w:vAlign w:val="top"/>
          </w:tcPr>
          <w:p>
            <w:r>
              <w:rPr>
                <w:b w:val="false"/>
                <w:bCs w:val="false"/>
                <w:color w:val="000000"/>
                <w:sz w:val="14"/>
                <w:szCs w:val="14"/>
              </w:rPr>
              <w:t xml:space="preserve">A lightweight, single-technical-lead change-control process (Part 15.7) is proportionate to Phase 1's team size and timeline</w:t>
            </w:r>
          </w:p>
        </w:tc>
        <w:tc>
          <w:tcPr>
            <w:tcW w:type="dxa" w:w="1670"/>
            <w:tcMar>
              <w:top w:type="dxa" w:w="50"/>
              <w:left w:type="dxa" w:w="80"/>
              <w:bottom w:type="dxa" w:w="50"/>
              <w:right w:type="dxa" w:w="80"/>
            </w:tcMar>
            <w:vAlign w:val="top"/>
          </w:tcPr>
          <w:p>
            <w:r>
              <w:rPr>
                <w:b w:val="false"/>
                <w:bCs w:val="false"/>
                <w:color w:val="000000"/>
                <w:sz w:val="14"/>
                <w:szCs w:val="14"/>
              </w:rPr>
              <w:t xml:space="preserve">Part 15.7</w:t>
            </w:r>
          </w:p>
        </w:tc>
        <w:tc>
          <w:tcPr>
            <w:tcW w:type="dxa" w:w="4072"/>
            <w:tcMar>
              <w:top w:type="dxa" w:w="50"/>
              <w:left w:type="dxa" w:w="80"/>
              <w:bottom w:type="dxa" w:w="50"/>
              <w:right w:type="dxa" w:w="80"/>
            </w:tcMar>
            <w:vAlign w:val="top"/>
          </w:tcPr>
          <w:p>
            <w:r>
              <w:rPr>
                <w:b w:val="false"/>
                <w:bCs w:val="false"/>
                <w:color w:val="000000"/>
                <w:sz w:val="14"/>
                <w:szCs w:val="14"/>
              </w:rPr>
              <w:t xml:space="preserve">Revisit as a governance maturity improvement once the platform has multiple API consumer teams beyond the original web client</w:t>
            </w:r>
          </w:p>
        </w:tc>
      </w:tr>
    </w:tbl>
    <w:p>
      <w:pPr>
        <w:spacing w:after="160"/>
      </w:pPr>
    </w:p>
    <w:p>
      <w:pPr>
        <w:pStyle w:val="Heading1"/>
        <w:pBdr>
          <w:bottom w:val="single" w:color="1F5C3B" w:sz="6" w:space="4"/>
        </w:pBdr>
        <w:spacing w:after="130" w:before="320"/>
      </w:pPr>
      <w:r>
        <w:t xml:space="preserve">19.9 Review Conclusion</w:t>
      </w:r>
    </w:p>
    <w:p>
      <w:pPr>
        <w:spacing w:after="150" w:line="276"/>
        <w:jc w:val="both"/>
      </w:pPr>
      <w:r>
        <w:t xml:space="preserve">This API &amp; Integration Design Specification is assessed as implementation-ready for Phase 1 of the SAPZ ESM Platform and Central Knowledge Repository: every resource traces to an approved requirement via the DDS, no duplicate endpoints exist, naming is consistent by construction, authentication and authorization flows are complete and uniformly applied, error handling is comprehensive across eight categories with no unresolved gaps, and every non-obvious design decision — including the eight consolidated assumptions above — is stated explicitly rather than left for Antigravity to infer. Together with the DDS's 19 Parts, the SRS's 39 Parts, the Antigravity and OpenDesign Handoff Packages, and this AIDS's own 19 Parts, this document set gives a development team the complete data, requirements, and API/integration design surface needed to begin backend implementation.</w:t>
      </w:r>
    </w:p>
    <w:sectPr>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pPr>
    <w:rPr>
      <w:rFonts w:ascii="Arial" w:cs="Arial" w:eastAsia="Arial" w:hAnsi="Arial"/>
      <w:b/>
      <w:bCs/>
      <w:color w:val="1F5C3B"/>
      <w:sz w:val="24"/>
      <w:szCs w:val="24"/>
    </w:rPr>
  </w:style>
  <w:style w:type="paragraph" w:styleId="Heading2">
    <w:name w:val="Heading 2"/>
    <w:basedOn w:val="Normal"/>
    <w:next w:val="Normal"/>
    <w:qFormat/>
    <w:pPr>
      <w:spacing w:after="100" w:before="220"/>
    </w:pPr>
    <w:rPr>
      <w:rFonts w:ascii="Arial" w:cs="Arial" w:eastAsia="Arial" w:hAnsi="Arial"/>
      <w:b/>
      <w:bCs/>
      <w:color w:val="2E8B57"/>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2026-07-19T10:01:14.496Z</dcterms:created>
  <dcterms:modified xsi:type="dcterms:W3CDTF">2026-07-19T10:01:14.496Z</dcterms:modified>
</cp:coreProperties>
</file>

<file path=docProps/custom.xml><?xml version="1.0" encoding="utf-8"?>
<Properties xmlns="http://schemas.openxmlformats.org/officeDocument/2006/custom-properties" xmlns:vt="http://schemas.openxmlformats.org/officeDocument/2006/docPropsVTypes"/>
</file>