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EBEE1" w14:textId="77777777" w:rsidR="00940ACA" w:rsidRPr="00940ACA" w:rsidRDefault="00940ACA" w:rsidP="00940ACA">
      <w:pPr>
        <w:pStyle w:val="Heading1"/>
        <w:rPr>
          <w:rFonts w:eastAsia="Times New Roman"/>
          <w:lang w:eastAsia="en-GB"/>
        </w:rPr>
      </w:pPr>
      <w:r w:rsidRPr="00940ACA">
        <w:rPr>
          <w:rFonts w:eastAsia="Times New Roman"/>
          <w:lang w:eastAsia="en-GB"/>
        </w:rPr>
        <w:lastRenderedPageBreak/>
        <w:t>5. Engineering Principles</w:t>
      </w:r>
    </w:p>
    <w:p w14:paraId="1D8D6AD9"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5548C7A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(ESM) &amp; Central Knowledge Repository (CKR)</w:t>
      </w:r>
    </w:p>
    <w:p w14:paraId="641FE35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3661C871"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60535B3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11F2633">
          <v:rect id="Horizontal Line 218"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DFF1D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5.1 Purpose</w:t>
      </w:r>
    </w:p>
    <w:p w14:paraId="424EF97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Engineering Principles define the </w:t>
      </w:r>
      <w:r w:rsidRPr="00940ACA">
        <w:rPr>
          <w:rFonts w:ascii="Times New Roman" w:eastAsia="Times New Roman" w:hAnsi="Times New Roman" w:cs="Times New Roman"/>
          <w:b/>
          <w:bCs/>
          <w:kern w:val="0"/>
          <w:lang w:eastAsia="en-GB"/>
          <w14:ligatures w14:val="none"/>
        </w:rPr>
        <w:t>non-negotiable standards</w:t>
      </w:r>
      <w:r w:rsidRPr="00940ACA">
        <w:rPr>
          <w:rFonts w:ascii="Times New Roman" w:eastAsia="Times New Roman" w:hAnsi="Times New Roman" w:cs="Times New Roman"/>
          <w:kern w:val="0"/>
          <w:lang w:eastAsia="en-GB"/>
          <w14:ligatures w14:val="none"/>
        </w:rPr>
        <w:t xml:space="preserve"> that govern every engineering decision throughout the lifecycle of the SAPZ Enterprise System Management (ESM) Platform and Central Knowledge Repository (CKR).</w:t>
      </w:r>
    </w:p>
    <w:p w14:paraId="6AC6057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principles serve as the engineering constitution for the project. They establish how decisions are made, how trade-offs are evaluated, and how quality, security, maintainability, and sustainability are preserved across all disciplines, including architecture, software engineering, DevSecOps, data engineering, user experience, quality assurance, artificial intelligence, and operations.</w:t>
      </w:r>
    </w:p>
    <w:p w14:paraId="49CC133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member of the engineering team, including Antigravity, shall adhere to these principles throughout planning, design, implementation, testing, deployment, and operational support.</w:t>
      </w:r>
    </w:p>
    <w:p w14:paraId="3509601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BD4F211">
          <v:rect id="Horizontal Line 217"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3B961E0"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5.2 Engineering Philosophy</w:t>
      </w:r>
    </w:p>
    <w:p w14:paraId="39EC955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success is measured not by the amount of code written, but by the value delivered to the SAPZ Programme.</w:t>
      </w:r>
    </w:p>
    <w:p w14:paraId="4429B83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engineered as a long-term strategic asset that improves programme effectiveness, strengthens governance, preserves institutional knowledge, and supports future digital transformation.</w:t>
      </w:r>
    </w:p>
    <w:p w14:paraId="0F8DFE9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prioritize:</w:t>
      </w:r>
    </w:p>
    <w:p w14:paraId="556D8994"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value over technical novelty.</w:t>
      </w:r>
    </w:p>
    <w:p w14:paraId="6643C39C"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Simplicity over unnecessary complexity.</w:t>
      </w:r>
    </w:p>
    <w:p w14:paraId="50B43780"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Maintainability over short-term convenience.</w:t>
      </w:r>
    </w:p>
    <w:p w14:paraId="2CC1FEB2"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over speed.</w:t>
      </w:r>
    </w:p>
    <w:p w14:paraId="2954BA4C"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Reliability over feature quantity.</w:t>
      </w:r>
    </w:p>
    <w:p w14:paraId="327BC1F6"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 adoption over feature proliferation.</w:t>
      </w:r>
    </w:p>
    <w:p w14:paraId="50CCD7BA" w14:textId="77777777" w:rsidR="00940ACA" w:rsidRPr="00940ACA" w:rsidRDefault="00940ACA" w:rsidP="00940ACA">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Sustainability over rapid delivery.</w:t>
      </w:r>
    </w:p>
    <w:p w14:paraId="5D7CE0D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architectural and implementation decision must contribute to the long-term success of the SAPZ Programme.</w:t>
      </w:r>
    </w:p>
    <w:p w14:paraId="1ACABC5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C9A7513">
          <v:rect id="Horizontal Line 216"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EA8822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5.3 Core Engineering Principles</w:t>
      </w:r>
    </w:p>
    <w:p w14:paraId="51966B4F"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 — Business Value First</w:t>
      </w:r>
    </w:p>
    <w:p w14:paraId="129F9EA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activity must solve a validated business problem.</w:t>
      </w:r>
    </w:p>
    <w:p w14:paraId="109718A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 feature, component, workflow, or integration shall be implemented solely because it is technically interesting or fashionable.</w:t>
      </w:r>
    </w:p>
    <w:p w14:paraId="0F9AB02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Each implementation must be traceable to:</w:t>
      </w:r>
    </w:p>
    <w:p w14:paraId="3C642241"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Approved business requirements.</w:t>
      </w:r>
    </w:p>
    <w:p w14:paraId="6882F4E6"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Software Requirements Specification (SRS).</w:t>
      </w:r>
    </w:p>
    <w:p w14:paraId="02F9FADE"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Product Definition Document (PDD).</w:t>
      </w:r>
    </w:p>
    <w:p w14:paraId="4B19CBEC"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Enterprise Architecture Blueprint.</w:t>
      </w:r>
    </w:p>
    <w:p w14:paraId="37B0FC32" w14:textId="77777777" w:rsidR="00940ACA" w:rsidRPr="00940ACA" w:rsidRDefault="00940ACA" w:rsidP="00940ACA">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Terms of Reference (TOR).</w:t>
      </w:r>
    </w:p>
    <w:p w14:paraId="1BC7E46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If a feature cannot be traced to an approved requirement, it shall not be implemented without formal approval through the project's change management process.</w:t>
      </w:r>
    </w:p>
    <w:p w14:paraId="5E912B6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9E49349">
          <v:rect id="Horizontal Line 215" o:spid="_x0000_s10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3A601E"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2 — Requirements Traceability</w:t>
      </w:r>
    </w:p>
    <w:p w14:paraId="148608A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artifact shall maintain end-to-end traceability.</w:t>
      </w:r>
    </w:p>
    <w:p w14:paraId="75060F5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Traceability shall exist between:</w:t>
      </w:r>
    </w:p>
    <w:p w14:paraId="04882B78" w14:textId="77777777" w:rsidR="00940ACA" w:rsidRPr="00940ACA" w:rsidRDefault="00940ACA" w:rsidP="00940ACA">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Requirement → Functional Requirement → User Story → Architecture → Database → API → Source Code → Test Cases → Deployment → User Documentation.</w:t>
      </w:r>
    </w:p>
    <w:p w14:paraId="76F8556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Requirements Traceability Matrix (RTM) shall be maintained throughout the project lifecycle.</w:t>
      </w:r>
    </w:p>
    <w:p w14:paraId="2FF18D8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No implementation shall exist without corresponding requirements, design documentation, and acceptance criteria.</w:t>
      </w:r>
    </w:p>
    <w:p w14:paraId="60CFAC4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5BE7F8A">
          <v:rect id="Horizontal Line 214"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1185D3"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lastRenderedPageBreak/>
        <w:t>Principle 3 — Simplicity Before Complexity</w:t>
      </w:r>
    </w:p>
    <w:p w14:paraId="2D47BB8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solutions shall be as simple as possible while satisfying all functional, security, and non-functional requirements.</w:t>
      </w:r>
    </w:p>
    <w:p w14:paraId="33F3108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avoid:</w:t>
      </w:r>
    </w:p>
    <w:p w14:paraId="0ECCD725"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Over-engineering.</w:t>
      </w:r>
    </w:p>
    <w:p w14:paraId="63665558"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Premature optimization.</w:t>
      </w:r>
    </w:p>
    <w:p w14:paraId="67E505EE"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Unnecessary abstraction.</w:t>
      </w:r>
    </w:p>
    <w:p w14:paraId="58216A0E"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Excessive customization.</w:t>
      </w:r>
    </w:p>
    <w:p w14:paraId="14EE78D3" w14:textId="77777777" w:rsidR="00940ACA" w:rsidRPr="00940ACA" w:rsidRDefault="00940ACA" w:rsidP="00940ACA">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Complex dependency chains.</w:t>
      </w:r>
    </w:p>
    <w:p w14:paraId="1B9DF30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Simple, understandable solutions are preferred over sophisticated implementations that increase operational complexity without measurable value.</w:t>
      </w:r>
    </w:p>
    <w:p w14:paraId="1581D646"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288A37">
          <v:rect id="Horizontal Line 213"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05F6C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4 — Modular Architecture</w:t>
      </w:r>
    </w:p>
    <w:p w14:paraId="4CD8DE6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organized into cohesive, loosely coupled modules with clearly defined responsibilities.</w:t>
      </w:r>
    </w:p>
    <w:p w14:paraId="36D7D78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Each module shall:</w:t>
      </w:r>
    </w:p>
    <w:p w14:paraId="11750B6D"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Encapsulate a distinct business capability.</w:t>
      </w:r>
    </w:p>
    <w:p w14:paraId="524407D9"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Expose well-defined interfaces.</w:t>
      </w:r>
    </w:p>
    <w:p w14:paraId="16EDF2F7"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Minimize dependencies.</w:t>
      </w:r>
    </w:p>
    <w:p w14:paraId="418EAD1F"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independent testing.</w:t>
      </w:r>
    </w:p>
    <w:p w14:paraId="19944B5E" w14:textId="77777777" w:rsidR="00940ACA" w:rsidRPr="00940ACA" w:rsidRDefault="00940ACA" w:rsidP="00940ACA">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Facilitate future enhancement and reuse.</w:t>
      </w:r>
    </w:p>
    <w:p w14:paraId="691C051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Changes to one module should not introduce unintended impacts on unrelated components.</w:t>
      </w:r>
    </w:p>
    <w:p w14:paraId="72FC99D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CD7B5F">
          <v:rect id="Horizontal Line 212"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FA801A3"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5 — API-First Engineering</w:t>
      </w:r>
    </w:p>
    <w:p w14:paraId="4B53AD3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business capabilities shall be accessible through secure, standards-based APIs.</w:t>
      </w:r>
    </w:p>
    <w:p w14:paraId="64282EF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APIs shall:</w:t>
      </w:r>
    </w:p>
    <w:p w14:paraId="749F2886"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Follow RESTful principles (unless otherwise justified).</w:t>
      </w:r>
    </w:p>
    <w:p w14:paraId="18E2989D"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Be versioned.</w:t>
      </w:r>
    </w:p>
    <w:p w14:paraId="48058325"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Be documented using OpenAPI/Swagger.</w:t>
      </w:r>
    </w:p>
    <w:p w14:paraId="1685008E"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Return consistent responses.</w:t>
      </w:r>
    </w:p>
    <w:p w14:paraId="07730076"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 secure authentication and authorization.</w:t>
      </w:r>
    </w:p>
    <w:p w14:paraId="61E55D2C" w14:textId="77777777" w:rsidR="00940ACA" w:rsidRPr="00940ACA" w:rsidRDefault="00940ACA" w:rsidP="00940ACA">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Include structured error handling.</w:t>
      </w:r>
    </w:p>
    <w:p w14:paraId="3734449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 interfaces shall consume these APIs rather than bypassing the service layer.</w:t>
      </w:r>
    </w:p>
    <w:p w14:paraId="6B37318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3CE9B5A">
          <v:rect id="Horizontal Line 211"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73495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6 — Security by Design</w:t>
      </w:r>
    </w:p>
    <w:p w14:paraId="44D0F42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integrated into every layer of the platform.</w:t>
      </w:r>
    </w:p>
    <w:p w14:paraId="1F3377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includes:</w:t>
      </w:r>
    </w:p>
    <w:p w14:paraId="1487C213"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architecture.</w:t>
      </w:r>
    </w:p>
    <w:p w14:paraId="372D1B22"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 and Access Management (IAM).</w:t>
      </w:r>
    </w:p>
    <w:p w14:paraId="5876C516"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Role-Based Access Control (RBAC).</w:t>
      </w:r>
    </w:p>
    <w:p w14:paraId="5F73BFBF"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Encryption in transit and at rest.</w:t>
      </w:r>
    </w:p>
    <w:p w14:paraId="768FEBA8"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API design.</w:t>
      </w:r>
    </w:p>
    <w:p w14:paraId="0A50941B"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Input validation.</w:t>
      </w:r>
    </w:p>
    <w:p w14:paraId="504E7DE4"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coding practices.</w:t>
      </w:r>
    </w:p>
    <w:p w14:paraId="6E40628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logging.</w:t>
      </w:r>
    </w:p>
    <w:p w14:paraId="370FBE1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Secrets management.</w:t>
      </w:r>
    </w:p>
    <w:p w14:paraId="71FB4580" w14:textId="77777777" w:rsidR="00940ACA" w:rsidRPr="00940ACA" w:rsidRDefault="00940ACA" w:rsidP="00940ACA">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 hardening.</w:t>
      </w:r>
    </w:p>
    <w:p w14:paraId="4FA6299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engineering outputs shall align with recognized security best practices, including the OWASP Top 10 and applicable Nigerian data protection requirements.</w:t>
      </w:r>
    </w:p>
    <w:p w14:paraId="3496B43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D2825F4">
          <v:rect id="Horizontal Line 210"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8C6F7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7 — Privacy by Design</w:t>
      </w:r>
    </w:p>
    <w:p w14:paraId="6A9CAE4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Personal and sensitive programme information shall be collected, processed, stored, and shared only where necessary and in accordance with approved policies and applicable regulations.</w:t>
      </w:r>
    </w:p>
    <w:p w14:paraId="17D78E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implement:</w:t>
      </w:r>
    </w:p>
    <w:p w14:paraId="438E053F"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minimization.</w:t>
      </w:r>
    </w:p>
    <w:p w14:paraId="3A6C1342"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Purpose limitation.</w:t>
      </w:r>
    </w:p>
    <w:p w14:paraId="5F2BAEDB"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retention.</w:t>
      </w:r>
    </w:p>
    <w:p w14:paraId="29DFE645"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Controlled access.</w:t>
      </w:r>
    </w:p>
    <w:p w14:paraId="0D91AF53"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deletion.</w:t>
      </w:r>
    </w:p>
    <w:p w14:paraId="28FFB6DB" w14:textId="77777777" w:rsidR="00940ACA" w:rsidRPr="00940ACA" w:rsidRDefault="00940ACA" w:rsidP="00940ACA">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auditability.</w:t>
      </w:r>
    </w:p>
    <w:p w14:paraId="7516AFC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050A40">
          <v:rect id="Horizontal Line 209"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620BF6"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8 — Scalability by Design</w:t>
      </w:r>
    </w:p>
    <w:p w14:paraId="0671855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growth without fundamental redesign.</w:t>
      </w:r>
    </w:p>
    <w:p w14:paraId="4C15B540"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must scale across:</w:t>
      </w:r>
    </w:p>
    <w:p w14:paraId="77D723C5"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Users.</w:t>
      </w:r>
    </w:p>
    <w:p w14:paraId="138438BA"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Projects.</w:t>
      </w:r>
    </w:p>
    <w:p w14:paraId="5280EA4C"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States.</w:t>
      </w:r>
    </w:p>
    <w:p w14:paraId="36A93E53"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Documents.</w:t>
      </w:r>
    </w:p>
    <w:p w14:paraId="15C8D264"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assets.</w:t>
      </w:r>
    </w:p>
    <w:p w14:paraId="543C10CE"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Workflows.</w:t>
      </w:r>
    </w:p>
    <w:p w14:paraId="1F5D9DCF"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Integrations.</w:t>
      </w:r>
    </w:p>
    <w:p w14:paraId="657BC20C"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Reports.</w:t>
      </w:r>
    </w:p>
    <w:p w14:paraId="57D03ADF" w14:textId="77777777" w:rsidR="00940ACA" w:rsidRPr="00940ACA" w:rsidRDefault="00940ACA" w:rsidP="00940ACA">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volumes.</w:t>
      </w:r>
    </w:p>
    <w:p w14:paraId="6A6F682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decisions should anticipate future expansion while avoiding unnecessary complexity in the initial implementation.</w:t>
      </w:r>
    </w:p>
    <w:p w14:paraId="4EFBBCFE"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337632B">
          <v:rect id="Horizontal Line 208"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A8E3CC8"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9 — Cloud-Ready Architecture</w:t>
      </w:r>
    </w:p>
    <w:p w14:paraId="2DBE9CB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remain deployable across:</w:t>
      </w:r>
    </w:p>
    <w:p w14:paraId="048E42EB"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On-premises environments.</w:t>
      </w:r>
    </w:p>
    <w:p w14:paraId="60A9D436"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Private cloud.</w:t>
      </w:r>
    </w:p>
    <w:p w14:paraId="6E3F0736"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Public cloud.</w:t>
      </w:r>
    </w:p>
    <w:p w14:paraId="03049C88" w14:textId="77777777" w:rsidR="00940ACA" w:rsidRPr="00940ACA" w:rsidRDefault="00940ACA" w:rsidP="00940ACA">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Hybrid infrastructure.</w:t>
      </w:r>
    </w:p>
    <w:p w14:paraId="62F5AEE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 choices shall not restrict future migration or infrastructure evolution.</w:t>
      </w:r>
    </w:p>
    <w:p w14:paraId="06438ED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CD8CEC1">
          <v:rect id="Horizontal Line 207"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CAA990"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10 — Quality by Default</w:t>
      </w:r>
    </w:p>
    <w:p w14:paraId="41D7D7A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Quality shall be embedded throughout the software development lifecycle.</w:t>
      </w:r>
    </w:p>
    <w:p w14:paraId="1078C91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artifact shall undergo:</w:t>
      </w:r>
    </w:p>
    <w:p w14:paraId="04C6F2F0"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Peer review.</w:t>
      </w:r>
    </w:p>
    <w:p w14:paraId="5F629F87"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Static analysis.</w:t>
      </w:r>
    </w:p>
    <w:p w14:paraId="658EDCAD"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testing.</w:t>
      </w:r>
    </w:p>
    <w:p w14:paraId="34B4C27F"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 testing.</w:t>
      </w:r>
    </w:p>
    <w:p w14:paraId="15966053"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validation.</w:t>
      </w:r>
    </w:p>
    <w:p w14:paraId="44FA0FFE" w14:textId="77777777" w:rsidR="00940ACA" w:rsidRPr="00940ACA" w:rsidRDefault="00940ACA" w:rsidP="00940ACA">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acceptance testing.</w:t>
      </w:r>
    </w:p>
    <w:p w14:paraId="484453D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Defect prevention is preferred over defect correction.</w:t>
      </w:r>
    </w:p>
    <w:p w14:paraId="0050833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58501C1">
          <v:rect id="Horizontal Line 206"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C7C73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11 — Automation Wherever Practical</w:t>
      </w:r>
    </w:p>
    <w:p w14:paraId="2A31DC0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automate repetitive processes wherever practical, including:</w:t>
      </w:r>
    </w:p>
    <w:p w14:paraId="55D2BB01"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Builds.</w:t>
      </w:r>
    </w:p>
    <w:p w14:paraId="105CF3A0"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Testing.</w:t>
      </w:r>
    </w:p>
    <w:p w14:paraId="58FB07EE"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Code quality analysis.</w:t>
      </w:r>
    </w:p>
    <w:p w14:paraId="316C2841"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scanning.</w:t>
      </w:r>
    </w:p>
    <w:p w14:paraId="1D510395"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Deployments.</w:t>
      </w:r>
    </w:p>
    <w:p w14:paraId="480326EC"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Infrastructure provisioning.</w:t>
      </w:r>
    </w:p>
    <w:p w14:paraId="3BF903A0"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w:t>
      </w:r>
    </w:p>
    <w:p w14:paraId="5B0CED6F"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Backup verification.</w:t>
      </w:r>
    </w:p>
    <w:p w14:paraId="19FDB323" w14:textId="77777777" w:rsidR="00940ACA" w:rsidRPr="00940ACA" w:rsidRDefault="00940ACA" w:rsidP="00940ACA">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generation.</w:t>
      </w:r>
    </w:p>
    <w:p w14:paraId="34CE0A3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Automation improves consistency, reduces human error, and accelerates delivery.</w:t>
      </w:r>
    </w:p>
    <w:p w14:paraId="5F6A21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0346C70">
          <v:rect id="Horizontal Line 205"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854688"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12 — Observability by Design</w:t>
      </w:r>
    </w:p>
    <w:p w14:paraId="64EF7F9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 comprehensive operational visibility.</w:t>
      </w:r>
    </w:p>
    <w:p w14:paraId="52FE6F7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component shall produce:</w:t>
      </w:r>
    </w:p>
    <w:p w14:paraId="0606F722"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Structured logs.</w:t>
      </w:r>
    </w:p>
    <w:p w14:paraId="54439117"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metrics.</w:t>
      </w:r>
    </w:p>
    <w:p w14:paraId="3F2212F8"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Distributed traces (where applicable).</w:t>
      </w:r>
    </w:p>
    <w:p w14:paraId="193E985A"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Health indicators.</w:t>
      </w:r>
    </w:p>
    <w:p w14:paraId="11676986"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 events.</w:t>
      </w:r>
    </w:p>
    <w:p w14:paraId="4747EF54" w14:textId="77777777" w:rsidR="00940ACA" w:rsidRPr="00940ACA" w:rsidRDefault="00940ACA" w:rsidP="00940ACA">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alerts.</w:t>
      </w:r>
    </w:p>
    <w:p w14:paraId="2DB5457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Observability shall support proactive monitoring, troubleshooting, capacity planning, and service improvement.</w:t>
      </w:r>
    </w:p>
    <w:p w14:paraId="1E36481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A7592DA">
          <v:rect id="Horizontal Line 204"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3793344"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13 — Documentation as a Deliverable</w:t>
      </w:r>
    </w:p>
    <w:p w14:paraId="7BB06A0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is an engineering deliverable, not an afterthought.</w:t>
      </w:r>
    </w:p>
    <w:p w14:paraId="39E1775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maintain:</w:t>
      </w:r>
    </w:p>
    <w:p w14:paraId="19AB75B5"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Architecture documentation.</w:t>
      </w:r>
    </w:p>
    <w:p w14:paraId="61CF7053"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API documentation.</w:t>
      </w:r>
    </w:p>
    <w:p w14:paraId="6E151C9B"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Database documentation.</w:t>
      </w:r>
    </w:p>
    <w:p w14:paraId="3AF75B33"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Deployment guides.</w:t>
      </w:r>
    </w:p>
    <w:p w14:paraId="3E7274CA"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procedures.</w:t>
      </w:r>
    </w:p>
    <w:p w14:paraId="47F74B3D"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Administrator guides.</w:t>
      </w:r>
    </w:p>
    <w:p w14:paraId="750E458A"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manuals.</w:t>
      </w:r>
    </w:p>
    <w:p w14:paraId="3F8EABEE"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Configuration references.</w:t>
      </w:r>
    </w:p>
    <w:p w14:paraId="5F669968" w14:textId="77777777" w:rsidR="00940ACA" w:rsidRPr="00940ACA" w:rsidRDefault="00940ACA" w:rsidP="00940ACA">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Architecture Decision Records (ADRs).</w:t>
      </w:r>
    </w:p>
    <w:p w14:paraId="7E1823B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Documentation shall be version-controlled and maintained alongside the solution.</w:t>
      </w:r>
    </w:p>
    <w:p w14:paraId="7F1F03C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A37E06E">
          <v:rect id="Horizontal Line 203"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3E03969"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14 — Accessibility and Inclusive Design</w:t>
      </w:r>
    </w:p>
    <w:p w14:paraId="2C076EC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designed to support a diverse user community.</w:t>
      </w:r>
    </w:p>
    <w:p w14:paraId="3432796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teams shall strive to meet recognized accessibility standards (such as WCAG 2.1 AA where practical), ensuring that users with varying abilities can effectively interact with the platform.</w:t>
      </w:r>
    </w:p>
    <w:p w14:paraId="0F68307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Accessibility considerations include:</w:t>
      </w:r>
    </w:p>
    <w:p w14:paraId="2B185372"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Keyboard navigation.</w:t>
      </w:r>
    </w:p>
    <w:p w14:paraId="5F460CCF"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Screen reader compatibility.</w:t>
      </w:r>
    </w:p>
    <w:p w14:paraId="1D665D95"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Sufficient color contrast.</w:t>
      </w:r>
    </w:p>
    <w:p w14:paraId="7B20E4AF"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Responsive layouts.</w:t>
      </w:r>
    </w:p>
    <w:p w14:paraId="37F1F952"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 navigation.</w:t>
      </w:r>
    </w:p>
    <w:p w14:paraId="58F6A045" w14:textId="77777777" w:rsidR="00940ACA" w:rsidRPr="00940ACA" w:rsidRDefault="00940ACA" w:rsidP="00940ACA">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 interaction patterns.</w:t>
      </w:r>
    </w:p>
    <w:p w14:paraId="086F5CF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5A1205F">
          <v:rect id="Horizontal Line 202"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34E7122"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15 — Sustainability and Maintainability</w:t>
      </w:r>
    </w:p>
    <w:p w14:paraId="6356F36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be engineered for long-term sustainability.</w:t>
      </w:r>
    </w:p>
    <w:p w14:paraId="19C580C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decisions shall prioritize:</w:t>
      </w:r>
    </w:p>
    <w:p w14:paraId="48EA2683"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Readable code.</w:t>
      </w:r>
    </w:p>
    <w:p w14:paraId="59D44FB9"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 architecture.</w:t>
      </w:r>
    </w:p>
    <w:p w14:paraId="410347C5"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Low technical debt.</w:t>
      </w:r>
    </w:p>
    <w:p w14:paraId="35E5290F"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Reusable components.</w:t>
      </w:r>
    </w:p>
    <w:p w14:paraId="3364EBC8"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 documentation.</w:t>
      </w:r>
    </w:p>
    <w:p w14:paraId="41B62E80"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Testability.</w:t>
      </w:r>
    </w:p>
    <w:p w14:paraId="0522ABFC" w14:textId="77777777" w:rsidR="00940ACA" w:rsidRPr="00940ACA" w:rsidRDefault="00940ACA" w:rsidP="00940ACA">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Ease of enhancement.</w:t>
      </w:r>
    </w:p>
    <w:p w14:paraId="1E2CA0F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should remain maintainable by future engineering teams without reliance on undocumented knowledge.</w:t>
      </w:r>
    </w:p>
    <w:p w14:paraId="3127E2F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73CA070">
          <v:rect id="Horizontal Line 201"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3B299F"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16 — Artificial Intelligence with Responsible Governance</w:t>
      </w:r>
    </w:p>
    <w:p w14:paraId="12B8975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Where AI capabilities are implemented, they shall be:</w:t>
      </w:r>
    </w:p>
    <w:p w14:paraId="4E920778"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Transparent.</w:t>
      </w:r>
    </w:p>
    <w:p w14:paraId="533568E6"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Explainable where feasible.</w:t>
      </w:r>
    </w:p>
    <w:p w14:paraId="43062562"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w:t>
      </w:r>
    </w:p>
    <w:p w14:paraId="5DD4F4AB"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Subject to human oversight.</w:t>
      </w:r>
    </w:p>
    <w:p w14:paraId="4DBB3CAE"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Configurable.</w:t>
      </w:r>
    </w:p>
    <w:p w14:paraId="2313C304" w14:textId="77777777" w:rsidR="00940ACA" w:rsidRPr="00940ACA" w:rsidRDefault="00940ACA" w:rsidP="00940ACA">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Clearly distinguished from deterministic system functionality.</w:t>
      </w:r>
    </w:p>
    <w:p w14:paraId="482D483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 features proposed for future phases shall not be represented as contractual Phase 1 deliverables unless explicitly required by the approved project scope.</w:t>
      </w:r>
    </w:p>
    <w:p w14:paraId="0C37748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ED3749E">
          <v:rect id="Horizontal Line 200"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7EABD2"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Principle 17 — Continuous Improvement</w:t>
      </w:r>
    </w:p>
    <w:p w14:paraId="0492816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Engineering is an iterative discipline.</w:t>
      </w:r>
    </w:p>
    <w:p w14:paraId="037A949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team shall continuously:</w:t>
      </w:r>
    </w:p>
    <w:p w14:paraId="10A37F10"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Review performance.</w:t>
      </w:r>
    </w:p>
    <w:p w14:paraId="6B4E353E"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Improve code quality.</w:t>
      </w:r>
    </w:p>
    <w:p w14:paraId="325D80B6"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Refine processes.</w:t>
      </w:r>
    </w:p>
    <w:p w14:paraId="481FA341"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Incorporate stakeholder feedback.</w:t>
      </w:r>
    </w:p>
    <w:p w14:paraId="00C6C5FD"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Address technical debt.</w:t>
      </w:r>
    </w:p>
    <w:p w14:paraId="64A6386D" w14:textId="77777777" w:rsidR="00940ACA" w:rsidRPr="00940ACA" w:rsidRDefault="00940ACA" w:rsidP="00940ACA">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Strengthen operational resilience.</w:t>
      </w:r>
    </w:p>
    <w:p w14:paraId="57CF8C4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Lessons learned shall be documented and incorporated into subsequent iterations.</w:t>
      </w:r>
    </w:p>
    <w:p w14:paraId="5046886B"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DF20153">
          <v:rect id="Horizontal Line 19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CEC42EB"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5.4 Engineering Decision Framework</w:t>
      </w:r>
    </w:p>
    <w:p w14:paraId="4ED0073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 multiple technical approaches are available, engineering decisions shall be evaluated using the following order of precedence:</w:t>
      </w:r>
    </w:p>
    <w:p w14:paraId="1DB28F25"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Alignment with approved business objectives.</w:t>
      </w:r>
    </w:p>
    <w:p w14:paraId="662A4C11"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the Enterprise Architecture Blueprint.</w:t>
      </w:r>
    </w:p>
    <w:p w14:paraId="7FB508E8"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and privacy implications.</w:t>
      </w:r>
    </w:p>
    <w:p w14:paraId="5F23993A"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Long-term maintainability.</w:t>
      </w:r>
    </w:p>
    <w:p w14:paraId="73BA23F4"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Scalability and extensibility.</w:t>
      </w:r>
    </w:p>
    <w:p w14:paraId="47023855"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Reliability and operational resilience.</w:t>
      </w:r>
    </w:p>
    <w:p w14:paraId="3B37F5E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 experience and accessibility.</w:t>
      </w:r>
    </w:p>
    <w:p w14:paraId="6CE1CE1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w:t>
      </w:r>
    </w:p>
    <w:p w14:paraId="2DAC88D9"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Cost of implementation and ownership.</w:t>
      </w:r>
    </w:p>
    <w:p w14:paraId="4F0AB8BC" w14:textId="77777777" w:rsidR="00940ACA" w:rsidRPr="00940ACA" w:rsidRDefault="00940ACA" w:rsidP="00940ACA">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Ease of support and knowledge transfer.</w:t>
      </w:r>
    </w:p>
    <w:p w14:paraId="695DDE3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Any deviation from this framework shall be documented through an </w:t>
      </w:r>
      <w:r w:rsidRPr="00940ACA">
        <w:rPr>
          <w:rFonts w:ascii="Times New Roman" w:eastAsia="Times New Roman" w:hAnsi="Times New Roman" w:cs="Times New Roman"/>
          <w:b/>
          <w:bCs/>
          <w:kern w:val="0"/>
          <w:lang w:eastAsia="en-GB"/>
          <w14:ligatures w14:val="none"/>
        </w:rPr>
        <w:t>Architecture Decision Record (ADR)</w:t>
      </w:r>
      <w:r w:rsidRPr="00940ACA">
        <w:rPr>
          <w:rFonts w:ascii="Times New Roman" w:eastAsia="Times New Roman" w:hAnsi="Times New Roman" w:cs="Times New Roman"/>
          <w:kern w:val="0"/>
          <w:lang w:eastAsia="en-GB"/>
          <w14:ligatures w14:val="none"/>
        </w:rPr>
        <w:t xml:space="preserve"> and approved through the project's governance process.</w:t>
      </w:r>
    </w:p>
    <w:p w14:paraId="5122964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6F4D8C1">
          <v:rect id="Horizontal Line 198"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6EB373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lastRenderedPageBreak/>
        <w:t>5.5 Engineering Rules for Antigravity</w:t>
      </w:r>
    </w:p>
    <w:p w14:paraId="78B33A7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When generating engineering outputs, Antigravity shall adhere to the following mandatory rules:</w:t>
      </w:r>
    </w:p>
    <w:p w14:paraId="0ED795A5"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Do not invent requirements.</w:t>
      </w:r>
      <w:r w:rsidRPr="00940ACA">
        <w:rPr>
          <w:rFonts w:ascii="Times New Roman" w:eastAsia="Times New Roman" w:hAnsi="Times New Roman" w:cs="Times New Roman"/>
          <w:kern w:val="0"/>
          <w:lang w:eastAsia="en-GB"/>
          <w14:ligatures w14:val="none"/>
        </w:rPr>
        <w:t xml:space="preserve"> Implement only what is supported by the approved project documentation.</w:t>
      </w:r>
    </w:p>
    <w:p w14:paraId="7F94924F"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Preserve architectural integrity.</w:t>
      </w:r>
      <w:r w:rsidRPr="00940ACA">
        <w:rPr>
          <w:rFonts w:ascii="Times New Roman" w:eastAsia="Times New Roman" w:hAnsi="Times New Roman" w:cs="Times New Roman"/>
          <w:kern w:val="0"/>
          <w:lang w:eastAsia="en-GB"/>
          <w14:ligatures w14:val="none"/>
        </w:rPr>
        <w:t xml:space="preserve"> Do not introduce technologies or patterns that conflict with the approved architecture without explicit justification.</w:t>
      </w:r>
    </w:p>
    <w:p w14:paraId="01BDE9D2"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Maintain traceability.</w:t>
      </w:r>
      <w:r w:rsidRPr="00940ACA">
        <w:rPr>
          <w:rFonts w:ascii="Times New Roman" w:eastAsia="Times New Roman" w:hAnsi="Times New Roman" w:cs="Times New Roman"/>
          <w:kern w:val="0"/>
          <w:lang w:eastAsia="en-GB"/>
          <w14:ligatures w14:val="none"/>
        </w:rPr>
        <w:t xml:space="preserve"> Every feature, API, database object, and workflow must map to a documented requirement.</w:t>
      </w:r>
    </w:p>
    <w:p w14:paraId="6DBFE033"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Document assumptions.</w:t>
      </w:r>
      <w:r w:rsidRPr="00940ACA">
        <w:rPr>
          <w:rFonts w:ascii="Times New Roman" w:eastAsia="Times New Roman" w:hAnsi="Times New Roman" w:cs="Times New Roman"/>
          <w:kern w:val="0"/>
          <w:lang w:eastAsia="en-GB"/>
          <w14:ligatures w14:val="none"/>
        </w:rPr>
        <w:t xml:space="preserve"> Where information is incomplete, clearly identify assumptions instead of silently inferring behavior.</w:t>
      </w:r>
    </w:p>
    <w:p w14:paraId="7508E63C"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Record major decisions.</w:t>
      </w:r>
      <w:r w:rsidRPr="00940ACA">
        <w:rPr>
          <w:rFonts w:ascii="Times New Roman" w:eastAsia="Times New Roman" w:hAnsi="Times New Roman" w:cs="Times New Roman"/>
          <w:kern w:val="0"/>
          <w:lang w:eastAsia="en-GB"/>
          <w14:ligatures w14:val="none"/>
        </w:rPr>
        <w:t xml:space="preserve"> Significant architectural choices must be captured in Architecture Decision Records (ADRs).</w:t>
      </w:r>
    </w:p>
    <w:p w14:paraId="7175772B"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Prioritize maintainability.</w:t>
      </w:r>
      <w:r w:rsidRPr="00940ACA">
        <w:rPr>
          <w:rFonts w:ascii="Times New Roman" w:eastAsia="Times New Roman" w:hAnsi="Times New Roman" w:cs="Times New Roman"/>
          <w:kern w:val="0"/>
          <w:lang w:eastAsia="en-GB"/>
          <w14:ligatures w14:val="none"/>
        </w:rPr>
        <w:t xml:space="preserve"> Prefer clear, modular, and well-documented solutions over clever but difficult-to-maintain implementations.</w:t>
      </w:r>
    </w:p>
    <w:p w14:paraId="426991B3"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Engineer for production.</w:t>
      </w:r>
      <w:r w:rsidRPr="00940ACA">
        <w:rPr>
          <w:rFonts w:ascii="Times New Roman" w:eastAsia="Times New Roman" w:hAnsi="Times New Roman" w:cs="Times New Roman"/>
          <w:kern w:val="0"/>
          <w:lang w:eastAsia="en-GB"/>
          <w14:ligatures w14:val="none"/>
        </w:rPr>
        <w:t xml:space="preserve"> Outputs should be suitable for enterprise deployment, monitoring, and long-term support—not merely proof-of-concept demonstrations.</w:t>
      </w:r>
    </w:p>
    <w:p w14:paraId="67075B37" w14:textId="77777777" w:rsidR="00940ACA" w:rsidRPr="00940ACA" w:rsidRDefault="00940ACA" w:rsidP="00940ACA">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Respect scope boundaries.</w:t>
      </w:r>
      <w:r w:rsidRPr="00940ACA">
        <w:rPr>
          <w:rFonts w:ascii="Times New Roman" w:eastAsia="Times New Roman" w:hAnsi="Times New Roman" w:cs="Times New Roman"/>
          <w:kern w:val="0"/>
          <w:lang w:eastAsia="en-GB"/>
          <w14:ligatures w14:val="none"/>
        </w:rPr>
        <w:t xml:space="preserve"> Clearly separate contractual Phase 1 functionality from future enhancement opportunities.</w:t>
      </w:r>
    </w:p>
    <w:p w14:paraId="204328FF"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sidRPr="000062C3">
        <w:rPr>
          <w:rFonts w:ascii="Times New Roman" w:eastAsia="Times New Roman" w:hAnsi="Times New Roman" w:cs="Times New Roman"/>
          <w:noProof/>
          <w:kern w:val="0"/>
          <w:lang w:eastAsia="en-GB"/>
        </w:rPr>
        <w:pict w14:anchorId="39B027CF">
          <v:rect id="_x0000_i2333" style="width:0;height:1.5pt" o:hralign="center" o:hrstd="t" o:hr="t" fillcolor="#a0a0a0" stroked="f"/>
        </w:pict>
      </w:r>
    </w:p>
    <w:p w14:paraId="4B88743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5.6 Engineering Commitment</w:t>
      </w:r>
    </w:p>
    <w:p w14:paraId="4CDF109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Engineering Principles are mandatory throughout the project lifecycle.</w:t>
      </w:r>
    </w:p>
    <w:p w14:paraId="248C239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Any proposed exception shall be formally documented, reviewed, and approved through the project's governance process.</w:t>
      </w:r>
    </w:p>
    <w:p w14:paraId="2F3DE3D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By adhering to these principles, the engineering team will deliver a platform that is:</w:t>
      </w:r>
    </w:p>
    <w:p w14:paraId="745AB1B4"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Aligned</w:t>
      </w:r>
      <w:r w:rsidRPr="00940ACA">
        <w:rPr>
          <w:rFonts w:ascii="Times New Roman" w:eastAsia="Times New Roman" w:hAnsi="Times New Roman" w:cs="Times New Roman"/>
          <w:kern w:val="0"/>
          <w:lang w:eastAsia="en-GB"/>
          <w14:ligatures w14:val="none"/>
        </w:rPr>
        <w:t xml:space="preserve"> with SAPZ's strategic objectives.</w:t>
      </w:r>
    </w:p>
    <w:p w14:paraId="5660373B"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Secure</w:t>
      </w:r>
      <w:r w:rsidRPr="00940ACA">
        <w:rPr>
          <w:rFonts w:ascii="Times New Roman" w:eastAsia="Times New Roman" w:hAnsi="Times New Roman" w:cs="Times New Roman"/>
          <w:kern w:val="0"/>
          <w:lang w:eastAsia="en-GB"/>
          <w14:ligatures w14:val="none"/>
        </w:rPr>
        <w:t xml:space="preserve"> and compliant.</w:t>
      </w:r>
    </w:p>
    <w:p w14:paraId="4433C167"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Scalable</w:t>
      </w:r>
      <w:r w:rsidRPr="00940ACA">
        <w:rPr>
          <w:rFonts w:ascii="Times New Roman" w:eastAsia="Times New Roman" w:hAnsi="Times New Roman" w:cs="Times New Roman"/>
          <w:kern w:val="0"/>
          <w:lang w:eastAsia="en-GB"/>
          <w14:ligatures w14:val="none"/>
        </w:rPr>
        <w:t xml:space="preserve"> for future growth.</w:t>
      </w:r>
    </w:p>
    <w:p w14:paraId="108F66A3"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Maintainable</w:t>
      </w:r>
      <w:r w:rsidRPr="00940ACA">
        <w:rPr>
          <w:rFonts w:ascii="Times New Roman" w:eastAsia="Times New Roman" w:hAnsi="Times New Roman" w:cs="Times New Roman"/>
          <w:kern w:val="0"/>
          <w:lang w:eastAsia="en-GB"/>
          <w14:ligatures w14:val="none"/>
        </w:rPr>
        <w:t xml:space="preserve"> over the long term.</w:t>
      </w:r>
    </w:p>
    <w:p w14:paraId="68612300"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Reliable</w:t>
      </w:r>
      <w:r w:rsidRPr="00940ACA">
        <w:rPr>
          <w:rFonts w:ascii="Times New Roman" w:eastAsia="Times New Roman" w:hAnsi="Times New Roman" w:cs="Times New Roman"/>
          <w:kern w:val="0"/>
          <w:lang w:eastAsia="en-GB"/>
          <w14:ligatures w14:val="none"/>
        </w:rPr>
        <w:t xml:space="preserve"> in production.</w:t>
      </w:r>
    </w:p>
    <w:p w14:paraId="7188A225"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User-centred</w:t>
      </w:r>
      <w:r w:rsidRPr="00940ACA">
        <w:rPr>
          <w:rFonts w:ascii="Times New Roman" w:eastAsia="Times New Roman" w:hAnsi="Times New Roman" w:cs="Times New Roman"/>
          <w:kern w:val="0"/>
          <w:lang w:eastAsia="en-GB"/>
          <w14:ligatures w14:val="none"/>
        </w:rPr>
        <w:t xml:space="preserve"> and accessible.</w:t>
      </w:r>
    </w:p>
    <w:p w14:paraId="21C15BE8"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Transparent</w:t>
      </w:r>
      <w:r w:rsidRPr="00940ACA">
        <w:rPr>
          <w:rFonts w:ascii="Times New Roman" w:eastAsia="Times New Roman" w:hAnsi="Times New Roman" w:cs="Times New Roman"/>
          <w:kern w:val="0"/>
          <w:lang w:eastAsia="en-GB"/>
          <w14:ligatures w14:val="none"/>
        </w:rPr>
        <w:t xml:space="preserve"> in governance.</w:t>
      </w:r>
    </w:p>
    <w:p w14:paraId="11EF8D81" w14:textId="77777777" w:rsidR="00940ACA" w:rsidRPr="00940ACA" w:rsidRDefault="00940ACA" w:rsidP="00940ACA">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b/>
          <w:bCs/>
          <w:kern w:val="0"/>
          <w:lang w:eastAsia="en-GB"/>
          <w14:ligatures w14:val="none"/>
        </w:rPr>
        <w:t>Sustainable</w:t>
      </w:r>
      <w:r w:rsidRPr="00940ACA">
        <w:rPr>
          <w:rFonts w:ascii="Times New Roman" w:eastAsia="Times New Roman" w:hAnsi="Times New Roman" w:cs="Times New Roman"/>
          <w:kern w:val="0"/>
          <w:lang w:eastAsia="en-GB"/>
          <w14:ligatures w14:val="none"/>
        </w:rPr>
        <w:t xml:space="preserve"> as a national digital asset.</w:t>
      </w:r>
    </w:p>
    <w:p w14:paraId="2E1446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These principles shall serve as the foundation for every architecture decision, line of code, deployment activity, and operational procedure undertaken during the delivery of the SAPZ Enterprise System Management Platform and Central Knowledge Repository.</w:t>
      </w:r>
    </w:p>
    <w:p w14:paraId="703D4032" w14:textId="2E186951" w:rsidR="00940ACA" w:rsidRDefault="00940ACA">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