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1</w:t>
      </w:r>
    </w:p>
    <w:p>
      <w:pPr>
        <w:pBdr>
          <w:bottom w:val="single" w:color="1F3864" w:sz="14" w:space="10"/>
        </w:pBdr>
        <w:spacing w:after="160"/>
        <w:jc w:val="center"/>
      </w:pPr>
      <w:r>
        <w:rPr>
          <w:b/>
          <w:bCs/>
          <w:color w:val="152238"/>
          <w:sz w:val="40"/>
          <w:szCs w:val="40"/>
        </w:rPr>
        <w:t xml:space="preserve">Executive Overview</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Antigravity Engineering Charter</w:t>
      </w:r>
    </w:p>
    <w:p>
      <w:r>
        <w:br w:type="page"/>
      </w:r>
    </w:p>
    <w:p>
      <w:pPr>
        <w:spacing w:after="40"/>
        <w:jc w:val="left"/>
      </w:pPr>
      <w:r>
        <w:rPr>
          <w:b/>
          <w:bCs/>
          <w:caps/>
          <w:color w:val="4A6FA5"/>
          <w:sz w:val="22"/>
          <w:szCs w:val="22"/>
        </w:rPr>
        <w:t xml:space="preserve">CHAPTER 1</w:t>
      </w:r>
    </w:p>
    <w:p>
      <w:pPr>
        <w:pBdr>
          <w:bottom w:val="single" w:color="1F3864" w:sz="12" w:space="8"/>
        </w:pBdr>
        <w:spacing w:after="200"/>
        <w:jc w:val="left"/>
      </w:pPr>
      <w:r>
        <w:rPr>
          <w:b/>
          <w:bCs/>
          <w:color w:val="152238"/>
          <w:sz w:val="44"/>
          <w:szCs w:val="44"/>
        </w:rPr>
        <w:t xml:space="preserve">Executive Overview</w:t>
      </w:r>
    </w:p>
    <w:p>
      <w:pPr>
        <w:spacing w:after="90" w:before="180"/>
      </w:pPr>
      <w:r>
        <w:rPr>
          <w:b/>
          <w:bCs/>
          <w:color w:val="152238"/>
          <w:sz w:val="19"/>
          <w:szCs w:val="19"/>
        </w:rPr>
        <w:t xml:space="preserve">Chapter Overview</w:t>
      </w:r>
    </w:p>
    <w:p>
      <w:pPr>
        <w:spacing w:after="150" w:line="276"/>
        <w:jc w:val="both"/>
      </w:pPr>
      <w:r>
        <w:t xml:space="preserve">This chapter establishes the Enterprise Engineering Handbook as the authoritative engineering reference for the Enterprise System Management (ESM) Platform and the Central Knowledge Repository (CKR), delivered under the Special Agro-Industrial Processing Zones (SAPZ) Programme of the Federal Republic of Nigeria. It defines the handbook's purpose, the programme context it serves, the engineering mission and philosophy that govern every technical decision, and the charter under which the Antigravity engineering organization operates.</w:t>
      </w:r>
    </w:p>
    <w:p>
      <w:pPr>
        <w:spacing w:after="90" w:before="180"/>
      </w:pPr>
      <w:r>
        <w:rPr>
          <w:b/>
          <w:bCs/>
          <w:color w:val="152238"/>
          <w:sz w:val="19"/>
          <w:szCs w:val="19"/>
        </w:rPr>
        <w:t xml:space="preserve">Purpose</w:t>
      </w:r>
    </w:p>
    <w:p>
      <w:pPr>
        <w:spacing w:after="150" w:line="276"/>
        <w:jc w:val="both"/>
      </w:pPr>
      <w:r>
        <w:t xml:space="preserve">To establish this handbook as the governing technical reference for the SAPZ engineering programme, and to align every reader — executive sponsor, enterprise architect, engineer, or auditor — on the mission, philosophy, and objectives that every subsequent chapter builds upon.</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why this handbook exists and what authority it carries relative to prior project artifacts.</w:t>
      </w:r>
    </w:p>
    <w:p>
      <w:pPr>
        <w:pStyle w:val="ListParagraph"/>
        <w:numPr>
          <w:ilvl w:val="0"/>
          <w:numId w:val="1"/>
        </w:numPr>
        <w:spacing w:after="90" w:line="264"/>
      </w:pPr>
      <w:r>
        <w:t xml:space="preserve">Understand the SAPZ Programme's business context and the two platforms — ESM and CKR — being delivered.</w:t>
      </w:r>
    </w:p>
    <w:p>
      <w:pPr>
        <w:pStyle w:val="ListParagraph"/>
        <w:numPr>
          <w:ilvl w:val="0"/>
          <w:numId w:val="1"/>
        </w:numPr>
        <w:spacing w:after="90" w:line="264"/>
      </w:pPr>
      <w:r>
        <w:t xml:space="preserve">Understand the engineering mission, philosophy, and objectives that govern all technical decisions.</w:t>
      </w:r>
    </w:p>
    <w:p>
      <w:pPr>
        <w:pStyle w:val="ListParagraph"/>
        <w:numPr>
          <w:ilvl w:val="0"/>
          <w:numId w:val="1"/>
        </w:numPr>
        <w:spacing w:after="90" w:line="264"/>
      </w:pPr>
      <w:r>
        <w:t xml:space="preserve">Understand the guiding principles of traceability that connect every engineering artifact back to an approved specification.</w:t>
      </w:r>
    </w:p>
    <w:p>
      <w:pPr>
        <w:pStyle w:val="ListParagraph"/>
        <w:numPr>
          <w:ilvl w:val="0"/>
          <w:numId w:val="1"/>
        </w:numPr>
        <w:spacing w:after="90" w:line="264"/>
      </w:pPr>
      <w:r>
        <w:t xml:space="preserve">Understand the Antigravity Engineering Charter and its operating mandate.</w:t>
      </w:r>
    </w:p>
    <w:p>
      <w:pPr>
        <w:pStyle w:val="Heading1"/>
        <w:pBdr>
          <w:bottom w:val="single" w:color="C6D2E0" w:sz="4" w:space="4"/>
        </w:pBdr>
        <w:spacing w:after="140" w:before="360"/>
      </w:pPr>
      <w:r>
        <w:rPr>
          <w:b/>
          <w:bCs/>
          <w:color w:val="4A6FA5"/>
          <w:sz w:val="26"/>
          <w:szCs w:val="26"/>
        </w:rPr>
        <w:t xml:space="preserve">1.1  </w:t>
      </w:r>
      <w:r>
        <w:rPr>
          <w:b/>
          <w:bCs/>
          <w:color w:val="1F3864"/>
          <w:sz w:val="26"/>
          <w:szCs w:val="26"/>
        </w:rPr>
        <w:t xml:space="preserve">Purpose of This Engineering Handbook</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this document's authority and scope as the Master Engineering Guide for the ESM Platform and CKR.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every stakeholder one governing reference, eliminating conflicting interpretations of technical direction.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Establishes traceability discipline as a first-class requirement, not an afterthought.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single, authoritative source of engineering truth for the life of the programme.</w:t>
            </w:r>
          </w:p>
        </w:tc>
      </w:tr>
    </w:tbl>
    <w:p>
      <w:pPr>
        <w:spacing w:after="160"/>
      </w:pPr>
    </w:p>
    <w:p>
      <w:pPr>
        <w:spacing w:after="150" w:line="276"/>
        <w:jc w:val="both"/>
      </w:pPr>
      <w:r>
        <w:t xml:space="preserve">This document serves as the Master Engineering Guide for the design, development, testing, deployment, and operationalization of the Enterprise System Management (ESM) Platform and the Central Knowledge Repository (CKR) for the Special Agro-Industrial Processing Zones (SAPZ) Programme.</w:t>
      </w:r>
    </w:p>
    <w:p>
      <w:pPr>
        <w:spacing w:after="150" w:line="276"/>
        <w:jc w:val="both"/>
      </w:pPr>
      <w:r>
        <w:t xml:space="preserve">It is the authoritative engineering reference for all technical decisions throughout the project lifecycle and shall be treated as the governing document for software architecture, implementation, integration, quality assurance, deployment, and long-term sustainability.</w:t>
      </w:r>
    </w:p>
    <w:p>
      <w:pPr>
        <w:spacing w:after="150" w:line="276"/>
        <w:jc w:val="both"/>
      </w:pPr>
      <w:r>
        <w:t xml:space="preserve">Every engineering activity, architectural decision, design artifact, source code module, database schema, application programming interface (API), user interface, workflow, security control, deployment process, and testing activity must align with the principles, standards, and objectives defined in this handbook.</w:t>
      </w:r>
    </w:p>
    <w:p>
      <w:pPr>
        <w:spacing w:after="150" w:line="276"/>
        <w:jc w:val="both"/>
      </w:pPr>
      <w:r>
        <w:t xml:space="preserve">This document complements — but does not replace — the previously completed project artifacts, including the Procurement Intelligence Report, Enterprise Architecture (EA) Blueprint, Product Definition Document (PDD), Software Requirements Specification (SRS), Database Design Specification (DDS), API &amp; Integration Specification, Test Strategy, Programme Delivery Blueprint, and Solution Demonstration Script. Together, these documents form the complete engineering knowledge base for the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This handbook is the governing engineering document for the SAPZ Programme. Where any subordinate artifact appears to conflict with this handbook, the conflict must be flagged and resolved before implementation proceeds — it is never silently resolved in favor of the subordinate artifact.</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C6D2E0" w:sz="4"/>
              <w:left w:val="dashed" w:color="C6D2E0" w:sz="4"/>
              <w:bottom w:val="dashed" w:color="C6D2E0" w:sz="4"/>
              <w:right w:val="dashed" w:color="C6D2E0" w:sz="4"/>
            </w:tcBorders>
            <w:shd w:fill="FAFBFC" w:val="clear"/>
            <w:tcMar>
              <w:top w:type="dxa" w:w="260"/>
              <w:left w:type="dxa" w:w="180"/>
              <w:bottom w:type="dxa" w:w="260"/>
              <w:right w:type="dxa" w:w="180"/>
            </w:tcMar>
          </w:tcPr>
          <w:p>
            <w:pPr>
              <w:spacing w:after="60"/>
              <w:jc w:val="center"/>
            </w:pPr>
            <w:r>
              <w:rPr>
                <w:b/>
                <w:bCs/>
                <w:color w:val="1F3864"/>
                <w:sz w:val="18"/>
                <w:szCs w:val="18"/>
              </w:rPr>
              <w:t xml:space="preserve">Figure 1-1</w:t>
            </w:r>
          </w:p>
          <w:p>
            <w:pPr>
              <w:spacing w:after="100"/>
              <w:jc w:val="center"/>
            </w:pPr>
            <w:r>
              <w:rPr>
                <w:i/>
                <w:iCs/>
                <w:color w:val="555555"/>
                <w:sz w:val="18"/>
                <w:szCs w:val="18"/>
              </w:rPr>
              <w:t xml:space="preserve">SAPZ Engineering Documentation Ecosystem</w:t>
            </w:r>
          </w:p>
          <w:p>
            <w:pPr>
              <w:jc w:val="center"/>
            </w:pPr>
            <w:r>
              <w:rPr>
                <w:i/>
                <w:iCs/>
                <w:color w:val="888888"/>
                <w:sz w:val="17"/>
                <w:szCs w:val="17"/>
              </w:rPr>
              <w:t xml:space="preserve">[Insert SAPZ Engineering Documentation Ecosystem Diagram]</w:t>
            </w:r>
          </w:p>
        </w:tc>
      </w:tr>
    </w:tbl>
    <w:p>
      <w:pPr>
        <w:pStyle w:val="Heading1"/>
        <w:pBdr>
          <w:bottom w:val="single" w:color="C6D2E0" w:sz="4" w:space="4"/>
        </w:pBdr>
        <w:spacing w:after="140" w:before="360"/>
      </w:pPr>
      <w:r>
        <w:rPr>
          <w:b/>
          <w:bCs/>
          <w:color w:val="4A6FA5"/>
          <w:sz w:val="26"/>
          <w:szCs w:val="26"/>
        </w:rPr>
        <w:t xml:space="preserve">1.2  </w:t>
      </w:r>
      <w:r>
        <w:rPr>
          <w:b/>
          <w:bCs/>
          <w:color w:val="1F3864"/>
          <w:sz w:val="26"/>
          <w:szCs w:val="26"/>
        </w:rPr>
        <w:t xml:space="preserve">Project Background</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Situate the ESM Platform and CKR within the SAPZ Programme's national strategic objectives.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Connects every technical decision back to the programme's agricultural industrialization mandate.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Frames the platform as programme infrastructure, not a standalone software product.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Shared understanding of why the platform exists before any design or build decision is made.</w:t>
            </w:r>
          </w:p>
        </w:tc>
      </w:tr>
    </w:tbl>
    <w:p>
      <w:pPr>
        <w:spacing w:after="160"/>
      </w:pPr>
    </w:p>
    <w:p>
      <w:pPr>
        <w:spacing w:after="150" w:line="276"/>
        <w:jc w:val="both"/>
      </w:pPr>
      <w:r>
        <w:t xml:space="preserve">The SAPZ Programme is a strategic national initiative of the Federal Republic of Nigeria, implemented with support from the International Fund for Agricultural Development (IFAD) and other development partners. The programme aims to accelerate agricultural industrialization by establishing integrated agro-processing ecosystems that connect producers, processors, markets, financial institutions, government agencies, and development partners.</w:t>
      </w:r>
    </w:p>
    <w:p>
      <w:pPr>
        <w:spacing w:after="150" w:line="276"/>
        <w:jc w:val="both"/>
      </w:pPr>
      <w:r>
        <w:t xml:space="preserve">Delivering the programme at national scale requires a secure, integrated, and highly available digital platform capable of supporting programme governance, project execution, knowledge management, stakeholder collaboration, monitoring and evaluation, reporting, and organizational learning.</w:t>
      </w:r>
    </w:p>
    <w:p>
      <w:pPr>
        <w:spacing w:after="150" w:line="276"/>
        <w:jc w:val="both"/>
      </w:pPr>
      <w:r>
        <w:t xml:space="preserve">To address these needs, this project will deliver two tightly integrated enterprise platforms.</w:t>
      </w:r>
    </w:p>
    <w:p>
      <w:pPr>
        <w:pStyle w:val="Heading2"/>
        <w:spacing w:after="110" w:before="260"/>
      </w:pPr>
      <w:r>
        <w:rPr>
          <w:b/>
          <w:bCs/>
          <w:color w:val="4A6FA5"/>
          <w:sz w:val="21"/>
          <w:szCs w:val="21"/>
        </w:rPr>
        <w:t xml:space="preserve">1.2.1  </w:t>
      </w:r>
      <w:r>
        <w:rPr>
          <w:b/>
          <w:bCs/>
          <w:color w:val="1F3864"/>
          <w:sz w:val="21"/>
          <w:szCs w:val="21"/>
        </w:rPr>
        <w:t xml:space="preserve">Enterprise System Management (ESM)</w:t>
      </w:r>
    </w:p>
    <w:p>
      <w:pPr>
        <w:spacing w:after="150" w:line="276"/>
        <w:jc w:val="both"/>
      </w:pPr>
      <w:r>
        <w:t xml:space="preserve">The ESM Platform will serve as the operational backbone of the SAPZ Programme, supporting project planning, programme management, workflow automation, approvals, document management, task management, reporting, analytics, stakeholder collaboration, and governance.</w:t>
      </w:r>
    </w:p>
    <w:p>
      <w:pPr>
        <w:pStyle w:val="Heading2"/>
        <w:spacing w:after="110" w:before="260"/>
      </w:pPr>
      <w:r>
        <w:rPr>
          <w:b/>
          <w:bCs/>
          <w:color w:val="4A6FA5"/>
          <w:sz w:val="21"/>
          <w:szCs w:val="21"/>
        </w:rPr>
        <w:t xml:space="preserve">1.2.2  </w:t>
      </w:r>
      <w:r>
        <w:rPr>
          <w:b/>
          <w:bCs/>
          <w:color w:val="1F3864"/>
          <w:sz w:val="21"/>
          <w:szCs w:val="21"/>
        </w:rPr>
        <w:t xml:space="preserve">Central Knowledge Repository (CKR)</w:t>
      </w:r>
    </w:p>
    <w:p>
      <w:pPr>
        <w:spacing w:after="150" w:line="276"/>
        <w:jc w:val="both"/>
      </w:pPr>
      <w:r>
        <w:t xml:space="preserve">The CKR will preserve and disseminate institutional knowledge by providing a centralized repository for documents, policies, lessons learned, technical resources, training materials, best practices, multimedia content, and searchable programme knowledge.</w:t>
      </w:r>
    </w:p>
    <w:p>
      <w:pPr>
        <w:spacing w:after="150" w:line="276"/>
        <w:jc w:val="both"/>
      </w:pPr>
      <w:r>
        <w:t xml:space="preserve">Together, these platforms will strengthen transparency, accountability, institutional memory, operational efficiency, and evidence-based decision-making across the programme.</w:t>
      </w:r>
    </w:p>
    <w:p>
      <w:pPr>
        <w:pStyle w:val="Heading1"/>
        <w:pBdr>
          <w:bottom w:val="single" w:color="C6D2E0" w:sz="4" w:space="4"/>
        </w:pBdr>
        <w:spacing w:after="140" w:before="360"/>
      </w:pPr>
      <w:r>
        <w:rPr>
          <w:b/>
          <w:bCs/>
          <w:color w:val="4A6FA5"/>
          <w:sz w:val="26"/>
          <w:szCs w:val="26"/>
        </w:rPr>
        <w:t xml:space="preserve">1.3  </w:t>
      </w:r>
      <w:r>
        <w:rPr>
          <w:b/>
          <w:bCs/>
          <w:color w:val="1F3864"/>
          <w:sz w:val="26"/>
          <w:szCs w:val="26"/>
        </w:rPr>
        <w:t xml:space="preserve">Engineering Mission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State the engineering team's mission in terms of programme outcomes, not software output.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every engineering decision anchored to measurable programme value rather than technical novelty.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Reframes 'done' as 'adopted and effective', not merely 'deployed'.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engineering culture that is judged on outcomes, not output.</w:t>
            </w:r>
          </w:p>
        </w:tc>
      </w:tr>
    </w:tbl>
    <w:p>
      <w:pPr>
        <w:spacing w:after="160"/>
      </w:pPr>
    </w:p>
    <w:p>
      <w:pPr>
        <w:spacing w:after="150" w:line="276"/>
        <w:jc w:val="both"/>
      </w:pPr>
      <w:r>
        <w:t xml:space="preserve">The objective of the engineering team is not merely to develop software.</w:t>
      </w:r>
    </w:p>
    <w:p>
      <w:pPr>
        <w:spacing w:after="150" w:line="276"/>
        <w:jc w:val="both"/>
      </w:pPr>
      <w:r>
        <w:t xml:space="preserve">The mission is to engineer a secure, scalable, resilient, and sustainable enterprise platform that enables SAPZ to achieve its strategic objectives while meeting the expectations of IFAD, the National Programme Coordination Office (NPCO), participating state governments, development partners, and all programme stakeholders.</w:t>
      </w:r>
    </w:p>
    <w:p>
      <w:pPr>
        <w:spacing w:after="150" w:line="276"/>
        <w:jc w:val="both"/>
      </w:pPr>
      <w:r>
        <w:t xml:space="preserve">The resulting solution must:</w:t>
      </w:r>
    </w:p>
    <w:p>
      <w:pPr>
        <w:pStyle w:val="ListParagraph"/>
        <w:numPr>
          <w:ilvl w:val="0"/>
          <w:numId w:val="1"/>
        </w:numPr>
        <w:spacing w:after="90" w:line="264"/>
      </w:pPr>
      <w:r>
        <w:t xml:space="preserve">Simplify programme management.</w:t>
      </w:r>
    </w:p>
    <w:p>
      <w:pPr>
        <w:pStyle w:val="ListParagraph"/>
        <w:numPr>
          <w:ilvl w:val="0"/>
          <w:numId w:val="1"/>
        </w:numPr>
        <w:spacing w:after="90" w:line="264"/>
      </w:pPr>
      <w:r>
        <w:t xml:space="preserve">Eliminate fragmented information systems.</w:t>
      </w:r>
    </w:p>
    <w:p>
      <w:pPr>
        <w:pStyle w:val="ListParagraph"/>
        <w:numPr>
          <w:ilvl w:val="0"/>
          <w:numId w:val="1"/>
        </w:numPr>
        <w:spacing w:after="90" w:line="264"/>
      </w:pPr>
      <w:r>
        <w:t xml:space="preserve">Improve collaboration.</w:t>
      </w:r>
    </w:p>
    <w:p>
      <w:pPr>
        <w:pStyle w:val="ListParagraph"/>
        <w:numPr>
          <w:ilvl w:val="0"/>
          <w:numId w:val="1"/>
        </w:numPr>
        <w:spacing w:after="90" w:line="264"/>
      </w:pPr>
      <w:r>
        <w:t xml:space="preserve">Preserve institutional knowledge.</w:t>
      </w:r>
    </w:p>
    <w:p>
      <w:pPr>
        <w:pStyle w:val="ListParagraph"/>
        <w:numPr>
          <w:ilvl w:val="0"/>
          <w:numId w:val="1"/>
        </w:numPr>
        <w:spacing w:after="90" w:line="264"/>
      </w:pPr>
      <w:r>
        <w:t xml:space="preserve">Automate business processes.</w:t>
      </w:r>
    </w:p>
    <w:p>
      <w:pPr>
        <w:pStyle w:val="ListParagraph"/>
        <w:numPr>
          <w:ilvl w:val="0"/>
          <w:numId w:val="1"/>
        </w:numPr>
        <w:spacing w:after="90" w:line="264"/>
      </w:pPr>
      <w:r>
        <w:t xml:space="preserve">Support evidence-based decision-making.</w:t>
      </w:r>
    </w:p>
    <w:p>
      <w:pPr>
        <w:pStyle w:val="ListParagraph"/>
        <w:numPr>
          <w:ilvl w:val="0"/>
          <w:numId w:val="1"/>
        </w:numPr>
        <w:spacing w:after="90" w:line="264"/>
      </w:pPr>
      <w:r>
        <w:t xml:space="preserve">Strengthen governance and accountability.</w:t>
      </w:r>
    </w:p>
    <w:p>
      <w:pPr>
        <w:pStyle w:val="ListParagraph"/>
        <w:numPr>
          <w:ilvl w:val="0"/>
          <w:numId w:val="1"/>
        </w:numPr>
        <w:spacing w:after="90" w:line="264"/>
      </w:pPr>
      <w:r>
        <w:t xml:space="preserve">Enable future digital transformation initiatives.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Success will not be measured by the number of features delivered but by the extent to which the platform improves programme outcomes, operational efficiency, user adoption, and long-term maintainability.</w:t>
            </w:r>
          </w:p>
        </w:tc>
      </w:tr>
    </w:tbl>
    <w:p>
      <w:pPr>
        <w:pStyle w:val="Heading1"/>
        <w:pBdr>
          <w:bottom w:val="single" w:color="C6D2E0" w:sz="4" w:space="4"/>
        </w:pBdr>
        <w:spacing w:after="140" w:before="360"/>
      </w:pPr>
      <w:r>
        <w:rPr>
          <w:b/>
          <w:bCs/>
          <w:color w:val="4A6FA5"/>
          <w:sz w:val="26"/>
          <w:szCs w:val="26"/>
        </w:rPr>
        <w:t xml:space="preserve">1.4  </w:t>
      </w:r>
      <w:r>
        <w:rPr>
          <w:b/>
          <w:bCs/>
          <w:color w:val="1F3864"/>
          <w:sz w:val="26"/>
          <w:szCs w:val="26"/>
        </w:rPr>
        <w:t xml:space="preserve">Engineering Philosophy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non-negotiable principles that govern every technical decision on the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inconsistent, engineer-by-engineer judgment calls on cross-cutting concerns such as security and simplicity.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Functions as a decision filter applied whenever multiple technical approaches are viable.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defensible engineering decisions across every module and every contributor.</w:t>
            </w:r>
          </w:p>
        </w:tc>
      </w:tr>
    </w:tbl>
    <w:p>
      <w:pPr>
        <w:spacing w:after="160"/>
      </w:pPr>
    </w:p>
    <w:p>
      <w:pPr>
        <w:spacing w:after="150" w:line="276"/>
        <w:jc w:val="both"/>
      </w:pPr>
      <w:r>
        <w:t xml:space="preserve">This project shall be engineered according to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7"/>
                <w:szCs w:val="17"/>
              </w:rPr>
              <w:t xml:space="preserve">Business Before Technology</w:t>
            </w:r>
          </w:p>
        </w:tc>
        <w:tc>
          <w:tcPr>
            <w:tcW w:type="dxa" w:w="7459"/>
            <w:tcMar>
              <w:top w:type="dxa" w:w="70"/>
              <w:left w:type="dxa" w:w="110"/>
              <w:bottom w:type="dxa" w:w="70"/>
              <w:right w:type="dxa" w:w="110"/>
            </w:tcMar>
            <w:vAlign w:val="top"/>
          </w:tcPr>
          <w:p>
            <w:r>
              <w:rPr>
                <w:b w:val="false"/>
                <w:bCs w:val="false"/>
                <w:color w:val="1A1A1A"/>
                <w:sz w:val="17"/>
                <w:szCs w:val="17"/>
              </w:rPr>
              <w:t xml:space="preserve">Every technical decision must support a clearly defined business objective. Technology exists to solve programme challenges rather than to showcase technical complexity.</w:t>
            </w:r>
          </w:p>
        </w:tc>
      </w:tr>
      <w:tr>
        <w:tc>
          <w:tcPr>
            <w:tcW w:type="dxa" w:w="2621"/>
            <w:tcMar>
              <w:top w:type="dxa" w:w="70"/>
              <w:left w:type="dxa" w:w="110"/>
              <w:bottom w:type="dxa" w:w="70"/>
              <w:right w:type="dxa" w:w="110"/>
            </w:tcMar>
            <w:vAlign w:val="top"/>
          </w:tcPr>
          <w:p>
            <w:r>
              <w:rPr>
                <w:b/>
                <w:bCs/>
                <w:color w:val="1A1A1A"/>
                <w:sz w:val="17"/>
                <w:szCs w:val="17"/>
              </w:rPr>
              <w:t xml:space="preserve">User-Centred Design</w:t>
            </w:r>
          </w:p>
        </w:tc>
        <w:tc>
          <w:tcPr>
            <w:tcW w:type="dxa" w:w="7459"/>
            <w:tcMar>
              <w:top w:type="dxa" w:w="70"/>
              <w:left w:type="dxa" w:w="110"/>
              <w:bottom w:type="dxa" w:w="70"/>
              <w:right w:type="dxa" w:w="110"/>
            </w:tcMar>
            <w:vAlign w:val="top"/>
          </w:tcPr>
          <w:p>
            <w:r>
              <w:rPr>
                <w:b w:val="false"/>
                <w:bCs w:val="false"/>
                <w:color w:val="1A1A1A"/>
                <w:sz w:val="17"/>
                <w:szCs w:val="17"/>
              </w:rPr>
              <w:t xml:space="preserve">Every workflow, interface, report, and interaction shall be designed around the needs of real users, minimizing unnecessary complexity and reducing the effort required to complete common tasks.</w:t>
            </w:r>
          </w:p>
        </w:tc>
      </w:tr>
      <w:tr>
        <w:tc>
          <w:tcPr>
            <w:tcW w:type="dxa" w:w="2621"/>
            <w:tcMar>
              <w:top w:type="dxa" w:w="70"/>
              <w:left w:type="dxa" w:w="110"/>
              <w:bottom w:type="dxa" w:w="70"/>
              <w:right w:type="dxa" w:w="110"/>
            </w:tcMar>
            <w:vAlign w:val="top"/>
          </w:tcPr>
          <w:p>
            <w:r>
              <w:rPr>
                <w:b/>
                <w:bCs/>
                <w:color w:val="1A1A1A"/>
                <w:sz w:val="17"/>
                <w:szCs w:val="17"/>
              </w:rPr>
              <w:t xml:space="preserve">Security by Design</w:t>
            </w:r>
          </w:p>
        </w:tc>
        <w:tc>
          <w:tcPr>
            <w:tcW w:type="dxa" w:w="7459"/>
            <w:tcMar>
              <w:top w:type="dxa" w:w="70"/>
              <w:left w:type="dxa" w:w="110"/>
              <w:bottom w:type="dxa" w:w="70"/>
              <w:right w:type="dxa" w:w="110"/>
            </w:tcMar>
            <w:vAlign w:val="top"/>
          </w:tcPr>
          <w:p>
            <w:r>
              <w:rPr>
                <w:b w:val="false"/>
                <w:bCs w:val="false"/>
                <w:color w:val="1A1A1A"/>
                <w:sz w:val="17"/>
                <w:szCs w:val="17"/>
              </w:rPr>
              <w:t xml:space="preserve">Security shall be integrated into every layer of the solution — from architecture and infrastructure to code, APIs, databases, user interfaces, and operational processes. Security is a foundational requirement, not an optional enhancement.</w:t>
            </w:r>
          </w:p>
        </w:tc>
      </w:tr>
      <w:tr>
        <w:tc>
          <w:tcPr>
            <w:tcW w:type="dxa" w:w="2621"/>
            <w:tcMar>
              <w:top w:type="dxa" w:w="70"/>
              <w:left w:type="dxa" w:w="110"/>
              <w:bottom w:type="dxa" w:w="70"/>
              <w:right w:type="dxa" w:w="110"/>
            </w:tcMar>
            <w:vAlign w:val="top"/>
          </w:tcPr>
          <w:p>
            <w:r>
              <w:rPr>
                <w:b/>
                <w:bCs/>
                <w:color w:val="1A1A1A"/>
                <w:sz w:val="17"/>
                <w:szCs w:val="17"/>
              </w:rPr>
              <w:t xml:space="preserve">Quality by Default</w:t>
            </w:r>
          </w:p>
        </w:tc>
        <w:tc>
          <w:tcPr>
            <w:tcW w:type="dxa" w:w="7459"/>
            <w:tcMar>
              <w:top w:type="dxa" w:w="70"/>
              <w:left w:type="dxa" w:w="110"/>
              <w:bottom w:type="dxa" w:w="70"/>
              <w:right w:type="dxa" w:w="110"/>
            </w:tcMar>
            <w:vAlign w:val="top"/>
          </w:tcPr>
          <w:p>
            <w:r>
              <w:rPr>
                <w:b w:val="false"/>
                <w:bCs w:val="false"/>
                <w:color w:val="1A1A1A"/>
                <w:sz w:val="17"/>
                <w:szCs w:val="17"/>
              </w:rPr>
              <w:t xml:space="preserve">Quality is the responsibility of every engineer. Code reviews, automated testing, continuous integration, and rigorous validation shall be embedded throughout the development lifecycle.</w:t>
            </w:r>
          </w:p>
        </w:tc>
      </w:tr>
      <w:tr>
        <w:tc>
          <w:tcPr>
            <w:tcW w:type="dxa" w:w="2621"/>
            <w:tcMar>
              <w:top w:type="dxa" w:w="70"/>
              <w:left w:type="dxa" w:w="110"/>
              <w:bottom w:type="dxa" w:w="70"/>
              <w:right w:type="dxa" w:w="110"/>
            </w:tcMar>
            <w:vAlign w:val="top"/>
          </w:tcPr>
          <w:p>
            <w:r>
              <w:rPr>
                <w:b/>
                <w:bCs/>
                <w:color w:val="1A1A1A"/>
                <w:sz w:val="17"/>
                <w:szCs w:val="17"/>
              </w:rPr>
              <w:t xml:space="preserve">Simplicity Over Complexity</w:t>
            </w:r>
          </w:p>
        </w:tc>
        <w:tc>
          <w:tcPr>
            <w:tcW w:type="dxa" w:w="7459"/>
            <w:tcMar>
              <w:top w:type="dxa" w:w="70"/>
              <w:left w:type="dxa" w:w="110"/>
              <w:bottom w:type="dxa" w:w="70"/>
              <w:right w:type="dxa" w:w="110"/>
            </w:tcMar>
            <w:vAlign w:val="top"/>
          </w:tcPr>
          <w:p>
            <w:r>
              <w:rPr>
                <w:b w:val="false"/>
                <w:bCs w:val="false"/>
                <w:color w:val="1A1A1A"/>
                <w:sz w:val="17"/>
                <w:szCs w:val="17"/>
              </w:rPr>
              <w:t xml:space="preserve">Whenever multiple technical solutions are available, preference shall be given to the simplest solution that satisfies functional, security, and performance requirements while remaining maintainable and extensible.</w:t>
            </w:r>
          </w:p>
        </w:tc>
      </w:tr>
      <w:tr>
        <w:tc>
          <w:tcPr>
            <w:tcW w:type="dxa" w:w="2621"/>
            <w:tcMar>
              <w:top w:type="dxa" w:w="70"/>
              <w:left w:type="dxa" w:w="110"/>
              <w:bottom w:type="dxa" w:w="70"/>
              <w:right w:type="dxa" w:w="110"/>
            </w:tcMar>
            <w:vAlign w:val="top"/>
          </w:tcPr>
          <w:p>
            <w:r>
              <w:rPr>
                <w:b/>
                <w:bCs/>
                <w:color w:val="1A1A1A"/>
                <w:sz w:val="17"/>
                <w:szCs w:val="17"/>
              </w:rPr>
              <w:t xml:space="preserve">Reuse Before Reinvention</w:t>
            </w:r>
          </w:p>
        </w:tc>
        <w:tc>
          <w:tcPr>
            <w:tcW w:type="dxa" w:w="7459"/>
            <w:tcMar>
              <w:top w:type="dxa" w:w="70"/>
              <w:left w:type="dxa" w:w="110"/>
              <w:bottom w:type="dxa" w:w="70"/>
              <w:right w:type="dxa" w:w="110"/>
            </w:tcMar>
            <w:vAlign w:val="top"/>
          </w:tcPr>
          <w:p>
            <w:r>
              <w:rPr>
                <w:b w:val="false"/>
                <w:bCs w:val="false"/>
                <w:color w:val="1A1A1A"/>
                <w:sz w:val="17"/>
                <w:szCs w:val="17"/>
              </w:rPr>
              <w:t xml:space="preserve">The solution should maximize reuse of established frameworks, libraries, standards, and platform capabilities rather than creating custom implementations where proven alternatives exist.</w:t>
            </w:r>
          </w:p>
        </w:tc>
      </w:tr>
      <w:tr>
        <w:tc>
          <w:tcPr>
            <w:tcW w:type="dxa" w:w="2621"/>
            <w:tcMar>
              <w:top w:type="dxa" w:w="70"/>
              <w:left w:type="dxa" w:w="110"/>
              <w:bottom w:type="dxa" w:w="70"/>
              <w:right w:type="dxa" w:w="110"/>
            </w:tcMar>
            <w:vAlign w:val="top"/>
          </w:tcPr>
          <w:p>
            <w:r>
              <w:rPr>
                <w:b/>
                <w:bCs/>
                <w:color w:val="1A1A1A"/>
                <w:sz w:val="17"/>
                <w:szCs w:val="17"/>
              </w:rPr>
              <w:t xml:space="preserve">Scalability by Design</w:t>
            </w:r>
          </w:p>
        </w:tc>
        <w:tc>
          <w:tcPr>
            <w:tcW w:type="dxa" w:w="7459"/>
            <w:tcMar>
              <w:top w:type="dxa" w:w="70"/>
              <w:left w:type="dxa" w:w="110"/>
              <w:bottom w:type="dxa" w:w="70"/>
              <w:right w:type="dxa" w:w="110"/>
            </w:tcMar>
            <w:vAlign w:val="top"/>
          </w:tcPr>
          <w:p>
            <w:r>
              <w:rPr>
                <w:b w:val="false"/>
                <w:bCs w:val="false"/>
                <w:color w:val="1A1A1A"/>
                <w:sz w:val="17"/>
                <w:szCs w:val="17"/>
              </w:rPr>
              <w:t xml:space="preserve">The architecture shall support future growth in users, documents, projects, data volume, integrations, and functional capabilities without requiring fundamental redesign.</w:t>
            </w:r>
          </w:p>
        </w:tc>
      </w:tr>
      <w:tr>
        <w:tc>
          <w:tcPr>
            <w:tcW w:type="dxa" w:w="2621"/>
            <w:tcMar>
              <w:top w:type="dxa" w:w="70"/>
              <w:left w:type="dxa" w:w="110"/>
              <w:bottom w:type="dxa" w:w="70"/>
              <w:right w:type="dxa" w:w="110"/>
            </w:tcMar>
            <w:vAlign w:val="top"/>
          </w:tcPr>
          <w:p>
            <w:r>
              <w:rPr>
                <w:b/>
                <w:bCs/>
                <w:color w:val="1A1A1A"/>
                <w:sz w:val="17"/>
                <w:szCs w:val="17"/>
              </w:rPr>
              <w:t xml:space="preserve">Observability</w:t>
            </w:r>
          </w:p>
        </w:tc>
        <w:tc>
          <w:tcPr>
            <w:tcW w:type="dxa" w:w="7459"/>
            <w:tcMar>
              <w:top w:type="dxa" w:w="70"/>
              <w:left w:type="dxa" w:w="110"/>
              <w:bottom w:type="dxa" w:w="70"/>
              <w:right w:type="dxa" w:w="110"/>
            </w:tcMar>
            <w:vAlign w:val="top"/>
          </w:tcPr>
          <w:p>
            <w:r>
              <w:rPr>
                <w:b w:val="false"/>
                <w:bCs w:val="false"/>
                <w:color w:val="1A1A1A"/>
                <w:sz w:val="17"/>
                <w:szCs w:val="17"/>
              </w:rPr>
              <w:t xml:space="preserve">The system shall provide comprehensive monitoring, logging, tracing, auditing, and diagnostics to simplify operations, troubleshooting, and continuous improvement.</w:t>
            </w:r>
          </w:p>
        </w:tc>
      </w:tr>
      <w:tr>
        <w:tc>
          <w:tcPr>
            <w:tcW w:type="dxa" w:w="2621"/>
            <w:tcMar>
              <w:top w:type="dxa" w:w="70"/>
              <w:left w:type="dxa" w:w="110"/>
              <w:bottom w:type="dxa" w:w="70"/>
              <w:right w:type="dxa" w:w="110"/>
            </w:tcMar>
            <w:vAlign w:val="top"/>
          </w:tcPr>
          <w:p>
            <w:r>
              <w:rPr>
                <w:b/>
                <w:bCs/>
                <w:color w:val="1A1A1A"/>
                <w:sz w:val="17"/>
                <w:szCs w:val="17"/>
              </w:rPr>
              <w:t xml:space="preserve">Continuous Improvement</w:t>
            </w:r>
          </w:p>
        </w:tc>
        <w:tc>
          <w:tcPr>
            <w:tcW w:type="dxa" w:w="7459"/>
            <w:tcMar>
              <w:top w:type="dxa" w:w="70"/>
              <w:left w:type="dxa" w:w="110"/>
              <w:bottom w:type="dxa" w:w="70"/>
              <w:right w:type="dxa" w:w="110"/>
            </w:tcMar>
            <w:vAlign w:val="top"/>
          </w:tcPr>
          <w:p>
            <w:r>
              <w:rPr>
                <w:b w:val="false"/>
                <w:bCs w:val="false"/>
                <w:color w:val="1A1A1A"/>
                <w:sz w:val="17"/>
                <w:szCs w:val="17"/>
              </w:rPr>
              <w:t xml:space="preserve">The platform shall evolve iteratively through incremental releases, regular stakeholder feedback, continuous learning, and measurable improvements.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9F3EC" w:sz="2"/>
              <w:left w:val="single" w:color="3F8B5C" w:sz="24"/>
              <w:bottom w:val="single" w:color="E9F3EC" w:sz="2"/>
              <w:right w:val="single" w:color="E9F3EC" w:sz="2"/>
            </w:tcBorders>
            <w:shd w:fill="E9F3EC" w:val="clear"/>
            <w:tcMar>
              <w:top w:type="dxa" w:w="120"/>
              <w:left w:type="dxa" w:w="180"/>
              <w:bottom w:type="dxa" w:w="120"/>
              <w:right w:type="dxa" w:w="180"/>
            </w:tcMar>
          </w:tcPr>
          <w:p>
            <w:pPr>
              <w:spacing w:after="60"/>
            </w:pPr>
            <w:r>
              <w:rPr>
                <w:b/>
                <w:bCs/>
                <w:color w:val="3F8B5C"/>
                <w:sz w:val="17"/>
                <w:szCs w:val="17"/>
              </w:rPr>
              <w:t xml:space="preserve">BEST PRACTICE</w:t>
            </w:r>
          </w:p>
          <w:p>
            <w:pPr>
              <w:spacing w:after="0"/>
            </w:pPr>
            <w:r>
              <w:rPr>
                <w:sz w:val="18"/>
                <w:szCs w:val="18"/>
              </w:rPr>
              <w:t xml:space="preserve">When two engineering principles appear to conflict on a specific decision (for example, Simplicity Over Complexity versus Scalability by Design), resolve in favor of the simplest design that does not foreclose the required future scale — do not default to the most complex option 'to be safe'.</w:t>
            </w:r>
          </w:p>
        </w:tc>
      </w:tr>
    </w:tbl>
    <w:p>
      <w:pPr>
        <w:pStyle w:val="Heading1"/>
        <w:pBdr>
          <w:bottom w:val="single" w:color="C6D2E0" w:sz="4" w:space="4"/>
        </w:pBdr>
        <w:spacing w:after="140" w:before="360"/>
      </w:pPr>
      <w:r>
        <w:rPr>
          <w:b/>
          <w:bCs/>
          <w:color w:val="4A6FA5"/>
          <w:sz w:val="26"/>
          <w:szCs w:val="26"/>
        </w:rPr>
        <w:t xml:space="preserve">1.5  </w:t>
      </w:r>
      <w:r>
        <w:rPr>
          <w:b/>
          <w:bCs/>
          <w:color w:val="1F3864"/>
          <w:sz w:val="26"/>
          <w:szCs w:val="26"/>
        </w:rPr>
        <w:t xml:space="preserve">Engineering Objectives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Specify the measurable qualities the delivered platform must exhibit.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evaluators and auditors a concrete checklist against which to assess the delivered solution.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Translates abstract philosophy (Section 1.4) into assessable platform characteristics.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whose quality can be verified attribute by attribute, not asserted in general terms.</w:t>
            </w:r>
          </w:p>
        </w:tc>
      </w:tr>
    </w:tbl>
    <w:p>
      <w:pPr>
        <w:spacing w:after="160"/>
      </w:pPr>
    </w:p>
    <w:p>
      <w:pPr>
        <w:spacing w:after="150" w:line="276"/>
        <w:jc w:val="both"/>
      </w:pPr>
      <w:r>
        <w:t xml:space="preserve">The engineering team shall design and implement a platform exhibiting the following characteristics, grouped by engineering concern.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1F3864" w:val="clear"/>
            <w:tcMar>
              <w:top w:type="dxa" w:w="70"/>
              <w:left w:type="dxa" w:w="110"/>
              <w:bottom w:type="dxa" w:w="70"/>
              <w:right w:type="dxa" w:w="110"/>
            </w:tcMar>
            <w:vAlign w:val="top"/>
          </w:tcPr>
          <w:p>
            <w:r>
              <w:rPr>
                <w:b/>
                <w:bCs/>
                <w:color w:val="FFFFFF"/>
                <w:sz w:val="17"/>
                <w:szCs w:val="17"/>
              </w:rPr>
              <w:t xml:space="preserve">Category</w:t>
            </w:r>
          </w:p>
        </w:tc>
        <w:tc>
          <w:tcPr>
            <w:tcW w:type="dxa" w:w="7258"/>
            <w:shd w:fill="1F3864" w:val="clear"/>
            <w:tcMar>
              <w:top w:type="dxa" w:w="70"/>
              <w:left w:type="dxa" w:w="110"/>
              <w:bottom w:type="dxa" w:w="70"/>
              <w:right w:type="dxa" w:w="110"/>
            </w:tcMar>
            <w:vAlign w:val="top"/>
          </w:tcPr>
          <w:p>
            <w:r>
              <w:rPr>
                <w:b/>
                <w:bCs/>
                <w:color w:val="FFFFFF"/>
                <w:sz w:val="17"/>
                <w:szCs w:val="17"/>
              </w:rPr>
              <w:t xml:space="preserve">Required Characteristics</w:t>
            </w:r>
          </w:p>
        </w:tc>
      </w:tr>
      <w:tr>
        <w:tc>
          <w:tcPr>
            <w:tcW w:type="dxa" w:w="2822"/>
            <w:tcMar>
              <w:top w:type="dxa" w:w="70"/>
              <w:left w:type="dxa" w:w="110"/>
              <w:bottom w:type="dxa" w:w="70"/>
              <w:right w:type="dxa" w:w="110"/>
            </w:tcMar>
            <w:vAlign w:val="top"/>
          </w:tcPr>
          <w:p>
            <w:r>
              <w:rPr>
                <w:b/>
                <w:bCs/>
                <w:color w:val="1A1A1A"/>
                <w:sz w:val="17"/>
                <w:szCs w:val="17"/>
              </w:rPr>
              <w:t xml:space="preserve">Architecture &amp; Design</w:t>
            </w:r>
          </w:p>
        </w:tc>
        <w:tc>
          <w:tcPr>
            <w:tcW w:type="dxa" w:w="7258"/>
            <w:tcMar>
              <w:top w:type="dxa" w:w="70"/>
              <w:left w:type="dxa" w:w="110"/>
              <w:bottom w:type="dxa" w:w="70"/>
              <w:right w:type="dxa" w:w="110"/>
            </w:tcMar>
            <w:vAlign w:val="top"/>
          </w:tcPr>
          <w:p>
            <w:r>
              <w:rPr>
                <w:b w:val="false"/>
                <w:bCs w:val="false"/>
                <w:color w:val="1A1A1A"/>
                <w:sz w:val="17"/>
                <w:szCs w:val="17"/>
              </w:rPr>
              <w:t xml:space="preserve">Enterprise-grade, API-first, modular, extensible, cloud-ready.</w:t>
            </w:r>
          </w:p>
        </w:tc>
      </w:tr>
      <w:tr>
        <w:tc>
          <w:tcPr>
            <w:tcW w:type="dxa" w:w="2822"/>
            <w:tcMar>
              <w:top w:type="dxa" w:w="70"/>
              <w:left w:type="dxa" w:w="110"/>
              <w:bottom w:type="dxa" w:w="70"/>
              <w:right w:type="dxa" w:w="110"/>
            </w:tcMar>
            <w:vAlign w:val="top"/>
          </w:tcPr>
          <w:p>
            <w:r>
              <w:rPr>
                <w:b/>
                <w:bCs/>
                <w:color w:val="1A1A1A"/>
                <w:sz w:val="17"/>
                <w:szCs w:val="17"/>
              </w:rPr>
              <w:t xml:space="preserve">Security &amp; Compliance</w:t>
            </w:r>
          </w:p>
        </w:tc>
        <w:tc>
          <w:tcPr>
            <w:tcW w:type="dxa" w:w="7258"/>
            <w:tcMar>
              <w:top w:type="dxa" w:w="70"/>
              <w:left w:type="dxa" w:w="110"/>
              <w:bottom w:type="dxa" w:w="70"/>
              <w:right w:type="dxa" w:w="110"/>
            </w:tcMar>
            <w:vAlign w:val="top"/>
          </w:tcPr>
          <w:p>
            <w:r>
              <w:rPr>
                <w:b w:val="false"/>
                <w:bCs w:val="false"/>
                <w:color w:val="1A1A1A"/>
                <w:sz w:val="17"/>
                <w:szCs w:val="17"/>
              </w:rPr>
              <w:t xml:space="preserve">Secure by default, standards-compliant.</w:t>
            </w:r>
          </w:p>
        </w:tc>
      </w:tr>
      <w:tr>
        <w:tc>
          <w:tcPr>
            <w:tcW w:type="dxa" w:w="2822"/>
            <w:tcMar>
              <w:top w:type="dxa" w:w="70"/>
              <w:left w:type="dxa" w:w="110"/>
              <w:bottom w:type="dxa" w:w="70"/>
              <w:right w:type="dxa" w:w="110"/>
            </w:tcMar>
            <w:vAlign w:val="top"/>
          </w:tcPr>
          <w:p>
            <w:r>
              <w:rPr>
                <w:b/>
                <w:bCs/>
                <w:color w:val="1A1A1A"/>
                <w:sz w:val="17"/>
                <w:szCs w:val="17"/>
              </w:rPr>
              <w:t xml:space="preserve">Operations &amp; Reliability</w:t>
            </w:r>
          </w:p>
        </w:tc>
        <w:tc>
          <w:tcPr>
            <w:tcW w:type="dxa" w:w="7258"/>
            <w:tcMar>
              <w:top w:type="dxa" w:w="70"/>
              <w:left w:type="dxa" w:w="110"/>
              <w:bottom w:type="dxa" w:w="70"/>
              <w:right w:type="dxa" w:w="110"/>
            </w:tcMar>
            <w:vAlign w:val="top"/>
          </w:tcPr>
          <w:p>
            <w:r>
              <w:rPr>
                <w:b w:val="false"/>
                <w:bCs w:val="false"/>
                <w:color w:val="1A1A1A"/>
                <w:sz w:val="17"/>
                <w:szCs w:val="17"/>
              </w:rPr>
              <w:t xml:space="preserve">Highly available, resilient, maintainable, cost-effective to operate.</w:t>
            </w:r>
          </w:p>
        </w:tc>
      </w:tr>
      <w:tr>
        <w:tc>
          <w:tcPr>
            <w:tcW w:type="dxa" w:w="2822"/>
            <w:tcMar>
              <w:top w:type="dxa" w:w="70"/>
              <w:left w:type="dxa" w:w="110"/>
              <w:bottom w:type="dxa" w:w="70"/>
              <w:right w:type="dxa" w:w="110"/>
            </w:tcMar>
            <w:vAlign w:val="top"/>
          </w:tcPr>
          <w:p>
            <w:r>
              <w:rPr>
                <w:b/>
                <w:bCs/>
                <w:color w:val="1A1A1A"/>
                <w:sz w:val="17"/>
                <w:szCs w:val="17"/>
              </w:rPr>
              <w:t xml:space="preserve">User Experience</w:t>
            </w:r>
          </w:p>
        </w:tc>
        <w:tc>
          <w:tcPr>
            <w:tcW w:type="dxa" w:w="7258"/>
            <w:tcMar>
              <w:top w:type="dxa" w:w="70"/>
              <w:left w:type="dxa" w:w="110"/>
              <w:bottom w:type="dxa" w:w="70"/>
              <w:right w:type="dxa" w:w="110"/>
            </w:tcMar>
            <w:vAlign w:val="top"/>
          </w:tcPr>
          <w:p>
            <w:r>
              <w:rPr>
                <w:b w:val="false"/>
                <w:bCs w:val="false"/>
                <w:color w:val="1A1A1A"/>
                <w:sz w:val="17"/>
                <w:szCs w:val="17"/>
              </w:rPr>
              <w:t xml:space="preserve">Accessible, mobile-responsive.</w:t>
            </w:r>
          </w:p>
        </w:tc>
      </w:tr>
      <w:tr>
        <w:tc>
          <w:tcPr>
            <w:tcW w:type="dxa" w:w="2822"/>
            <w:tcMar>
              <w:top w:type="dxa" w:w="70"/>
              <w:left w:type="dxa" w:w="110"/>
              <w:bottom w:type="dxa" w:w="70"/>
              <w:right w:type="dxa" w:w="110"/>
            </w:tcMar>
            <w:vAlign w:val="top"/>
          </w:tcPr>
          <w:p>
            <w:r>
              <w:rPr>
                <w:b/>
                <w:bCs/>
                <w:color w:val="1A1A1A"/>
                <w:sz w:val="17"/>
                <w:szCs w:val="17"/>
              </w:rPr>
              <w:t xml:space="preserve">Data &amp; Intelligence</w:t>
            </w:r>
          </w:p>
        </w:tc>
        <w:tc>
          <w:tcPr>
            <w:tcW w:type="dxa" w:w="7258"/>
            <w:tcMar>
              <w:top w:type="dxa" w:w="70"/>
              <w:left w:type="dxa" w:w="110"/>
              <w:bottom w:type="dxa" w:w="70"/>
              <w:right w:type="dxa" w:w="110"/>
            </w:tcMar>
            <w:vAlign w:val="top"/>
          </w:tcPr>
          <w:p>
            <w:r>
              <w:rPr>
                <w:b w:val="false"/>
                <w:bCs w:val="false"/>
                <w:color w:val="1A1A1A"/>
                <w:sz w:val="17"/>
                <w:szCs w:val="17"/>
              </w:rPr>
              <w:t xml:space="preserve">Data-driven, AI-ready.</w:t>
            </w:r>
          </w:p>
        </w:tc>
      </w:tr>
      <w:tr>
        <w:tc>
          <w:tcPr>
            <w:tcW w:type="dxa" w:w="2822"/>
            <w:tcMar>
              <w:top w:type="dxa" w:w="70"/>
              <w:left w:type="dxa" w:w="110"/>
              <w:bottom w:type="dxa" w:w="70"/>
              <w:right w:type="dxa" w:w="110"/>
            </w:tcMar>
            <w:vAlign w:val="top"/>
          </w:tcPr>
          <w:p>
            <w:r>
              <w:rPr>
                <w:b/>
                <w:bCs/>
                <w:color w:val="1A1A1A"/>
                <w:sz w:val="17"/>
                <w:szCs w:val="17"/>
              </w:rPr>
              <w:t xml:space="preserve">Future Readiness</w:t>
            </w:r>
          </w:p>
        </w:tc>
        <w:tc>
          <w:tcPr>
            <w:tcW w:type="dxa" w:w="7258"/>
            <w:tcMar>
              <w:top w:type="dxa" w:w="70"/>
              <w:left w:type="dxa" w:w="110"/>
              <w:bottom w:type="dxa" w:w="70"/>
              <w:right w:type="dxa" w:w="110"/>
            </w:tcMar>
            <w:vAlign w:val="top"/>
          </w:tcPr>
          <w:p>
            <w:r>
              <w:rPr>
                <w:b w:val="false"/>
                <w:bCs w:val="false"/>
                <w:color w:val="1A1A1A"/>
                <w:sz w:val="17"/>
                <w:szCs w:val="17"/>
              </w:rPr>
              <w:t xml:space="preserve">Future-proof.</w:t>
            </w:r>
          </w:p>
        </w:tc>
      </w:tr>
    </w:tbl>
    <w:p>
      <w:pPr>
        <w:spacing w:after="160"/>
      </w:pPr>
    </w:p>
    <w:p>
      <w:pPr>
        <w:spacing w:after="150" w:line="276"/>
        <w:jc w:val="both"/>
      </w:pPr>
      <w:r>
        <w:t xml:space="preserve">The engineering solution should support both current contractual requirements and future expansion without requiring disruptive architectural changes.</w:t>
      </w:r>
    </w:p>
    <w:p>
      <w:pPr>
        <w:pStyle w:val="Heading1"/>
        <w:pBdr>
          <w:bottom w:val="single" w:color="C6D2E0" w:sz="4" w:space="4"/>
        </w:pBdr>
        <w:spacing w:after="140" w:before="360"/>
      </w:pPr>
      <w:r>
        <w:rPr>
          <w:b/>
          <w:bCs/>
          <w:color w:val="4A6FA5"/>
          <w:sz w:val="26"/>
          <w:szCs w:val="26"/>
        </w:rPr>
        <w:t xml:space="preserve">1.6  </w:t>
      </w:r>
      <w:r>
        <w:rPr>
          <w:b/>
          <w:bCs/>
          <w:color w:val="1F3864"/>
          <w:sz w:val="26"/>
          <w:szCs w:val="26"/>
        </w:rPr>
        <w:t xml:space="preserve">Guiding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mandatory end-to-end traceability across every engineering artifact.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and auditors verifiable proof that nothing was built without an approved basis.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Traceability is enforced structurally, not left to individual engineer discipline.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fully traceable chain from requirement to running code for every feature delivered.</w:t>
            </w:r>
          </w:p>
        </w:tc>
      </w:tr>
    </w:tbl>
    <w:p>
      <w:pPr>
        <w:spacing w:after="160"/>
      </w:pPr>
    </w:p>
    <w:p>
      <w:pPr>
        <w:spacing w:after="150" w:line="276"/>
        <w:jc w:val="both"/>
      </w:pPr>
      <w:r>
        <w:t xml:space="preserve">Every engineering decision shall satisfy the following traceability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1F3864" w:val="clear"/>
            <w:tcMar>
              <w:top w:type="dxa" w:w="70"/>
              <w:left w:type="dxa" w:w="110"/>
              <w:bottom w:type="dxa" w:w="70"/>
              <w:right w:type="dxa" w:w="110"/>
            </w:tcMar>
            <w:vAlign w:val="top"/>
          </w:tcPr>
          <w:p>
            <w:r>
              <w:rPr>
                <w:b/>
                <w:bCs/>
                <w:color w:val="FFFFFF"/>
                <w:sz w:val="17"/>
                <w:szCs w:val="17"/>
              </w:rPr>
              <w:t xml:space="preserve">Engineering Artifact</w:t>
            </w:r>
          </w:p>
        </w:tc>
        <w:tc>
          <w:tcPr>
            <w:tcW w:type="dxa" w:w="7661"/>
            <w:shd w:fill="1F3864" w:val="clear"/>
            <w:tcMar>
              <w:top w:type="dxa" w:w="70"/>
              <w:left w:type="dxa" w:w="110"/>
              <w:bottom w:type="dxa" w:w="70"/>
              <w:right w:type="dxa" w:w="110"/>
            </w:tcMar>
            <w:vAlign w:val="top"/>
          </w:tcPr>
          <w:p>
            <w:r>
              <w:rPr>
                <w:b/>
                <w:bCs/>
                <w:color w:val="FFFFFF"/>
                <w:sz w:val="17"/>
                <w:szCs w:val="17"/>
              </w:rPr>
              <w:t xml:space="preserve">Traceability Requirement</w:t>
            </w:r>
          </w:p>
        </w:tc>
      </w:tr>
      <w:tr>
        <w:tc>
          <w:tcPr>
            <w:tcW w:type="dxa" w:w="2419"/>
            <w:tcMar>
              <w:top w:type="dxa" w:w="70"/>
              <w:left w:type="dxa" w:w="110"/>
              <w:bottom w:type="dxa" w:w="70"/>
              <w:right w:type="dxa" w:w="110"/>
            </w:tcMar>
            <w:vAlign w:val="top"/>
          </w:tcPr>
          <w:p>
            <w:r>
              <w:rPr>
                <w:b/>
                <w:bCs/>
                <w:color w:val="1A1A1A"/>
                <w:sz w:val="17"/>
                <w:szCs w:val="17"/>
              </w:rPr>
              <w:t xml:space="preserve">Requirement</w:t>
            </w:r>
          </w:p>
        </w:tc>
        <w:tc>
          <w:tcPr>
            <w:tcW w:type="dxa" w:w="7661"/>
            <w:tcMar>
              <w:top w:type="dxa" w:w="70"/>
              <w:left w:type="dxa" w:w="110"/>
              <w:bottom w:type="dxa" w:w="70"/>
              <w:right w:type="dxa" w:w="110"/>
            </w:tcMar>
            <w:vAlign w:val="top"/>
          </w:tcPr>
          <w:p>
            <w:r>
              <w:rPr>
                <w:b w:val="false"/>
                <w:bCs w:val="false"/>
                <w:color w:val="1A1A1A"/>
                <w:sz w:val="17"/>
                <w:szCs w:val="17"/>
              </w:rPr>
              <w:t xml:space="preserve">Must trace back to the approved Software Requirements Specification (SRS).</w:t>
            </w:r>
          </w:p>
        </w:tc>
      </w:tr>
      <w:tr>
        <w:tc>
          <w:tcPr>
            <w:tcW w:type="dxa" w:w="2419"/>
            <w:tcMar>
              <w:top w:type="dxa" w:w="70"/>
              <w:left w:type="dxa" w:w="110"/>
              <w:bottom w:type="dxa" w:w="70"/>
              <w:right w:type="dxa" w:w="110"/>
            </w:tcMar>
            <w:vAlign w:val="top"/>
          </w:tcPr>
          <w:p>
            <w:r>
              <w:rPr>
                <w:b/>
                <w:bCs/>
                <w:color w:val="1A1A1A"/>
                <w:sz w:val="17"/>
                <w:szCs w:val="17"/>
              </w:rPr>
              <w:t xml:space="preserve">Architectural Decision</w:t>
            </w:r>
          </w:p>
        </w:tc>
        <w:tc>
          <w:tcPr>
            <w:tcW w:type="dxa" w:w="7661"/>
            <w:tcMar>
              <w:top w:type="dxa" w:w="70"/>
              <w:left w:type="dxa" w:w="110"/>
              <w:bottom w:type="dxa" w:w="70"/>
              <w:right w:type="dxa" w:w="110"/>
            </w:tcMar>
            <w:vAlign w:val="top"/>
          </w:tcPr>
          <w:p>
            <w:r>
              <w:rPr>
                <w:b w:val="false"/>
                <w:bCs w:val="false"/>
                <w:color w:val="1A1A1A"/>
                <w:sz w:val="17"/>
                <w:szCs w:val="17"/>
              </w:rPr>
              <w:t xml:space="preserve">Must align with the Enterprise Architecture (EA) Blueprint.</w:t>
            </w:r>
          </w:p>
        </w:tc>
      </w:tr>
      <w:tr>
        <w:tc>
          <w:tcPr>
            <w:tcW w:type="dxa" w:w="2419"/>
            <w:tcMar>
              <w:top w:type="dxa" w:w="70"/>
              <w:left w:type="dxa" w:w="110"/>
              <w:bottom w:type="dxa" w:w="70"/>
              <w:right w:type="dxa" w:w="110"/>
            </w:tcMar>
            <w:vAlign w:val="top"/>
          </w:tcPr>
          <w:p>
            <w:r>
              <w:rPr>
                <w:b/>
                <w:bCs/>
                <w:color w:val="1A1A1A"/>
                <w:sz w:val="17"/>
                <w:szCs w:val="17"/>
              </w:rPr>
              <w:t xml:space="preserve">Database Object</w:t>
            </w:r>
          </w:p>
        </w:tc>
        <w:tc>
          <w:tcPr>
            <w:tcW w:type="dxa" w:w="7661"/>
            <w:tcMar>
              <w:top w:type="dxa" w:w="70"/>
              <w:left w:type="dxa" w:w="110"/>
              <w:bottom w:type="dxa" w:w="70"/>
              <w:right w:type="dxa" w:w="110"/>
            </w:tcMar>
            <w:vAlign w:val="top"/>
          </w:tcPr>
          <w:p>
            <w:r>
              <w:rPr>
                <w:b w:val="false"/>
                <w:bCs w:val="false"/>
                <w:color w:val="1A1A1A"/>
                <w:sz w:val="17"/>
                <w:szCs w:val="17"/>
              </w:rPr>
              <w:t xml:space="preserve">Must trace back to the Database Design Specification (DDS).</w:t>
            </w:r>
          </w:p>
        </w:tc>
      </w:tr>
      <w:tr>
        <w:tc>
          <w:tcPr>
            <w:tcW w:type="dxa" w:w="2419"/>
            <w:tcMar>
              <w:top w:type="dxa" w:w="70"/>
              <w:left w:type="dxa" w:w="110"/>
              <w:bottom w:type="dxa" w:w="70"/>
              <w:right w:type="dxa" w:w="110"/>
            </w:tcMar>
            <w:vAlign w:val="top"/>
          </w:tcPr>
          <w:p>
            <w:r>
              <w:rPr>
                <w:b/>
                <w:bCs/>
                <w:color w:val="1A1A1A"/>
                <w:sz w:val="17"/>
                <w:szCs w:val="17"/>
              </w:rPr>
              <w:t xml:space="preserve">API</w:t>
            </w:r>
          </w:p>
        </w:tc>
        <w:tc>
          <w:tcPr>
            <w:tcW w:type="dxa" w:w="7661"/>
            <w:tcMar>
              <w:top w:type="dxa" w:w="70"/>
              <w:left w:type="dxa" w:w="110"/>
              <w:bottom w:type="dxa" w:w="70"/>
              <w:right w:type="dxa" w:w="110"/>
            </w:tcMar>
            <w:vAlign w:val="top"/>
          </w:tcPr>
          <w:p>
            <w:r>
              <w:rPr>
                <w:b w:val="false"/>
                <w:bCs w:val="false"/>
                <w:color w:val="1A1A1A"/>
                <w:sz w:val="17"/>
                <w:szCs w:val="17"/>
              </w:rPr>
              <w:t xml:space="preserve">Must conform to the approved API &amp; Integration Design Specification.</w:t>
            </w:r>
          </w:p>
        </w:tc>
      </w:tr>
      <w:tr>
        <w:tc>
          <w:tcPr>
            <w:tcW w:type="dxa" w:w="2419"/>
            <w:tcMar>
              <w:top w:type="dxa" w:w="70"/>
              <w:left w:type="dxa" w:w="110"/>
              <w:bottom w:type="dxa" w:w="70"/>
              <w:right w:type="dxa" w:w="110"/>
            </w:tcMar>
            <w:vAlign w:val="top"/>
          </w:tcPr>
          <w:p>
            <w:r>
              <w:rPr>
                <w:b/>
                <w:bCs/>
                <w:color w:val="1A1A1A"/>
                <w:sz w:val="17"/>
                <w:szCs w:val="17"/>
              </w:rPr>
              <w:t xml:space="preserve">User Interface</w:t>
            </w:r>
          </w:p>
        </w:tc>
        <w:tc>
          <w:tcPr>
            <w:tcW w:type="dxa" w:w="7661"/>
            <w:tcMar>
              <w:top w:type="dxa" w:w="70"/>
              <w:left w:type="dxa" w:w="110"/>
              <w:bottom w:type="dxa" w:w="70"/>
              <w:right w:type="dxa" w:w="110"/>
            </w:tcMar>
            <w:vAlign w:val="top"/>
          </w:tcPr>
          <w:p>
            <w:r>
              <w:rPr>
                <w:b w:val="false"/>
                <w:bCs w:val="false"/>
                <w:color w:val="1A1A1A"/>
                <w:sz w:val="17"/>
                <w:szCs w:val="17"/>
              </w:rPr>
              <w:t xml:space="preserve">Must align with the Product Definition Document (PDD) and approved UX principles.</w:t>
            </w:r>
          </w:p>
        </w:tc>
      </w:tr>
      <w:tr>
        <w:tc>
          <w:tcPr>
            <w:tcW w:type="dxa" w:w="2419"/>
            <w:tcMar>
              <w:top w:type="dxa" w:w="70"/>
              <w:left w:type="dxa" w:w="110"/>
              <w:bottom w:type="dxa" w:w="70"/>
              <w:right w:type="dxa" w:w="110"/>
            </w:tcMar>
            <w:vAlign w:val="top"/>
          </w:tcPr>
          <w:p>
            <w:r>
              <w:rPr>
                <w:b/>
                <w:bCs/>
                <w:color w:val="1A1A1A"/>
                <w:sz w:val="17"/>
                <w:szCs w:val="17"/>
              </w:rPr>
              <w:t xml:space="preserve">Workflow</w:t>
            </w:r>
          </w:p>
        </w:tc>
        <w:tc>
          <w:tcPr>
            <w:tcW w:type="dxa" w:w="7661"/>
            <w:tcMar>
              <w:top w:type="dxa" w:w="70"/>
              <w:left w:type="dxa" w:w="110"/>
              <w:bottom w:type="dxa" w:w="70"/>
              <w:right w:type="dxa" w:w="110"/>
            </w:tcMar>
            <w:vAlign w:val="top"/>
          </w:tcPr>
          <w:p>
            <w:r>
              <w:rPr>
                <w:b w:val="false"/>
                <w:bCs w:val="false"/>
                <w:color w:val="1A1A1A"/>
                <w:sz w:val="17"/>
                <w:szCs w:val="17"/>
              </w:rPr>
              <w:t xml:space="preserve">Must reflect approved business processes.</w:t>
            </w:r>
          </w:p>
        </w:tc>
      </w:tr>
      <w:tr>
        <w:tc>
          <w:tcPr>
            <w:tcW w:type="dxa" w:w="2419"/>
            <w:tcMar>
              <w:top w:type="dxa" w:w="70"/>
              <w:left w:type="dxa" w:w="110"/>
              <w:bottom w:type="dxa" w:w="70"/>
              <w:right w:type="dxa" w:w="110"/>
            </w:tcMar>
            <w:vAlign w:val="top"/>
          </w:tcPr>
          <w:p>
            <w:r>
              <w:rPr>
                <w:b/>
                <w:bCs/>
                <w:color w:val="1A1A1A"/>
                <w:sz w:val="17"/>
                <w:szCs w:val="17"/>
              </w:rPr>
              <w:t xml:space="preserve">Deployment</w:t>
            </w:r>
          </w:p>
        </w:tc>
        <w:tc>
          <w:tcPr>
            <w:tcW w:type="dxa" w:w="7661"/>
            <w:tcMar>
              <w:top w:type="dxa" w:w="70"/>
              <w:left w:type="dxa" w:w="110"/>
              <w:bottom w:type="dxa" w:w="70"/>
              <w:right w:type="dxa" w:w="110"/>
            </w:tcMar>
            <w:vAlign w:val="top"/>
          </w:tcPr>
          <w:p>
            <w:r>
              <w:rPr>
                <w:b w:val="false"/>
                <w:bCs w:val="false"/>
                <w:color w:val="1A1A1A"/>
                <w:sz w:val="17"/>
                <w:szCs w:val="17"/>
              </w:rPr>
              <w:t xml:space="preserve">Must follow the Programme Delivery Blueprint.</w:t>
            </w:r>
          </w:p>
        </w:tc>
      </w:tr>
      <w:tr>
        <w:tc>
          <w:tcPr>
            <w:tcW w:type="dxa" w:w="2419"/>
            <w:tcMar>
              <w:top w:type="dxa" w:w="70"/>
              <w:left w:type="dxa" w:w="110"/>
              <w:bottom w:type="dxa" w:w="70"/>
              <w:right w:type="dxa" w:w="110"/>
            </w:tcMar>
            <w:vAlign w:val="top"/>
          </w:tcPr>
          <w:p>
            <w:r>
              <w:rPr>
                <w:b/>
                <w:bCs/>
                <w:color w:val="1A1A1A"/>
                <w:sz w:val="17"/>
                <w:szCs w:val="17"/>
              </w:rPr>
              <w:t xml:space="preserve">Feature</w:t>
            </w:r>
          </w:p>
        </w:tc>
        <w:tc>
          <w:tcPr>
            <w:tcW w:type="dxa" w:w="7661"/>
            <w:tcMar>
              <w:top w:type="dxa" w:w="70"/>
              <w:left w:type="dxa" w:w="110"/>
              <w:bottom w:type="dxa" w:w="70"/>
              <w:right w:type="dxa" w:w="110"/>
            </w:tcMar>
            <w:vAlign w:val="top"/>
          </w:tcPr>
          <w:p>
            <w:r>
              <w:rPr>
                <w:b w:val="false"/>
                <w:bCs w:val="false"/>
                <w:color w:val="1A1A1A"/>
                <w:sz w:val="17"/>
                <w:szCs w:val="17"/>
              </w:rPr>
              <w:t xml:space="preserve">Must have corresponding test cases and measurable acceptance criteria.</w:t>
            </w:r>
          </w:p>
        </w:tc>
      </w:tr>
      <w:tr>
        <w:tc>
          <w:tcPr>
            <w:tcW w:type="dxa" w:w="2419"/>
            <w:tcMar>
              <w:top w:type="dxa" w:w="70"/>
              <w:left w:type="dxa" w:w="110"/>
              <w:bottom w:type="dxa" w:w="70"/>
              <w:right w:type="dxa" w:w="110"/>
            </w:tcMar>
            <w:vAlign w:val="top"/>
          </w:tcPr>
          <w:p>
            <w:r>
              <w:rPr>
                <w:b/>
                <w:bCs/>
                <w:color w:val="1A1A1A"/>
                <w:sz w:val="17"/>
                <w:szCs w:val="17"/>
              </w:rPr>
              <w:t xml:space="preserve">Implementation</w:t>
            </w:r>
          </w:p>
        </w:tc>
        <w:tc>
          <w:tcPr>
            <w:tcW w:type="dxa" w:w="7661"/>
            <w:tcMar>
              <w:top w:type="dxa" w:w="70"/>
              <w:left w:type="dxa" w:w="110"/>
              <w:bottom w:type="dxa" w:w="70"/>
              <w:right w:type="dxa" w:w="110"/>
            </w:tcMar>
            <w:vAlign w:val="top"/>
          </w:tcPr>
          <w:p>
            <w:r>
              <w:rPr>
                <w:b w:val="false"/>
                <w:bCs w:val="false"/>
                <w:color w:val="1A1A1A"/>
                <w:sz w:val="17"/>
                <w:szCs w:val="17"/>
              </w:rPr>
              <w:t xml:space="preserve">Must support long-term maintainability and knowledge transfer.</w:t>
            </w:r>
          </w:p>
        </w:tc>
      </w:tr>
    </w:tbl>
    <w:p>
      <w:pPr>
        <w:pStyle w:val="Heading1"/>
        <w:pBdr>
          <w:bottom w:val="single" w:color="C6D2E0" w:sz="4" w:space="4"/>
        </w:pBdr>
        <w:spacing w:after="140" w:before="360"/>
      </w:pPr>
      <w:r>
        <w:rPr>
          <w:b/>
          <w:bCs/>
          <w:color w:val="4A6FA5"/>
          <w:sz w:val="26"/>
          <w:szCs w:val="26"/>
        </w:rPr>
        <w:t xml:space="preserve">1.7  </w:t>
      </w:r>
      <w:r>
        <w:rPr>
          <w:b/>
          <w:bCs/>
          <w:color w:val="1F3864"/>
          <w:sz w:val="26"/>
          <w:szCs w:val="26"/>
        </w:rPr>
        <w:t xml:space="preserve">Definition of Success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objective, verifiable criteria by which project success is assessed.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Removes ambiguity from stakeholder expectations at project closeout.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criterion below is independently verifiable, not a subjective impression.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shared, unambiguous definition of 'done' across client and delivery team.</w:t>
            </w:r>
          </w:p>
        </w:tc>
      </w:tr>
    </w:tbl>
    <w:p>
      <w:pPr>
        <w:spacing w:after="160"/>
      </w:pPr>
    </w:p>
    <w:p>
      <w:pPr>
        <w:spacing w:after="150" w:line="276"/>
        <w:jc w:val="both"/>
      </w:pPr>
      <w:r>
        <w:t xml:space="preserve">The project will be considered successful when:</w:t>
      </w:r>
    </w:p>
    <w:p>
      <w:pPr>
        <w:pStyle w:val="ListParagraph"/>
        <w:numPr>
          <w:ilvl w:val="0"/>
          <w:numId w:val="1"/>
        </w:numPr>
        <w:spacing w:after="90" w:line="264"/>
      </w:pPr>
      <w:r>
        <w:t xml:space="preserve">The platform fully satisfies all contractual requirements.</w:t>
      </w:r>
    </w:p>
    <w:p>
      <w:pPr>
        <w:pStyle w:val="ListParagraph"/>
        <w:numPr>
          <w:ilvl w:val="0"/>
          <w:numId w:val="1"/>
        </w:numPr>
        <w:spacing w:after="90" w:line="264"/>
      </w:pPr>
      <w:r>
        <w:t xml:space="preserve">Users can perform their responsibilities efficiently and confidently.</w:t>
      </w:r>
    </w:p>
    <w:p>
      <w:pPr>
        <w:pStyle w:val="ListParagraph"/>
        <w:numPr>
          <w:ilvl w:val="0"/>
          <w:numId w:val="1"/>
        </w:numPr>
        <w:spacing w:after="90" w:line="264"/>
      </w:pPr>
      <w:r>
        <w:t xml:space="preserve">Business processes are automated and transparent.</w:t>
      </w:r>
    </w:p>
    <w:p>
      <w:pPr>
        <w:pStyle w:val="ListParagraph"/>
        <w:numPr>
          <w:ilvl w:val="0"/>
          <w:numId w:val="1"/>
        </w:numPr>
        <w:spacing w:after="90" w:line="264"/>
      </w:pPr>
      <w:r>
        <w:t xml:space="preserve">Knowledge assets are centralized, searchable, and reusable.</w:t>
      </w:r>
    </w:p>
    <w:p>
      <w:pPr>
        <w:pStyle w:val="ListParagraph"/>
        <w:numPr>
          <w:ilvl w:val="0"/>
          <w:numId w:val="1"/>
        </w:numPr>
        <w:spacing w:after="90" w:line="264"/>
      </w:pPr>
      <w:r>
        <w:t xml:space="preserve">Programme performance can be monitored in real time.</w:t>
      </w:r>
    </w:p>
    <w:p>
      <w:pPr>
        <w:pStyle w:val="ListParagraph"/>
        <w:numPr>
          <w:ilvl w:val="0"/>
          <w:numId w:val="1"/>
        </w:numPr>
        <w:spacing w:after="90" w:line="264"/>
      </w:pPr>
      <w:r>
        <w:t xml:space="preserve">Reports and dashboards support evidence-based decision-making.</w:t>
      </w:r>
    </w:p>
    <w:p>
      <w:pPr>
        <w:pStyle w:val="ListParagraph"/>
        <w:numPr>
          <w:ilvl w:val="0"/>
          <w:numId w:val="1"/>
        </w:numPr>
        <w:spacing w:after="90" w:line="264"/>
      </w:pPr>
      <w:r>
        <w:t xml:space="preserve">Security controls protect sensitive information and comply with applicable regulations.</w:t>
      </w:r>
    </w:p>
    <w:p>
      <w:pPr>
        <w:pStyle w:val="ListParagraph"/>
        <w:numPr>
          <w:ilvl w:val="0"/>
          <w:numId w:val="1"/>
        </w:numPr>
        <w:spacing w:after="90" w:line="264"/>
      </w:pPr>
      <w:r>
        <w:t xml:space="preserve">The solution performs reliably under expected operational loads.</w:t>
      </w:r>
    </w:p>
    <w:p>
      <w:pPr>
        <w:pStyle w:val="ListParagraph"/>
        <w:numPr>
          <w:ilvl w:val="0"/>
          <w:numId w:val="1"/>
        </w:numPr>
        <w:spacing w:after="90" w:line="264"/>
      </w:pPr>
      <w:r>
        <w:t xml:space="preserve">Documentation is complete and sufficient for ongoing maintenance.</w:t>
      </w:r>
    </w:p>
    <w:p>
      <w:pPr>
        <w:pStyle w:val="ListParagraph"/>
        <w:numPr>
          <w:ilvl w:val="0"/>
          <w:numId w:val="1"/>
        </w:numPr>
        <w:spacing w:after="90" w:line="264"/>
      </w:pPr>
      <w:r>
        <w:t xml:space="preserve">SAPZ staff can independently administer, operate, and extend the platform following project completion.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1FB" w:sz="2"/>
              <w:left w:val="single" w:color="2E5395" w:sz="24"/>
              <w:bottom w:val="single" w:color="EAF1FB" w:sz="2"/>
              <w:right w:val="single" w:color="EAF1FB" w:sz="2"/>
            </w:tcBorders>
            <w:shd w:fill="EAF1FB" w:val="clear"/>
            <w:tcMar>
              <w:top w:type="dxa" w:w="120"/>
              <w:left w:type="dxa" w:w="180"/>
              <w:bottom w:type="dxa" w:w="120"/>
              <w:right w:type="dxa" w:w="180"/>
            </w:tcMar>
          </w:tcPr>
          <w:p>
            <w:pPr>
              <w:spacing w:after="60"/>
            </w:pPr>
            <w:r>
              <w:rPr>
                <w:b/>
                <w:bCs/>
                <w:color w:val="2E5395"/>
                <w:sz w:val="17"/>
                <w:szCs w:val="17"/>
              </w:rPr>
              <w:t xml:space="preserve">RECOMMENDATION</w:t>
            </w:r>
          </w:p>
          <w:p>
            <w:pPr>
              <w:spacing w:after="0"/>
            </w:pPr>
            <w:r>
              <w:rPr>
                <w:sz w:val="18"/>
                <w:szCs w:val="18"/>
              </w:rPr>
              <w:t xml:space="preserve">Use this list as the literal closeout checklist at User Acceptance Testing (UAT) and contract closure — each bullet should have a named piece of evidence attached to it, not be signed off on trust.</w:t>
            </w:r>
          </w:p>
        </w:tc>
      </w:tr>
    </w:tbl>
    <w:p>
      <w:pPr>
        <w:pStyle w:val="Heading1"/>
        <w:pBdr>
          <w:bottom w:val="single" w:color="C6D2E0" w:sz="4" w:space="4"/>
        </w:pBdr>
        <w:spacing w:after="140" w:before="360"/>
      </w:pPr>
      <w:r>
        <w:rPr>
          <w:b/>
          <w:bCs/>
          <w:color w:val="4A6FA5"/>
          <w:sz w:val="26"/>
          <w:szCs w:val="26"/>
        </w:rPr>
        <w:t xml:space="preserve">1.8  </w:t>
      </w:r>
      <w:r>
        <w:rPr>
          <w:b/>
          <w:bCs/>
          <w:color w:val="1F3864"/>
          <w:sz w:val="26"/>
          <w:szCs w:val="26"/>
        </w:rPr>
        <w:t xml:space="preserve">Antigravity Engineering Charter</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Antigravity's mandate and operating boundaries as the Chief Engineering Organization for this project.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clear accountability model for AI-assisted engineering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operates as a disciplined engineering team, not an unconstrained code generator.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Production-ready, traceable engineering artifacts at every stage of delivery.</w:t>
            </w:r>
          </w:p>
        </w:tc>
      </w:tr>
    </w:tbl>
    <w:p>
      <w:pPr>
        <w:spacing w:after="160"/>
      </w:pPr>
    </w:p>
    <w:p>
      <w:pPr>
        <w:spacing w:after="150" w:line="276"/>
        <w:jc w:val="both"/>
      </w:pPr>
      <w:r>
        <w:t xml:space="preserve">Antigravity shall operate as the Chief Engineering Organization for this project.</w:t>
      </w:r>
    </w:p>
    <w:p>
      <w:pPr>
        <w:spacing w:after="150" w:line="276"/>
        <w:jc w:val="both"/>
      </w:pPr>
      <w:r>
        <w:t xml:space="preserve">Its responsibility is not simply to generate software artifacts but to act as an enterprise engineering team responsible for delivering a coherent, maintainable, secure, and production-ready solution.</w:t>
      </w:r>
    </w:p>
    <w:p>
      <w:pPr>
        <w:spacing w:after="150" w:line="276"/>
        <w:jc w:val="both"/>
      </w:pPr>
      <w:r>
        <w:t xml:space="preserve">Accordingly, Antigravity shall:</w:t>
      </w:r>
    </w:p>
    <w:p>
      <w:pPr>
        <w:pStyle w:val="ListParagraph"/>
        <w:numPr>
          <w:ilvl w:val="0"/>
          <w:numId w:val="1"/>
        </w:numPr>
        <w:spacing w:after="90" w:line="264"/>
      </w:pPr>
      <w:r>
        <w:t xml:space="preserve">Use all approved project documents as authoritative inputs.</w:t>
      </w:r>
    </w:p>
    <w:p>
      <w:pPr>
        <w:pStyle w:val="ListParagraph"/>
        <w:numPr>
          <w:ilvl w:val="0"/>
          <w:numId w:val="1"/>
        </w:numPr>
        <w:spacing w:after="90" w:line="264"/>
      </w:pPr>
      <w:r>
        <w:t xml:space="preserve">Never invent business requirements or functionality that is not supported by the approved specifications.</w:t>
      </w:r>
    </w:p>
    <w:p>
      <w:pPr>
        <w:pStyle w:val="ListParagraph"/>
        <w:numPr>
          <w:ilvl w:val="0"/>
          <w:numId w:val="1"/>
        </w:numPr>
        <w:spacing w:after="90" w:line="264"/>
      </w:pPr>
      <w:r>
        <w:t xml:space="preserve">Flag ambiguities, inconsistencies, or conflicts before proceeding with implementation.</w:t>
      </w:r>
    </w:p>
    <w:p>
      <w:pPr>
        <w:pStyle w:val="ListParagraph"/>
        <w:numPr>
          <w:ilvl w:val="0"/>
          <w:numId w:val="1"/>
        </w:numPr>
        <w:spacing w:after="90" w:line="264"/>
      </w:pPr>
      <w:r>
        <w:t xml:space="preserve">Maintain complete traceability between requirements, architecture, design, implementation, and testing.</w:t>
      </w:r>
    </w:p>
    <w:p>
      <w:pPr>
        <w:pStyle w:val="ListParagraph"/>
        <w:numPr>
          <w:ilvl w:val="0"/>
          <w:numId w:val="1"/>
        </w:numPr>
        <w:spacing w:after="90" w:line="264"/>
      </w:pPr>
      <w:r>
        <w:t xml:space="preserve">Record significant technical decisions through Architecture Decision Records (ADRs).</w:t>
      </w:r>
    </w:p>
    <w:p>
      <w:pPr>
        <w:pStyle w:val="ListParagraph"/>
        <w:numPr>
          <w:ilvl w:val="0"/>
          <w:numId w:val="1"/>
        </w:numPr>
        <w:spacing w:after="90" w:line="264"/>
      </w:pPr>
      <w:r>
        <w:t xml:space="preserve">Prefer maintainability, clarity, and extensibility over unnecessary technical complexity.</w:t>
      </w:r>
    </w:p>
    <w:p>
      <w:pPr>
        <w:pStyle w:val="ListParagraph"/>
        <w:numPr>
          <w:ilvl w:val="0"/>
          <w:numId w:val="1"/>
        </w:numPr>
        <w:spacing w:after="90" w:line="264"/>
      </w:pPr>
      <w:r>
        <w:t xml:space="preserve">Produce engineering artefacts that are suitable for professional code review, quality assurance, deployment, and long-term operational support.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1FB" w:sz="2"/>
              <w:left w:val="single" w:color="1F3864" w:sz="24"/>
              <w:bottom w:val="single" w:color="EAF1FB" w:sz="2"/>
              <w:right w:val="single" w:color="EAF1FB" w:sz="2"/>
            </w:tcBorders>
            <w:shd w:fill="EAF1FB" w:val="clear"/>
            <w:tcMar>
              <w:top w:type="dxa" w:w="120"/>
              <w:left w:type="dxa" w:w="180"/>
              <w:bottom w:type="dxa" w:w="120"/>
              <w:right w:type="dxa" w:w="180"/>
            </w:tcMar>
          </w:tcPr>
          <w:p>
            <w:pPr>
              <w:spacing w:after="60"/>
            </w:pPr>
            <w:r>
              <w:rPr>
                <w:b/>
                <w:bCs/>
                <w:color w:val="1F3864"/>
                <w:sz w:val="17"/>
                <w:szCs w:val="17"/>
              </w:rPr>
              <w:t xml:space="preserve">ARCHITECTURE DECISION</w:t>
            </w:r>
          </w:p>
          <w:p>
            <w:pPr>
              <w:spacing w:after="0"/>
            </w:pPr>
            <w:r>
              <w:rPr>
                <w:sz w:val="18"/>
                <w:szCs w:val="18"/>
              </w:rPr>
              <w:t xml:space="preserve">Antigravity's charter is binding for the duration of the engineering programme. Any deviation (for example, implementing functionality not traceable to an approved specification) is treated as a nonconformance, to be logged and resolved via the Architecture Decision Record process (see Chapter 22).</w:t>
            </w:r>
          </w:p>
        </w:tc>
      </w:tr>
    </w:tbl>
    <w:p>
      <w:pPr>
        <w:pStyle w:val="Heading1"/>
        <w:pBdr>
          <w:bottom w:val="single" w:color="C6D2E0" w:sz="4" w:space="4"/>
        </w:pBdr>
        <w:spacing w:after="140" w:before="360"/>
      </w:pPr>
      <w:r>
        <w:rPr>
          <w:b/>
          <w:bCs/>
          <w:color w:val="4A6FA5"/>
          <w:sz w:val="26"/>
          <w:szCs w:val="26"/>
        </w:rPr>
        <w:t xml:space="preserve">1.9  </w:t>
      </w:r>
      <w:r>
        <w:rPr>
          <w:b/>
          <w:bCs/>
          <w:color w:val="1F3864"/>
          <w:sz w:val="26"/>
          <w:szCs w:val="26"/>
        </w:rPr>
        <w:t xml:space="preserve">Chapter Summary</w:t>
      </w:r>
    </w:p>
    <w:p>
      <w:pPr>
        <w:spacing w:after="150" w:line="276"/>
        <w:jc w:val="both"/>
      </w:pPr>
      <w:r>
        <w:t xml:space="preserve">This chapter established the Enterprise Engineering Handbook as the single governing technical reference for the SAPZ Programme's ESM Platform and CKR, complementing — not replacing — the eight prior project artifacts. It defined the programme's business context, the engineering mission (programme outcomes over feature count), the nine-principle engineering philosophy, the platform's sixteen required qualities, the mandatory traceability chain from requirement to running code, the objective definition of project success, and the Antigravity Engineering Charter under which all AI-assisted engineering delivery operates.</w:t>
      </w:r>
    </w:p>
    <w:p>
      <w:pPr>
        <w:pStyle w:val="Heading2"/>
        <w:spacing w:after="110" w:before="260"/>
      </w:pPr>
      <w:r>
        <w:rPr>
          <w:b/>
          <w:bCs/>
          <w:color w:val="4A6FA5"/>
          <w:sz w:val="21"/>
          <w:szCs w:val="21"/>
        </w:rPr>
        <w:t xml:space="preserve">1.9.1  </w:t>
      </w:r>
      <w:r>
        <w:rPr>
          <w:b/>
          <w:bCs/>
          <w:color w:val="1F3864"/>
          <w:sz w:val="21"/>
          <w:szCs w:val="21"/>
        </w:rPr>
        <w:t xml:space="preserve">Key Engineering Principles</w:t>
      </w:r>
    </w:p>
    <w:p>
      <w:pPr>
        <w:pStyle w:val="ListParagraph"/>
        <w:numPr>
          <w:ilvl w:val="0"/>
          <w:numId w:val="1"/>
        </w:numPr>
        <w:spacing w:after="90" w:line="264"/>
      </w:pPr>
      <w:r>
        <w:t xml:space="preserve">This handbook is authoritative; conflicts with other artifacts must be flagged, never silently resolved.</w:t>
      </w:r>
    </w:p>
    <w:p>
      <w:pPr>
        <w:pStyle w:val="ListParagraph"/>
        <w:numPr>
          <w:ilvl w:val="0"/>
          <w:numId w:val="1"/>
        </w:numPr>
        <w:spacing w:after="90" w:line="264"/>
      </w:pPr>
      <w:r>
        <w:t xml:space="preserve">Business Before Technology and Security by Design are non-negotiable across every layer.</w:t>
      </w:r>
    </w:p>
    <w:p>
      <w:pPr>
        <w:pStyle w:val="ListParagraph"/>
        <w:numPr>
          <w:ilvl w:val="0"/>
          <w:numId w:val="1"/>
        </w:numPr>
        <w:spacing w:after="90" w:line="264"/>
      </w:pPr>
      <w:r>
        <w:t xml:space="preserve">Every artifact — requirement, architecture decision, database object, API, UI, workflow, deployment, feature, implementation — must trace to an approved source.</w:t>
      </w:r>
    </w:p>
    <w:p>
      <w:pPr>
        <w:pStyle w:val="ListParagraph"/>
        <w:numPr>
          <w:ilvl w:val="0"/>
          <w:numId w:val="1"/>
        </w:numPr>
        <w:spacing w:after="90" w:line="264"/>
      </w:pPr>
      <w:r>
        <w:t xml:space="preserve">Success is measured by outcome (adoption, efficiency, maintainability), not feature count.</w:t>
      </w:r>
    </w:p>
    <w:p>
      <w:pPr>
        <w:pStyle w:val="ListParagraph"/>
        <w:numPr>
          <w:ilvl w:val="0"/>
          <w:numId w:val="1"/>
        </w:numPr>
        <w:spacing w:after="90" w:line="264"/>
      </w:pPr>
      <w:r>
        <w:t xml:space="preserve">Antigravity must never invent requirements; ambiguity is flagged, not silently resolved.</w:t>
      </w:r>
    </w:p>
    <w:p>
      <w:pPr>
        <w:pStyle w:val="Heading2"/>
        <w:spacing w:after="110" w:before="260"/>
      </w:pPr>
      <w:r>
        <w:rPr>
          <w:b/>
          <w:bCs/>
          <w:color w:val="4A6FA5"/>
          <w:sz w:val="21"/>
          <w:szCs w:val="21"/>
        </w:rPr>
        <w:t xml:space="preserve">1.9.2  </w:t>
      </w:r>
      <w:r>
        <w:rPr>
          <w:b/>
          <w:bCs/>
          <w:color w:val="1F3864"/>
          <w:sz w:val="21"/>
          <w:szCs w:val="21"/>
        </w:rPr>
        <w:t xml:space="preserve">Implementation Checklist</w:t>
      </w:r>
    </w:p>
    <w:p>
      <w:pPr>
        <w:pStyle w:val="ListParagraph"/>
        <w:numPr>
          <w:ilvl w:val="0"/>
          <w:numId w:val="1"/>
        </w:numPr>
        <w:spacing w:after="90" w:line="264"/>
      </w:pPr>
      <w:r>
        <w:t xml:space="preserve">☐ Confirm every engineer on the programme has read and acknowledged this handbook.</w:t>
      </w:r>
    </w:p>
    <w:p>
      <w:pPr>
        <w:pStyle w:val="ListParagraph"/>
        <w:numPr>
          <w:ilvl w:val="0"/>
          <w:numId w:val="1"/>
        </w:numPr>
        <w:spacing w:after="90" w:line="264"/>
      </w:pPr>
      <w:r>
        <w:t xml:space="preserve">☐ Confirm the eight baseline documents (SRS, EA Blueprint, PDD, DDS, API &amp; Integration Specification, Test Strategy, Programme Delivery Blueprint, Solution Demonstration Script) are accessible to the engineering team.</w:t>
      </w:r>
    </w:p>
    <w:p>
      <w:pPr>
        <w:pStyle w:val="ListParagraph"/>
        <w:numPr>
          <w:ilvl w:val="0"/>
          <w:numId w:val="1"/>
        </w:numPr>
        <w:spacing w:after="90" w:line="264"/>
      </w:pPr>
      <w:r>
        <w:t xml:space="preserve">☐ Confirm the Architecture Decision Record (ADR) log (Chapter 22) is initialized before Sprint 1 begins.</w:t>
      </w:r>
    </w:p>
    <w:p>
      <w:pPr>
        <w:pStyle w:val="ListParagraph"/>
        <w:numPr>
          <w:ilvl w:val="0"/>
          <w:numId w:val="1"/>
        </w:numPr>
        <w:spacing w:after="90" w:line="264"/>
      </w:pPr>
      <w:r>
        <w:t xml:space="preserve">☐ Confirm the Definition of Success checklist (Section 1.7) is attached to the project closeout plan.</w:t>
      </w:r>
    </w:p>
    <w:p>
      <w:pPr>
        <w:pStyle w:val="Heading2"/>
        <w:spacing w:after="110" w:before="260"/>
      </w:pPr>
      <w:r>
        <w:rPr>
          <w:b/>
          <w:bCs/>
          <w:color w:val="4A6FA5"/>
          <w:sz w:val="21"/>
          <w:szCs w:val="21"/>
        </w:rPr>
        <w:t xml:space="preserve">1.9.3  </w:t>
      </w:r>
      <w:r>
        <w:rPr>
          <w:b/>
          <w:bCs/>
          <w:color w:val="1F3864"/>
          <w:sz w:val="21"/>
          <w:szCs w:val="21"/>
        </w:rPr>
        <w:t xml:space="preserve">Related Chapters</w:t>
      </w:r>
    </w:p>
    <w:p>
      <w:pPr>
        <w:pStyle w:val="ListParagraph"/>
        <w:numPr>
          <w:ilvl w:val="0"/>
          <w:numId w:val="1"/>
        </w:numPr>
        <w:spacing w:after="90" w:line="264"/>
      </w:pPr>
      <w:r>
        <w:t xml:space="preserve">Chapter 2 — Engineering Mission and Objectives</w:t>
      </w:r>
    </w:p>
    <w:p>
      <w:pPr>
        <w:pStyle w:val="ListParagraph"/>
        <w:numPr>
          <w:ilvl w:val="0"/>
          <w:numId w:val="1"/>
        </w:numPr>
        <w:spacing w:after="90" w:line="264"/>
      </w:pPr>
      <w:r>
        <w:t xml:space="preserve">Chapter 5 — Engineering Principles</w:t>
      </w:r>
    </w:p>
    <w:p>
      <w:pPr>
        <w:pStyle w:val="ListParagraph"/>
        <w:numPr>
          <w:ilvl w:val="0"/>
          <w:numId w:val="1"/>
        </w:numPr>
        <w:spacing w:after="90" w:line="264"/>
      </w:pPr>
      <w:r>
        <w:t xml:space="preserve">Chapter 6 — Architecture Governance</w:t>
      </w:r>
    </w:p>
    <w:p>
      <w:pPr>
        <w:pStyle w:val="ListParagraph"/>
        <w:numPr>
          <w:ilvl w:val="0"/>
          <w:numId w:val="1"/>
        </w:numPr>
        <w:spacing w:after="90" w:line="264"/>
      </w:pPr>
      <w:r>
        <w:t xml:space="preserve">Chapter 22 — Engineering Decision Log / Architecture Decision Record (ADR) Process</w:t>
      </w:r>
    </w:p>
    <w:p>
      <w:pPr>
        <w:pStyle w:val="ListParagraph"/>
        <w:numPr>
          <w:ilvl w:val="0"/>
          <w:numId w:val="1"/>
        </w:numPr>
        <w:spacing w:after="90" w:line="264"/>
      </w:pPr>
      <w:r>
        <w:t xml:space="preserve">Chapter 23 — Antigravity Operating Instructions</w:t>
      </w:r>
    </w:p>
    <w:p>
      <w:pPr>
        <w:pStyle w:val="Heading2"/>
        <w:spacing w:after="110" w:before="260"/>
      </w:pPr>
      <w:r>
        <w:rPr>
          <w:b/>
          <w:bCs/>
          <w:color w:val="4A6FA5"/>
          <w:sz w:val="21"/>
          <w:szCs w:val="21"/>
        </w:rPr>
        <w:t xml:space="preserve">1.9.4  </w:t>
      </w:r>
      <w:r>
        <w:rPr>
          <w:b/>
          <w:bCs/>
          <w:color w:val="1F3864"/>
          <w:sz w:val="21"/>
          <w:szCs w:val="21"/>
        </w:rPr>
        <w:t xml:space="preserve">References</w:t>
      </w:r>
    </w:p>
    <w:p>
      <w:pPr>
        <w:pStyle w:val="ListParagraph"/>
        <w:numPr>
          <w:ilvl w:val="0"/>
          <w:numId w:val="1"/>
        </w:numPr>
        <w:spacing w:after="90" w:line="264"/>
      </w:pPr>
      <w:r>
        <w:t xml:space="preserve">Procurement Intelligence Report</w:t>
      </w:r>
    </w:p>
    <w:p>
      <w:pPr>
        <w:pStyle w:val="ListParagraph"/>
        <w:numPr>
          <w:ilvl w:val="0"/>
          <w:numId w:val="1"/>
        </w:numPr>
        <w:spacing w:after="90" w:line="264"/>
      </w:pPr>
      <w:r>
        <w:t xml:space="preserve">Enterprise Architecture (EA) Blueprint</w:t>
      </w:r>
    </w:p>
    <w:p>
      <w:pPr>
        <w:pStyle w:val="ListParagraph"/>
        <w:numPr>
          <w:ilvl w:val="0"/>
          <w:numId w:val="1"/>
        </w:numPr>
        <w:spacing w:after="90" w:line="264"/>
      </w:pPr>
      <w:r>
        <w:t xml:space="preserve">Product Definition Document (PDD)</w:t>
      </w:r>
    </w:p>
    <w:p>
      <w:pPr>
        <w:pStyle w:val="ListParagraph"/>
        <w:numPr>
          <w:ilvl w:val="0"/>
          <w:numId w:val="1"/>
        </w:numPr>
        <w:spacing w:after="90" w:line="264"/>
      </w:pPr>
      <w:r>
        <w:t xml:space="preserve">Software Requirements Specification (SRS)</w:t>
      </w:r>
    </w:p>
    <w:p>
      <w:pPr>
        <w:pStyle w:val="ListParagraph"/>
        <w:numPr>
          <w:ilvl w:val="0"/>
          <w:numId w:val="1"/>
        </w:numPr>
        <w:spacing w:after="90" w:line="264"/>
      </w:pPr>
      <w:r>
        <w:t xml:space="preserve">Database Design Specification (DDS)</w:t>
      </w:r>
    </w:p>
    <w:p>
      <w:pPr>
        <w:pStyle w:val="ListParagraph"/>
        <w:numPr>
          <w:ilvl w:val="0"/>
          <w:numId w:val="1"/>
        </w:numPr>
        <w:spacing w:after="90" w:line="264"/>
      </w:pPr>
      <w:r>
        <w:t xml:space="preserve">API &amp; Integration Design Specification (AIDS)</w:t>
      </w:r>
    </w:p>
    <w:p>
      <w:pPr>
        <w:pStyle w:val="ListParagraph"/>
        <w:numPr>
          <w:ilvl w:val="0"/>
          <w:numId w:val="1"/>
        </w:numPr>
        <w:spacing w:after="90" w:line="264"/>
      </w:pPr>
      <w:r>
        <w:t xml:space="preserve">Test Strategy, Verification &amp; Acceptance Specification (TSAS)</w:t>
      </w:r>
    </w:p>
    <w:p>
      <w:pPr>
        <w:pStyle w:val="ListParagraph"/>
        <w:numPr>
          <w:ilvl w:val="0"/>
          <w:numId w:val="1"/>
        </w:numPr>
        <w:spacing w:after="90" w:line="264"/>
      </w:pPr>
      <w:r>
        <w:t xml:space="preserve">Programme Delivery &amp; Implementation Blueprint (PDIB)</w:t>
      </w:r>
    </w:p>
    <w:p>
      <w:pPr>
        <w:pStyle w:val="ListParagraph"/>
        <w:numPr>
          <w:ilvl w:val="0"/>
          <w:numId w:val="1"/>
        </w:numPr>
        <w:spacing w:after="90" w:line="264"/>
      </w:pPr>
      <w:r>
        <w:t xml:space="preserve">Solution Demonstration Script &amp; Executive Storyboard (SDS)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2026-07-19T18:11:54.610Z</dcterms:created>
  <dcterms:modified xsi:type="dcterms:W3CDTF">2026-07-19T18:11:54.611Z</dcterms:modified>
</cp:coreProperties>
</file>

<file path=docProps/custom.xml><?xml version="1.0" encoding="utf-8"?>
<Properties xmlns="http://schemas.openxmlformats.org/officeDocument/2006/custom-properties" xmlns:vt="http://schemas.openxmlformats.org/officeDocument/2006/docPropsVTypes"/>
</file>