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2</w:t>
      </w:r>
    </w:p>
    <w:p>
      <w:pPr>
        <w:pBdr>
          <w:bottom w:val="single" w:color="1F3864" w:sz="14" w:space="10"/>
        </w:pBdr>
        <w:spacing w:after="160"/>
        <w:jc w:val="center"/>
      </w:pPr>
      <w:r>
        <w:rPr>
          <w:b/>
          <w:bCs/>
          <w:color w:val="152238"/>
          <w:sz w:val="40"/>
          <w:szCs w:val="40"/>
        </w:rPr>
        <w:t xml:space="preserve">Engineering Mission and Objectives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Strategic Engineering Objectives</w:t>
      </w:r>
    </w:p>
    <w:p>
      <w:r>
        <w:br w:type="page"/>
      </w:r>
    </w:p>
    <w:p>
      <w:pPr>
        <w:spacing w:after="40"/>
        <w:jc w:val="left"/>
      </w:pPr>
      <w:r>
        <w:rPr>
          <w:b/>
          <w:bCs/>
          <w:caps/>
          <w:color w:val="4A6FA5"/>
          <w:sz w:val="22"/>
          <w:szCs w:val="22"/>
        </w:rPr>
        <w:t xml:space="preserve">CHAPTER 2</w:t>
      </w:r>
    </w:p>
    <w:p>
      <w:pPr>
        <w:pBdr>
          <w:bottom w:val="single" w:color="1F3864" w:sz="12" w:space="8"/>
        </w:pBdr>
        <w:spacing w:after="200"/>
        <w:jc w:val="left"/>
      </w:pPr>
      <w:r>
        <w:rPr>
          <w:b/>
          <w:bCs/>
          <w:color w:val="152238"/>
          <w:sz w:val="44"/>
          <w:szCs w:val="44"/>
        </w:rPr>
        <w:t xml:space="preserve">Engineering Mission and Objectives</w:t>
      </w:r>
    </w:p>
    <w:p>
      <w:pPr>
        <w:spacing w:after="90" w:before="180"/>
      </w:pPr>
      <w:r>
        <w:rPr>
          <w:b/>
          <w:bCs/>
          <w:color w:val="152238"/>
          <w:sz w:val="19"/>
          <w:szCs w:val="19"/>
        </w:rPr>
        <w:t xml:space="preserve">Chapter Overview</w:t>
      </w:r>
    </w:p>
    <w:p>
      <w:pPr>
        <w:spacing w:after="150" w:line="276"/>
        <w:jc w:val="both"/>
      </w:pPr>
      <w:r>
        <w:t xml:space="preserve">This chapter defines the engineering mission and vision for the Enterprise System Management (ESM) Platform and Central Knowledge Repository (CKR), the eight strategic objectives the engineering team must achieve, the eleven core engineering principles that govern implementation, the metrics used to measure engineering success, the priority order applied when evaluating competing implementation options, and the Antigravity Engineering Commitment.</w:t>
      </w:r>
    </w:p>
    <w:p>
      <w:pPr>
        <w:spacing w:after="90" w:before="180"/>
      </w:pPr>
      <w:r>
        <w:rPr>
          <w:b/>
          <w:bCs/>
          <w:color w:val="152238"/>
          <w:sz w:val="19"/>
          <w:szCs w:val="19"/>
        </w:rPr>
        <w:t xml:space="preserve">Purpose</w:t>
      </w:r>
    </w:p>
    <w:p>
      <w:pPr>
        <w:spacing w:after="150" w:line="276"/>
        <w:jc w:val="both"/>
      </w:pPr>
      <w:r>
        <w:t xml:space="preserve">To translate Chapter 1's engineering mission into specific, measurable objectives, principles, and decision criteria that every engineer can apply consistently throughout the SAPZ Programme's delivery.</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engineering mission and long-term vision for the platform.</w:t>
      </w:r>
    </w:p>
    <w:p>
      <w:pPr>
        <w:pStyle w:val="ListParagraph"/>
        <w:numPr>
          <w:ilvl w:val="0"/>
          <w:numId w:val="1"/>
        </w:numPr>
        <w:spacing w:after="90" w:line="264"/>
      </w:pPr>
      <w:r>
        <w:t xml:space="preserve">Understand the eight strategic engineering objectives and their success indicators.</w:t>
      </w:r>
    </w:p>
    <w:p>
      <w:pPr>
        <w:pStyle w:val="ListParagraph"/>
        <w:numPr>
          <w:ilvl w:val="0"/>
          <w:numId w:val="1"/>
        </w:numPr>
        <w:spacing w:after="90" w:line="264"/>
      </w:pPr>
      <w:r>
        <w:t xml:space="preserve">Understand the eleven core engineering principles applied to every implementation decision.</w:t>
      </w:r>
    </w:p>
    <w:p>
      <w:pPr>
        <w:pStyle w:val="ListParagraph"/>
        <w:numPr>
          <w:ilvl w:val="0"/>
          <w:numId w:val="1"/>
        </w:numPr>
        <w:spacing w:after="90" w:line="264"/>
      </w:pPr>
      <w:r>
        <w:t xml:space="preserve">Understand how engineering success is measured across delivery, quality, performance, security, operations, and adoption.</w:t>
      </w:r>
    </w:p>
    <w:p>
      <w:pPr>
        <w:pStyle w:val="ListParagraph"/>
        <w:numPr>
          <w:ilvl w:val="0"/>
          <w:numId w:val="1"/>
        </w:numPr>
        <w:spacing w:after="90" w:line="264"/>
      </w:pPr>
      <w:r>
        <w:t xml:space="preserve">Understand the priority order used to resolve competing implementation options.</w:t>
      </w:r>
    </w:p>
    <w:p>
      <w:pPr>
        <w:pStyle w:val="Heading1"/>
        <w:pBdr>
          <w:bottom w:val="single" w:color="C6D2E0" w:sz="4" w:space="4"/>
        </w:pBdr>
        <w:spacing w:after="140" w:before="360"/>
      </w:pPr>
      <w:r>
        <w:rPr>
          <w:b/>
          <w:bCs/>
          <w:color w:val="4A6FA5"/>
          <w:sz w:val="26"/>
          <w:szCs w:val="26"/>
        </w:rPr>
        <w:t xml:space="preserve">2.1  </w:t>
      </w:r>
      <w:r>
        <w:rPr>
          <w:b/>
          <w:bCs/>
          <w:color w:val="1F3864"/>
          <w:sz w:val="26"/>
          <w:szCs w:val="26"/>
        </w:rPr>
        <w:t xml:space="preserve">Engineering Mission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engineering team's mission as a strategic digital capability, not a software delivery exercise.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Positions the platform as the SAPZ Programme's digital backbone, not a departmental tool.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architectural and implementation choice is judged against this mission statement.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engineering team aligned on why the platform exists, not only what it must do.</w:t>
            </w:r>
          </w:p>
        </w:tc>
      </w:tr>
    </w:tbl>
    <w:p>
      <w:pPr>
        <w:spacing w:after="160"/>
      </w:pPr>
    </w:p>
    <w:p>
      <w:pPr>
        <w:spacing w:after="150" w:line="276"/>
        <w:jc w:val="both"/>
      </w:pPr>
      <w:r>
        <w:t xml:space="preserve">The mission of the engineering team is to design, develop, deploy, and support a world-class enterprise digital platform that enables the SAPZ Programme to efficiently plan, execute, monitor, govern, and continuously improve its operations through modern digital technologies.</w:t>
      </w:r>
    </w:p>
    <w:p>
      <w:pPr>
        <w:spacing w:after="150" w:line="276"/>
        <w:jc w:val="both"/>
      </w:pPr>
      <w:r>
        <w:t xml:space="preserve">The objective extends beyond software development. The engineering team is responsible for delivering a strategic digital capability that transforms how the SAPZ Programme operates by integrating people, processes, information, and technology into a secure, scalable, intelligent, and sustainable ecosystem.</w:t>
      </w:r>
    </w:p>
    <w:p>
      <w:pPr>
        <w:spacing w:after="150" w:line="276"/>
        <w:jc w:val="both"/>
      </w:pPr>
      <w:r>
        <w:t xml:space="preserve">The platform shall serve as the programme's digital backbone, enabling effective programme management, institutional knowledge preservation, workflow automation, collaboration, analytics, reporting, and informed decision-making.</w:t>
      </w:r>
    </w:p>
    <w:p>
      <w:pPr>
        <w:spacing w:after="150" w:line="276"/>
        <w:jc w:val="both"/>
      </w:pPr>
      <w:r>
        <w:t xml:space="preserve">Every engineering decision must contribute to the long-term success, resilience, and sustainability of the SAPZ Programme.</w:t>
      </w:r>
    </w:p>
    <w:p>
      <w:pPr>
        <w:pStyle w:val="Heading1"/>
        <w:pBdr>
          <w:bottom w:val="single" w:color="C6D2E0" w:sz="4" w:space="4"/>
        </w:pBdr>
        <w:spacing w:after="140" w:before="360"/>
      </w:pPr>
      <w:r>
        <w:rPr>
          <w:b/>
          <w:bCs/>
          <w:color w:val="4A6FA5"/>
          <w:sz w:val="26"/>
          <w:szCs w:val="26"/>
        </w:rPr>
        <w:t xml:space="preserve">2.2  </w:t>
      </w:r>
      <w:r>
        <w:rPr>
          <w:b/>
          <w:bCs/>
          <w:color w:val="1F3864"/>
          <w:sz w:val="26"/>
          <w:szCs w:val="26"/>
        </w:rPr>
        <w:t xml:space="preserve">Engineering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Describe the long-term character the platform must have once delivered.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Sets an enduring quality bar that outlives any single release or sprint.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Vision attributes (below) are the qualitative counterpart to Chapter 1's measurable objectives.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remains the trusted operating environment for the programme for years, not just at go-live.</w:t>
            </w:r>
          </w:p>
        </w:tc>
      </w:tr>
    </w:tbl>
    <w:p>
      <w:pPr>
        <w:spacing w:after="160"/>
      </w:pPr>
    </w:p>
    <w:p>
      <w:pPr>
        <w:spacing w:after="150" w:line="276"/>
        <w:jc w:val="both"/>
      </w:pPr>
      <w:r>
        <w:t xml:space="preserve">Our vision is to build an enterprise platform that becomes the trusted digital operating environment for the SAPZ Programme, recognized for its:</w:t>
      </w:r>
    </w:p>
    <w:p>
      <w:pPr>
        <w:pStyle w:val="ListParagraph"/>
        <w:numPr>
          <w:ilvl w:val="0"/>
          <w:numId w:val="1"/>
        </w:numPr>
        <w:spacing w:after="90" w:line="264"/>
      </w:pPr>
      <w:r>
        <w:t xml:space="preserve">Operational excellence</w:t>
      </w:r>
    </w:p>
    <w:p>
      <w:pPr>
        <w:pStyle w:val="ListParagraph"/>
        <w:numPr>
          <w:ilvl w:val="0"/>
          <w:numId w:val="1"/>
        </w:numPr>
        <w:spacing w:after="90" w:line="264"/>
      </w:pPr>
      <w:r>
        <w:t xml:space="preserve">Security and resilience</w:t>
      </w:r>
    </w:p>
    <w:p>
      <w:pPr>
        <w:pStyle w:val="ListParagraph"/>
        <w:numPr>
          <w:ilvl w:val="0"/>
          <w:numId w:val="1"/>
        </w:numPr>
        <w:spacing w:after="90" w:line="264"/>
      </w:pPr>
      <w:r>
        <w:t xml:space="preserve">Ease of use</w:t>
      </w:r>
    </w:p>
    <w:p>
      <w:pPr>
        <w:pStyle w:val="ListParagraph"/>
        <w:numPr>
          <w:ilvl w:val="0"/>
          <w:numId w:val="1"/>
        </w:numPr>
        <w:spacing w:after="90" w:line="264"/>
      </w:pPr>
      <w:r>
        <w:t xml:space="preserve">High availability</w:t>
      </w:r>
    </w:p>
    <w:p>
      <w:pPr>
        <w:pStyle w:val="ListParagraph"/>
        <w:numPr>
          <w:ilvl w:val="0"/>
          <w:numId w:val="1"/>
        </w:numPr>
        <w:spacing w:after="90" w:line="264"/>
      </w:pPr>
      <w:r>
        <w:t xml:space="preserve">Performance</w:t>
      </w:r>
    </w:p>
    <w:p>
      <w:pPr>
        <w:pStyle w:val="ListParagraph"/>
        <w:numPr>
          <w:ilvl w:val="0"/>
          <w:numId w:val="1"/>
        </w:numPr>
        <w:spacing w:after="90" w:line="264"/>
      </w:pPr>
      <w:r>
        <w:t xml:space="preserve">Transparency</w:t>
      </w:r>
    </w:p>
    <w:p>
      <w:pPr>
        <w:pStyle w:val="ListParagraph"/>
        <w:numPr>
          <w:ilvl w:val="0"/>
          <w:numId w:val="1"/>
        </w:numPr>
        <w:spacing w:after="90" w:line="264"/>
      </w:pPr>
      <w:r>
        <w:t xml:space="preserve">Data quality</w:t>
      </w:r>
    </w:p>
    <w:p>
      <w:pPr>
        <w:pStyle w:val="ListParagraph"/>
        <w:numPr>
          <w:ilvl w:val="0"/>
          <w:numId w:val="1"/>
        </w:numPr>
        <w:spacing w:after="90" w:line="264"/>
      </w:pPr>
      <w:r>
        <w:t xml:space="preserve">Institutional knowledge preservation</w:t>
      </w:r>
    </w:p>
    <w:p>
      <w:pPr>
        <w:pStyle w:val="ListParagraph"/>
        <w:numPr>
          <w:ilvl w:val="0"/>
          <w:numId w:val="1"/>
        </w:numPr>
        <w:spacing w:after="90" w:line="264"/>
      </w:pPr>
      <w:r>
        <w:t xml:space="preserve">Scalability</w:t>
      </w:r>
    </w:p>
    <w:p>
      <w:pPr>
        <w:pStyle w:val="ListParagraph"/>
        <w:numPr>
          <w:ilvl w:val="0"/>
          <w:numId w:val="1"/>
        </w:numPr>
        <w:spacing w:after="90" w:line="264"/>
      </w:pPr>
      <w:r>
        <w:t xml:space="preserve">Innovation</w:t>
      </w:r>
    </w:p>
    <w:p>
      <w:pPr>
        <w:pStyle w:val="ListParagraph"/>
        <w:numPr>
          <w:ilvl w:val="0"/>
          <w:numId w:val="1"/>
        </w:numPr>
        <w:spacing w:after="90" w:line="264"/>
      </w:pPr>
      <w:r>
        <w:t xml:space="preserve">Long-term maintainability</w:t>
      </w:r>
    </w:p>
    <w:p>
      <w:pPr>
        <w:spacing w:after="150" w:line="276"/>
        <w:jc w:val="both"/>
      </w:pPr>
      <w:r>
        <w:t xml:space="preserve">The platform should remain relevant for many years, supporting future programme expansion, new business processes, additional stakeholders, emerging technologies, and evolving government priorities without requiring fundamental architectural redesign.</w:t>
      </w:r>
    </w:p>
    <w:p>
      <w:pPr>
        <w:pStyle w:val="Heading1"/>
        <w:pBdr>
          <w:bottom w:val="single" w:color="C6D2E0" w:sz="4" w:space="4"/>
        </w:pBdr>
        <w:spacing w:after="140" w:before="360"/>
      </w:pPr>
      <w:r>
        <w:rPr>
          <w:b/>
          <w:bCs/>
          <w:color w:val="4A6FA5"/>
          <w:sz w:val="26"/>
          <w:szCs w:val="26"/>
        </w:rPr>
        <w:t xml:space="preserve">2.3  </w:t>
      </w:r>
      <w:r>
        <w:rPr>
          <w:b/>
          <w:bCs/>
          <w:color w:val="1F3864"/>
          <w:sz w:val="26"/>
          <w:szCs w:val="26"/>
        </w:rPr>
        <w:t xml:space="preserve">Engineering Objectives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eight strategic objectives the engineering team must achieve, each with measurable success indicators.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Converts the mission (Section 2.1) into concrete, assessable deliverables.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objective's success indicators are the acceptance criteria referenced throughout later chapters.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strategic achievement can be verified objective by objective.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830"/>
        <w:gridCol w:w="4032"/>
      </w:tblGrid>
      <w:tr>
        <w:trPr>
          <w:tblHeader/>
        </w:trPr>
        <w:tc>
          <w:tcPr>
            <w:tcW w:type="dxa" w:w="2218"/>
            <w:shd w:fill="1F3864" w:val="clear"/>
            <w:tcMar>
              <w:top w:type="dxa" w:w="70"/>
              <w:left w:type="dxa" w:w="110"/>
              <w:bottom w:type="dxa" w:w="70"/>
              <w:right w:type="dxa" w:w="110"/>
            </w:tcMar>
            <w:vAlign w:val="top"/>
          </w:tcPr>
          <w:p>
            <w:r>
              <w:rPr>
                <w:b/>
                <w:bCs/>
                <w:color w:val="FFFFFF"/>
                <w:sz w:val="17"/>
                <w:szCs w:val="17"/>
              </w:rPr>
              <w:t xml:space="preserve">Objective</w:t>
            </w:r>
          </w:p>
        </w:tc>
        <w:tc>
          <w:tcPr>
            <w:tcW w:type="dxa" w:w="3830"/>
            <w:shd w:fill="1F3864" w:val="clear"/>
            <w:tcMar>
              <w:top w:type="dxa" w:w="70"/>
              <w:left w:type="dxa" w:w="110"/>
              <w:bottom w:type="dxa" w:w="70"/>
              <w:right w:type="dxa" w:w="110"/>
            </w:tcMar>
            <w:vAlign w:val="top"/>
          </w:tcPr>
          <w:p>
            <w:r>
              <w:rPr>
                <w:b/>
                <w:bCs/>
                <w:color w:val="FFFFFF"/>
                <w:sz w:val="17"/>
                <w:szCs w:val="17"/>
              </w:rPr>
              <w:t xml:space="preserve">Description</w:t>
            </w:r>
          </w:p>
        </w:tc>
        <w:tc>
          <w:tcPr>
            <w:tcW w:type="dxa" w:w="4032"/>
            <w:shd w:fill="1F3864" w:val="clear"/>
            <w:tcMar>
              <w:top w:type="dxa" w:w="70"/>
              <w:left w:type="dxa" w:w="110"/>
              <w:bottom w:type="dxa" w:w="70"/>
              <w:right w:type="dxa" w:w="110"/>
            </w:tcMar>
            <w:vAlign w:val="top"/>
          </w:tcPr>
          <w:p>
            <w:r>
              <w:rPr>
                <w:b/>
                <w:bCs/>
                <w:color w:val="FFFFFF"/>
                <w:sz w:val="17"/>
                <w:szCs w:val="17"/>
              </w:rPr>
              <w:t xml:space="preserve">Success Indicators</w:t>
            </w:r>
          </w:p>
        </w:tc>
      </w:tr>
      <w:tr>
        <w:tc>
          <w:tcPr>
            <w:tcW w:type="dxa" w:w="2218"/>
            <w:tcMar>
              <w:top w:type="dxa" w:w="70"/>
              <w:left w:type="dxa" w:w="110"/>
              <w:bottom w:type="dxa" w:w="70"/>
              <w:right w:type="dxa" w:w="110"/>
            </w:tcMar>
            <w:vAlign w:val="top"/>
          </w:tcPr>
          <w:p>
            <w:r>
              <w:rPr>
                <w:b/>
                <w:bCs/>
                <w:color w:val="1A1A1A"/>
                <w:sz w:val="16"/>
                <w:szCs w:val="16"/>
              </w:rPr>
              <w:t xml:space="preserve">1. Deliver an Enterprise-Grade Platform</w:t>
            </w:r>
          </w:p>
        </w:tc>
        <w:tc>
          <w:tcPr>
            <w:tcW w:type="dxa" w:w="3830"/>
            <w:tcMar>
              <w:top w:type="dxa" w:w="70"/>
              <w:left w:type="dxa" w:w="110"/>
              <w:bottom w:type="dxa" w:w="70"/>
              <w:right w:type="dxa" w:w="110"/>
            </w:tcMar>
            <w:vAlign w:val="top"/>
          </w:tcPr>
          <w:p>
            <w:r>
              <w:rPr>
                <w:b w:val="false"/>
                <w:bCs w:val="false"/>
                <w:color w:val="1A1A1A"/>
                <w:sz w:val="16"/>
                <w:szCs w:val="16"/>
              </w:rPr>
              <w:t xml:space="preserve">Develop a robust enterprise solution capable of supporting mission-critical programme operations across multiple states, departments, stakeholders, and development partners.</w:t>
            </w:r>
          </w:p>
        </w:tc>
        <w:tc>
          <w:tcPr>
            <w:tcW w:type="dxa" w:w="4032"/>
            <w:tcMar>
              <w:top w:type="dxa" w:w="70"/>
              <w:left w:type="dxa" w:w="110"/>
              <w:bottom w:type="dxa" w:w="70"/>
              <w:right w:type="dxa" w:w="110"/>
            </w:tcMar>
            <w:vAlign w:val="top"/>
          </w:tcPr>
          <w:p>
            <w:r>
              <w:rPr>
                <w:b w:val="false"/>
                <w:bCs w:val="false"/>
                <w:color w:val="1A1A1A"/>
                <w:sz w:val="16"/>
                <w:szCs w:val="16"/>
              </w:rPr>
              <w:t xml:space="preserve">Stable architecture; high availability; modular design; enterprise scalability; clear separation of concerns.</w:t>
            </w:r>
          </w:p>
        </w:tc>
      </w:tr>
      <w:tr>
        <w:tc>
          <w:tcPr>
            <w:tcW w:type="dxa" w:w="2218"/>
            <w:tcMar>
              <w:top w:type="dxa" w:w="70"/>
              <w:left w:type="dxa" w:w="110"/>
              <w:bottom w:type="dxa" w:w="70"/>
              <w:right w:type="dxa" w:w="110"/>
            </w:tcMar>
            <w:vAlign w:val="top"/>
          </w:tcPr>
          <w:p>
            <w:r>
              <w:rPr>
                <w:b/>
                <w:bCs/>
                <w:color w:val="1A1A1A"/>
                <w:sz w:val="16"/>
                <w:szCs w:val="16"/>
              </w:rPr>
              <w:t xml:space="preserve">2. Digitize Core Business Processes</w:t>
            </w:r>
          </w:p>
        </w:tc>
        <w:tc>
          <w:tcPr>
            <w:tcW w:type="dxa" w:w="3830"/>
            <w:tcMar>
              <w:top w:type="dxa" w:w="70"/>
              <w:left w:type="dxa" w:w="110"/>
              <w:bottom w:type="dxa" w:w="70"/>
              <w:right w:type="dxa" w:w="110"/>
            </w:tcMar>
            <w:vAlign w:val="top"/>
          </w:tcPr>
          <w:p>
            <w:r>
              <w:rPr>
                <w:b w:val="false"/>
                <w:bCs w:val="false"/>
                <w:color w:val="1A1A1A"/>
                <w:sz w:val="16"/>
                <w:szCs w:val="16"/>
              </w:rPr>
              <w:t xml:space="preserve">Replace fragmented manual and semi-manual processes with integrated digital workflows that improve efficiency, accountability, and transparency.</w:t>
            </w:r>
          </w:p>
        </w:tc>
        <w:tc>
          <w:tcPr>
            <w:tcW w:type="dxa" w:w="4032"/>
            <w:tcMar>
              <w:top w:type="dxa" w:w="70"/>
              <w:left w:type="dxa" w:w="110"/>
              <w:bottom w:type="dxa" w:w="70"/>
              <w:right w:type="dxa" w:w="110"/>
            </w:tcMar>
            <w:vAlign w:val="top"/>
          </w:tcPr>
          <w:p>
            <w:r>
              <w:rPr>
                <w:b w:val="false"/>
                <w:bCs w:val="false"/>
                <w:color w:val="1A1A1A"/>
                <w:sz w:val="16"/>
                <w:szCs w:val="16"/>
              </w:rPr>
              <w:t xml:space="preserve">Automated approvals; workflow orchestration; electronic document management; digital task tracking; centralized reporting.</w:t>
            </w:r>
          </w:p>
        </w:tc>
      </w:tr>
      <w:tr>
        <w:tc>
          <w:tcPr>
            <w:tcW w:type="dxa" w:w="2218"/>
            <w:tcMar>
              <w:top w:type="dxa" w:w="70"/>
              <w:left w:type="dxa" w:w="110"/>
              <w:bottom w:type="dxa" w:w="70"/>
              <w:right w:type="dxa" w:w="110"/>
            </w:tcMar>
            <w:vAlign w:val="top"/>
          </w:tcPr>
          <w:p>
            <w:r>
              <w:rPr>
                <w:b/>
                <w:bCs/>
                <w:color w:val="1A1A1A"/>
                <w:sz w:val="16"/>
                <w:szCs w:val="16"/>
              </w:rPr>
              <w:t xml:space="preserve">3. Preserve Institutional Knowledge</w:t>
            </w:r>
          </w:p>
        </w:tc>
        <w:tc>
          <w:tcPr>
            <w:tcW w:type="dxa" w:w="3830"/>
            <w:tcMar>
              <w:top w:type="dxa" w:w="70"/>
              <w:left w:type="dxa" w:w="110"/>
              <w:bottom w:type="dxa" w:w="70"/>
              <w:right w:type="dxa" w:w="110"/>
            </w:tcMar>
            <w:vAlign w:val="top"/>
          </w:tcPr>
          <w:p>
            <w:r>
              <w:rPr>
                <w:b w:val="false"/>
                <w:bCs w:val="false"/>
                <w:color w:val="1A1A1A"/>
                <w:sz w:val="16"/>
                <w:szCs w:val="16"/>
              </w:rPr>
              <w:t xml:space="preserve">Develop a comprehensive Central Knowledge Repository (CKR) that captures, organizes, protects, and disseminates organizational knowledge throughout the programme lifecycle.</w:t>
            </w:r>
          </w:p>
        </w:tc>
        <w:tc>
          <w:tcPr>
            <w:tcW w:type="dxa" w:w="4032"/>
            <w:tcMar>
              <w:top w:type="dxa" w:w="70"/>
              <w:left w:type="dxa" w:w="110"/>
              <w:bottom w:type="dxa" w:w="70"/>
              <w:right w:type="dxa" w:w="110"/>
            </w:tcMar>
            <w:vAlign w:val="top"/>
          </w:tcPr>
          <w:p>
            <w:r>
              <w:rPr>
                <w:b w:val="false"/>
                <w:bCs w:val="false"/>
                <w:color w:val="1A1A1A"/>
                <w:sz w:val="16"/>
                <w:szCs w:val="16"/>
              </w:rPr>
              <w:t xml:space="preserve">Central document repository; metadata-driven search; version control; knowledge categorization; lessons-learned repository; AI-assisted discovery.</w:t>
            </w:r>
          </w:p>
        </w:tc>
      </w:tr>
      <w:tr>
        <w:tc>
          <w:tcPr>
            <w:tcW w:type="dxa" w:w="2218"/>
            <w:tcMar>
              <w:top w:type="dxa" w:w="70"/>
              <w:left w:type="dxa" w:w="110"/>
              <w:bottom w:type="dxa" w:w="70"/>
              <w:right w:type="dxa" w:w="110"/>
            </w:tcMar>
            <w:vAlign w:val="top"/>
          </w:tcPr>
          <w:p>
            <w:r>
              <w:rPr>
                <w:b/>
                <w:bCs/>
                <w:color w:val="1A1A1A"/>
                <w:sz w:val="16"/>
                <w:szCs w:val="16"/>
              </w:rPr>
              <w:t xml:space="preserve">4. Improve Decision-Making</w:t>
            </w:r>
          </w:p>
        </w:tc>
        <w:tc>
          <w:tcPr>
            <w:tcW w:type="dxa" w:w="3830"/>
            <w:tcMar>
              <w:top w:type="dxa" w:w="70"/>
              <w:left w:type="dxa" w:w="110"/>
              <w:bottom w:type="dxa" w:w="70"/>
              <w:right w:type="dxa" w:w="110"/>
            </w:tcMar>
            <w:vAlign w:val="top"/>
          </w:tcPr>
          <w:p>
            <w:r>
              <w:rPr>
                <w:b w:val="false"/>
                <w:bCs w:val="false"/>
                <w:color w:val="1A1A1A"/>
                <w:sz w:val="16"/>
                <w:szCs w:val="16"/>
              </w:rPr>
              <w:t xml:space="preserve">Provide executives and programme managers with real-time visibility into programme performance through dashboards, analytics, key performance indicators (KPIs), and reports.</w:t>
            </w:r>
          </w:p>
        </w:tc>
        <w:tc>
          <w:tcPr>
            <w:tcW w:type="dxa" w:w="4032"/>
            <w:tcMar>
              <w:top w:type="dxa" w:w="70"/>
              <w:left w:type="dxa" w:w="110"/>
              <w:bottom w:type="dxa" w:w="70"/>
              <w:right w:type="dxa" w:w="110"/>
            </w:tcMar>
            <w:vAlign w:val="top"/>
          </w:tcPr>
          <w:p>
            <w:r>
              <w:rPr>
                <w:b w:val="false"/>
                <w:bCs w:val="false"/>
                <w:color w:val="1A1A1A"/>
                <w:sz w:val="16"/>
                <w:szCs w:val="16"/>
              </w:rPr>
              <w:t xml:space="preserve">Executive dashboards; programme analytics; interactive reporting; performance scorecards; trend analysis; early warning indicators.</w:t>
            </w:r>
          </w:p>
        </w:tc>
      </w:tr>
      <w:tr>
        <w:tc>
          <w:tcPr>
            <w:tcW w:type="dxa" w:w="2218"/>
            <w:tcMar>
              <w:top w:type="dxa" w:w="70"/>
              <w:left w:type="dxa" w:w="110"/>
              <w:bottom w:type="dxa" w:w="70"/>
              <w:right w:type="dxa" w:w="110"/>
            </w:tcMar>
            <w:vAlign w:val="top"/>
          </w:tcPr>
          <w:p>
            <w:r>
              <w:rPr>
                <w:b/>
                <w:bCs/>
                <w:color w:val="1A1A1A"/>
                <w:sz w:val="16"/>
                <w:szCs w:val="16"/>
              </w:rPr>
              <w:t xml:space="preserve">5. Strengthen Governance</w:t>
            </w:r>
          </w:p>
        </w:tc>
        <w:tc>
          <w:tcPr>
            <w:tcW w:type="dxa" w:w="3830"/>
            <w:tcMar>
              <w:top w:type="dxa" w:w="70"/>
              <w:left w:type="dxa" w:w="110"/>
              <w:bottom w:type="dxa" w:w="70"/>
              <w:right w:type="dxa" w:w="110"/>
            </w:tcMar>
            <w:vAlign w:val="top"/>
          </w:tcPr>
          <w:p>
            <w:r>
              <w:rPr>
                <w:b w:val="false"/>
                <w:bCs w:val="false"/>
                <w:color w:val="1A1A1A"/>
                <w:sz w:val="16"/>
                <w:szCs w:val="16"/>
              </w:rPr>
              <w:t xml:space="preserve">Support programme governance by providing transparent workflows, approval mechanisms, audit trails, accountability, and comprehensive reporting.</w:t>
            </w:r>
          </w:p>
        </w:tc>
        <w:tc>
          <w:tcPr>
            <w:tcW w:type="dxa" w:w="4032"/>
            <w:tcMar>
              <w:top w:type="dxa" w:w="70"/>
              <w:left w:type="dxa" w:w="110"/>
              <w:bottom w:type="dxa" w:w="70"/>
              <w:right w:type="dxa" w:w="110"/>
            </w:tcMar>
            <w:vAlign w:val="top"/>
          </w:tcPr>
          <w:p>
            <w:r>
              <w:rPr>
                <w:b w:val="false"/>
                <w:bCs w:val="false"/>
                <w:color w:val="1A1A1A"/>
                <w:sz w:val="16"/>
                <w:szCs w:val="16"/>
              </w:rPr>
              <w:t xml:space="preserve">Approval workflows; complete audit logs; activity tracking; risk management; issue management; decision registers.</w:t>
            </w:r>
          </w:p>
        </w:tc>
      </w:tr>
      <w:tr>
        <w:tc>
          <w:tcPr>
            <w:tcW w:type="dxa" w:w="2218"/>
            <w:tcMar>
              <w:top w:type="dxa" w:w="70"/>
              <w:left w:type="dxa" w:w="110"/>
              <w:bottom w:type="dxa" w:w="70"/>
              <w:right w:type="dxa" w:w="110"/>
            </w:tcMar>
            <w:vAlign w:val="top"/>
          </w:tcPr>
          <w:p>
            <w:r>
              <w:rPr>
                <w:b/>
                <w:bCs/>
                <w:color w:val="1A1A1A"/>
                <w:sz w:val="16"/>
                <w:szCs w:val="16"/>
              </w:rPr>
              <w:t xml:space="preserve">6. Ensure Security and Compliance</w:t>
            </w:r>
          </w:p>
        </w:tc>
        <w:tc>
          <w:tcPr>
            <w:tcW w:type="dxa" w:w="3830"/>
            <w:tcMar>
              <w:top w:type="dxa" w:w="70"/>
              <w:left w:type="dxa" w:w="110"/>
              <w:bottom w:type="dxa" w:w="70"/>
              <w:right w:type="dxa" w:w="110"/>
            </w:tcMar>
            <w:vAlign w:val="top"/>
          </w:tcPr>
          <w:p>
            <w:r>
              <w:rPr>
                <w:b w:val="false"/>
                <w:bCs w:val="false"/>
                <w:color w:val="1A1A1A"/>
                <w:sz w:val="16"/>
                <w:szCs w:val="16"/>
              </w:rPr>
              <w:t xml:space="preserve">Protect programme information using internationally recognized security standards and applicable Nigerian regulatory requirements.</w:t>
            </w:r>
          </w:p>
        </w:tc>
        <w:tc>
          <w:tcPr>
            <w:tcW w:type="dxa" w:w="4032"/>
            <w:tcMar>
              <w:top w:type="dxa" w:w="70"/>
              <w:left w:type="dxa" w:w="110"/>
              <w:bottom w:type="dxa" w:w="70"/>
              <w:right w:type="dxa" w:w="110"/>
            </w:tcMar>
            <w:vAlign w:val="top"/>
          </w:tcPr>
          <w:p>
            <w:r>
              <w:rPr>
                <w:b w:val="false"/>
                <w:bCs w:val="false"/>
                <w:color w:val="1A1A1A"/>
                <w:sz w:val="16"/>
                <w:szCs w:val="16"/>
              </w:rPr>
              <w:t xml:space="preserve">Role-Based Access Control (RBAC); Multi-Factor Authentication (MFA); encryption; secure APIs; audit trails; Nigeria Data Protection Regulation (NDPR) compliance; Open Web Application Security Project (OWASP) compliance.</w:t>
            </w:r>
          </w:p>
        </w:tc>
      </w:tr>
      <w:tr>
        <w:tc>
          <w:tcPr>
            <w:tcW w:type="dxa" w:w="2218"/>
            <w:tcMar>
              <w:top w:type="dxa" w:w="70"/>
              <w:left w:type="dxa" w:w="110"/>
              <w:bottom w:type="dxa" w:w="70"/>
              <w:right w:type="dxa" w:w="110"/>
            </w:tcMar>
            <w:vAlign w:val="top"/>
          </w:tcPr>
          <w:p>
            <w:r>
              <w:rPr>
                <w:b/>
                <w:bCs/>
                <w:color w:val="1A1A1A"/>
                <w:sz w:val="16"/>
                <w:szCs w:val="16"/>
              </w:rPr>
              <w:t xml:space="preserve">7. Support Future Growth</w:t>
            </w:r>
          </w:p>
        </w:tc>
        <w:tc>
          <w:tcPr>
            <w:tcW w:type="dxa" w:w="3830"/>
            <w:tcMar>
              <w:top w:type="dxa" w:w="70"/>
              <w:left w:type="dxa" w:w="110"/>
              <w:bottom w:type="dxa" w:w="70"/>
              <w:right w:type="dxa" w:w="110"/>
            </w:tcMar>
            <w:vAlign w:val="top"/>
          </w:tcPr>
          <w:p>
            <w:r>
              <w:rPr>
                <w:b w:val="false"/>
                <w:bCs w:val="false"/>
                <w:color w:val="1A1A1A"/>
                <w:sz w:val="16"/>
                <w:szCs w:val="16"/>
              </w:rPr>
              <w:t xml:space="preserve">Design the platform for future expansion without major architectural redesign.</w:t>
            </w:r>
          </w:p>
        </w:tc>
        <w:tc>
          <w:tcPr>
            <w:tcW w:type="dxa" w:w="4032"/>
            <w:tcMar>
              <w:top w:type="dxa" w:w="70"/>
              <w:left w:type="dxa" w:w="110"/>
              <w:bottom w:type="dxa" w:w="70"/>
              <w:right w:type="dxa" w:w="110"/>
            </w:tcMar>
            <w:vAlign w:val="top"/>
          </w:tcPr>
          <w:p>
            <w:r>
              <w:rPr>
                <w:b w:val="false"/>
                <w:bCs w:val="false"/>
                <w:color w:val="1A1A1A"/>
                <w:sz w:val="16"/>
                <w:szCs w:val="16"/>
              </w:rPr>
              <w:t xml:space="preserve">Architecture accommodates future AI assistants, mobile applications, GIS integration, ERP integration, financial systems integration, M&amp;E platforms, Business Intelligence, machine learning, and advanced analytics — while maintaining a manageable Phase 1 scope.</w:t>
            </w:r>
          </w:p>
        </w:tc>
      </w:tr>
      <w:tr>
        <w:tc>
          <w:tcPr>
            <w:tcW w:type="dxa" w:w="2218"/>
            <w:tcMar>
              <w:top w:type="dxa" w:w="70"/>
              <w:left w:type="dxa" w:w="110"/>
              <w:bottom w:type="dxa" w:w="70"/>
              <w:right w:type="dxa" w:w="110"/>
            </w:tcMar>
            <w:vAlign w:val="top"/>
          </w:tcPr>
          <w:p>
            <w:r>
              <w:rPr>
                <w:b/>
                <w:bCs/>
                <w:color w:val="1A1A1A"/>
                <w:sz w:val="16"/>
                <w:szCs w:val="16"/>
              </w:rPr>
              <w:t xml:space="preserve">8. Enable Long-Term Sustainability</w:t>
            </w:r>
          </w:p>
        </w:tc>
        <w:tc>
          <w:tcPr>
            <w:tcW w:type="dxa" w:w="3830"/>
            <w:tcMar>
              <w:top w:type="dxa" w:w="70"/>
              <w:left w:type="dxa" w:w="110"/>
              <w:bottom w:type="dxa" w:w="70"/>
              <w:right w:type="dxa" w:w="110"/>
            </w:tcMar>
            <w:vAlign w:val="top"/>
          </w:tcPr>
          <w:p>
            <w:r>
              <w:rPr>
                <w:b w:val="false"/>
                <w:bCs w:val="false"/>
                <w:color w:val="1A1A1A"/>
                <w:sz w:val="16"/>
                <w:szCs w:val="16"/>
              </w:rPr>
              <w:t xml:space="preserve">Deliver a solution that can be effectively maintained, enhanced, and operated by the SAPZ Programme after project completion.</w:t>
            </w:r>
          </w:p>
        </w:tc>
        <w:tc>
          <w:tcPr>
            <w:tcW w:type="dxa" w:w="4032"/>
            <w:tcMar>
              <w:top w:type="dxa" w:w="70"/>
              <w:left w:type="dxa" w:w="110"/>
              <w:bottom w:type="dxa" w:w="70"/>
              <w:right w:type="dxa" w:w="110"/>
            </w:tcMar>
            <w:vAlign w:val="top"/>
          </w:tcPr>
          <w:p>
            <w:r>
              <w:rPr>
                <w:b w:val="false"/>
                <w:bCs w:val="false"/>
                <w:color w:val="1A1A1A"/>
                <w:sz w:val="16"/>
                <w:szCs w:val="16"/>
              </w:rPr>
              <w:t xml:space="preserve">Comprehensive documentation; knowledge transfer; administrator training; maintainable code; modular architecture; well-defined APIs.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Objective 7 (Support Future Growth) must never be used to justify expanding Phase 1 scope. Future capabilities are architectural accommodations, not commitments — see Chapter 6, Architecture Governance, for the change-control process governing scope.</w:t>
            </w:r>
          </w:p>
        </w:tc>
      </w:tr>
    </w:tbl>
    <w:p>
      <w:pPr>
        <w:pStyle w:val="Heading1"/>
        <w:pBdr>
          <w:bottom w:val="single" w:color="C6D2E0" w:sz="4" w:space="4"/>
        </w:pBdr>
        <w:spacing w:after="140" w:before="360"/>
      </w:pPr>
      <w:r>
        <w:rPr>
          <w:b/>
          <w:bCs/>
          <w:color w:val="4A6FA5"/>
          <w:sz w:val="26"/>
          <w:szCs w:val="26"/>
        </w:rPr>
        <w:t xml:space="preserve">2.4  </w:t>
      </w:r>
      <w:r>
        <w:rPr>
          <w:b/>
          <w:bCs/>
          <w:color w:val="1F3864"/>
          <w:sz w:val="26"/>
          <w:szCs w:val="26"/>
        </w:rPr>
        <w:t xml:space="preserve">Core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eleven principles that every engineering decision must comply with.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ad hoc, individually-judged technical decisions that erode consistency over a multi-year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principles extend Chapter 1's philosophy into concrete engineering practice.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Uniform application of sound engineering judgment across every module and every contributor.</w:t>
            </w:r>
          </w:p>
        </w:tc>
      </w:tr>
    </w:tbl>
    <w:p>
      <w:pPr>
        <w:spacing w:after="160"/>
      </w:pPr>
    </w:p>
    <w:p>
      <w:pPr>
        <w:spacing w:after="150" w:line="276"/>
        <w:jc w:val="both"/>
      </w:pPr>
      <w:r>
        <w:t xml:space="preserve">Every engineering decision shall comply with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Business Value First</w:t>
            </w:r>
          </w:p>
        </w:tc>
        <w:tc>
          <w:tcPr>
            <w:tcW w:type="dxa" w:w="7459"/>
            <w:tcMar>
              <w:top w:type="dxa" w:w="70"/>
              <w:left w:type="dxa" w:w="110"/>
              <w:bottom w:type="dxa" w:w="70"/>
              <w:right w:type="dxa" w:w="110"/>
            </w:tcMar>
            <w:vAlign w:val="top"/>
          </w:tcPr>
          <w:p>
            <w:r>
              <w:rPr>
                <w:b w:val="false"/>
                <w:bCs w:val="false"/>
                <w:color w:val="1A1A1A"/>
                <w:sz w:val="16"/>
                <w:szCs w:val="16"/>
              </w:rPr>
              <w:t xml:space="preserve">Technology exists to solve business problems. No feature shall be developed solely because it is technically interesting. Every implementation must produce measurable programme value.</w:t>
            </w:r>
          </w:p>
        </w:tc>
      </w:tr>
      <w:tr>
        <w:tc>
          <w:tcPr>
            <w:tcW w:type="dxa" w:w="2621"/>
            <w:tcMar>
              <w:top w:type="dxa" w:w="70"/>
              <w:left w:type="dxa" w:w="110"/>
              <w:bottom w:type="dxa" w:w="70"/>
              <w:right w:type="dxa" w:w="110"/>
            </w:tcMar>
            <w:vAlign w:val="top"/>
          </w:tcPr>
          <w:p>
            <w:r>
              <w:rPr>
                <w:b/>
                <w:bCs/>
                <w:color w:val="1A1A1A"/>
                <w:sz w:val="16"/>
                <w:szCs w:val="16"/>
              </w:rPr>
              <w:t xml:space="preserve">Simplicity Before Complexity</w:t>
            </w:r>
          </w:p>
        </w:tc>
        <w:tc>
          <w:tcPr>
            <w:tcW w:type="dxa" w:w="7459"/>
            <w:tcMar>
              <w:top w:type="dxa" w:w="70"/>
              <w:left w:type="dxa" w:w="110"/>
              <w:bottom w:type="dxa" w:w="70"/>
              <w:right w:type="dxa" w:w="110"/>
            </w:tcMar>
            <w:vAlign w:val="top"/>
          </w:tcPr>
          <w:p>
            <w:r>
              <w:rPr>
                <w:b w:val="false"/>
                <w:bCs w:val="false"/>
                <w:color w:val="1A1A1A"/>
                <w:sz w:val="16"/>
                <w:szCs w:val="16"/>
              </w:rPr>
              <w:t xml:space="preserve">Choose the simplest architecture that satisfies all business, security, and scalability requirements. Avoid unnecessary abstraction and premature optimization.</w:t>
            </w:r>
          </w:p>
        </w:tc>
      </w:tr>
      <w:tr>
        <w:tc>
          <w:tcPr>
            <w:tcW w:type="dxa" w:w="2621"/>
            <w:tcMar>
              <w:top w:type="dxa" w:w="70"/>
              <w:left w:type="dxa" w:w="110"/>
              <w:bottom w:type="dxa" w:w="70"/>
              <w:right w:type="dxa" w:w="110"/>
            </w:tcMar>
            <w:vAlign w:val="top"/>
          </w:tcPr>
          <w:p>
            <w:r>
              <w:rPr>
                <w:b/>
                <w:bCs/>
                <w:color w:val="1A1A1A"/>
                <w:sz w:val="16"/>
                <w:szCs w:val="16"/>
              </w:rPr>
              <w:t xml:space="preserve">Modular Architecture</w:t>
            </w:r>
          </w:p>
        </w:tc>
        <w:tc>
          <w:tcPr>
            <w:tcW w:type="dxa" w:w="7459"/>
            <w:tcMar>
              <w:top w:type="dxa" w:w="70"/>
              <w:left w:type="dxa" w:w="110"/>
              <w:bottom w:type="dxa" w:w="70"/>
              <w:right w:type="dxa" w:w="110"/>
            </w:tcMar>
            <w:vAlign w:val="top"/>
          </w:tcPr>
          <w:p>
            <w:r>
              <w:rPr>
                <w:b w:val="false"/>
                <w:bCs w:val="false"/>
                <w:color w:val="1A1A1A"/>
                <w:sz w:val="16"/>
                <w:szCs w:val="16"/>
              </w:rPr>
              <w:t xml:space="preserve">The platform shall consist of loosely coupled, highly cohesive modules that are independently maintainable and reusable.</w:t>
            </w:r>
          </w:p>
        </w:tc>
      </w:tr>
      <w:tr>
        <w:tc>
          <w:tcPr>
            <w:tcW w:type="dxa" w:w="2621"/>
            <w:tcMar>
              <w:top w:type="dxa" w:w="70"/>
              <w:left w:type="dxa" w:w="110"/>
              <w:bottom w:type="dxa" w:w="70"/>
              <w:right w:type="dxa" w:w="110"/>
            </w:tcMar>
            <w:vAlign w:val="top"/>
          </w:tcPr>
          <w:p>
            <w:r>
              <w:rPr>
                <w:b/>
                <w:bCs/>
                <w:color w:val="1A1A1A"/>
                <w:sz w:val="16"/>
                <w:szCs w:val="16"/>
              </w:rPr>
              <w:t xml:space="preserve">API-First Engineering</w:t>
            </w:r>
          </w:p>
        </w:tc>
        <w:tc>
          <w:tcPr>
            <w:tcW w:type="dxa" w:w="7459"/>
            <w:tcMar>
              <w:top w:type="dxa" w:w="70"/>
              <w:left w:type="dxa" w:w="110"/>
              <w:bottom w:type="dxa" w:w="70"/>
              <w:right w:type="dxa" w:w="110"/>
            </w:tcMar>
            <w:vAlign w:val="top"/>
          </w:tcPr>
          <w:p>
            <w:r>
              <w:rPr>
                <w:b w:val="false"/>
                <w:bCs w:val="false"/>
                <w:color w:val="1A1A1A"/>
                <w:sz w:val="16"/>
                <w:szCs w:val="16"/>
              </w:rPr>
              <w:t xml:space="preserve">All business capabilities shall be exposed through well-designed APIs. Every user interface (UI) interaction should consume documented APIs, enabling future integrations and mobile applications.</w:t>
            </w:r>
          </w:p>
        </w:tc>
      </w:tr>
      <w:tr>
        <w:tc>
          <w:tcPr>
            <w:tcW w:type="dxa" w:w="2621"/>
            <w:tcMar>
              <w:top w:type="dxa" w:w="70"/>
              <w:left w:type="dxa" w:w="110"/>
              <w:bottom w:type="dxa" w:w="70"/>
              <w:right w:type="dxa" w:w="110"/>
            </w:tcMar>
            <w:vAlign w:val="top"/>
          </w:tcPr>
          <w:p>
            <w:r>
              <w:rPr>
                <w:b/>
                <w:bCs/>
                <w:color w:val="1A1A1A"/>
                <w:sz w:val="16"/>
                <w:szCs w:val="16"/>
              </w:rPr>
              <w:t xml:space="preserve">Security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Security shall be integrated into architecture, database, APIs, infrastructure, user interfaces, deployment, and operations. Security is mandatory, not optional.</w:t>
            </w:r>
          </w:p>
        </w:tc>
      </w:tr>
      <w:tr>
        <w:tc>
          <w:tcPr>
            <w:tcW w:type="dxa" w:w="2621"/>
            <w:tcMar>
              <w:top w:type="dxa" w:w="70"/>
              <w:left w:type="dxa" w:w="110"/>
              <w:bottom w:type="dxa" w:w="70"/>
              <w:right w:type="dxa" w:w="110"/>
            </w:tcMar>
            <w:vAlign w:val="top"/>
          </w:tcPr>
          <w:p>
            <w:r>
              <w:rPr>
                <w:b/>
                <w:bCs/>
                <w:color w:val="1A1A1A"/>
                <w:sz w:val="16"/>
                <w:szCs w:val="16"/>
              </w:rPr>
              <w:t xml:space="preserve">Quality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Quality shall be built into every engineering activity, not deferred until testing. Every engineer is responsible for software quality.</w:t>
            </w:r>
          </w:p>
        </w:tc>
      </w:tr>
      <w:tr>
        <w:tc>
          <w:tcPr>
            <w:tcW w:type="dxa" w:w="2621"/>
            <w:tcMar>
              <w:top w:type="dxa" w:w="70"/>
              <w:left w:type="dxa" w:w="110"/>
              <w:bottom w:type="dxa" w:w="70"/>
              <w:right w:type="dxa" w:w="110"/>
            </w:tcMar>
            <w:vAlign w:val="top"/>
          </w:tcPr>
          <w:p>
            <w:r>
              <w:rPr>
                <w:b/>
                <w:bCs/>
                <w:color w:val="1A1A1A"/>
                <w:sz w:val="16"/>
                <w:szCs w:val="16"/>
              </w:rPr>
              <w:t xml:space="preserve">Scalability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The platform must support increasing users, projects, documents, knowledge assets, reports, integrations, and transactions without significant redesign.</w:t>
            </w:r>
          </w:p>
        </w:tc>
      </w:tr>
      <w:tr>
        <w:tc>
          <w:tcPr>
            <w:tcW w:type="dxa" w:w="2621"/>
            <w:tcMar>
              <w:top w:type="dxa" w:w="70"/>
              <w:left w:type="dxa" w:w="110"/>
              <w:bottom w:type="dxa" w:w="70"/>
              <w:right w:type="dxa" w:w="110"/>
            </w:tcMar>
            <w:vAlign w:val="top"/>
          </w:tcPr>
          <w:p>
            <w:r>
              <w:rPr>
                <w:b/>
                <w:bCs/>
                <w:color w:val="1A1A1A"/>
                <w:sz w:val="16"/>
                <w:szCs w:val="16"/>
              </w:rPr>
              <w:t xml:space="preserve">Cloud-Native Thinking</w:t>
            </w:r>
          </w:p>
        </w:tc>
        <w:tc>
          <w:tcPr>
            <w:tcW w:type="dxa" w:w="7459"/>
            <w:tcMar>
              <w:top w:type="dxa" w:w="70"/>
              <w:left w:type="dxa" w:w="110"/>
              <w:bottom w:type="dxa" w:w="70"/>
              <w:right w:type="dxa" w:w="110"/>
            </w:tcMar>
            <w:vAlign w:val="top"/>
          </w:tcPr>
          <w:p>
            <w:r>
              <w:rPr>
                <w:b w:val="false"/>
                <w:bCs w:val="false"/>
                <w:color w:val="1A1A1A"/>
                <w:sz w:val="16"/>
                <w:szCs w:val="16"/>
              </w:rPr>
              <w:t xml:space="preserve">Even if initially deployed on-premises, the architecture shall remain cloud-ready. Deployment decisions should not constrain future cloud migration.</w:t>
            </w:r>
          </w:p>
        </w:tc>
      </w:tr>
      <w:tr>
        <w:tc>
          <w:tcPr>
            <w:tcW w:type="dxa" w:w="2621"/>
            <w:tcMar>
              <w:top w:type="dxa" w:w="70"/>
              <w:left w:type="dxa" w:w="110"/>
              <w:bottom w:type="dxa" w:w="70"/>
              <w:right w:type="dxa" w:w="110"/>
            </w:tcMar>
            <w:vAlign w:val="top"/>
          </w:tcPr>
          <w:p>
            <w:r>
              <w:rPr>
                <w:b/>
                <w:bCs/>
                <w:color w:val="1A1A1A"/>
                <w:sz w:val="16"/>
                <w:szCs w:val="16"/>
              </w:rPr>
              <w:t xml:space="preserve">Automation Everywhere</w:t>
            </w:r>
          </w:p>
        </w:tc>
        <w:tc>
          <w:tcPr>
            <w:tcW w:type="dxa" w:w="7459"/>
            <w:tcMar>
              <w:top w:type="dxa" w:w="70"/>
              <w:left w:type="dxa" w:w="110"/>
              <w:bottom w:type="dxa" w:w="70"/>
              <w:right w:type="dxa" w:w="110"/>
            </w:tcMar>
            <w:vAlign w:val="top"/>
          </w:tcPr>
          <w:p>
            <w:r>
              <w:rPr>
                <w:b w:val="false"/>
                <w:bCs w:val="false"/>
                <w:color w:val="1A1A1A"/>
                <w:sz w:val="16"/>
                <w:szCs w:val="16"/>
              </w:rPr>
              <w:t xml:space="preserve">Automate builds, testing, deployment, monitoring, backups, infrastructure provisioning, security scanning, and documentation generation wherever practical.</w:t>
            </w:r>
          </w:p>
        </w:tc>
      </w:tr>
      <w:tr>
        <w:tc>
          <w:tcPr>
            <w:tcW w:type="dxa" w:w="2621"/>
            <w:tcMar>
              <w:top w:type="dxa" w:w="70"/>
              <w:left w:type="dxa" w:w="110"/>
              <w:bottom w:type="dxa" w:w="70"/>
              <w:right w:type="dxa" w:w="110"/>
            </w:tcMar>
            <w:vAlign w:val="top"/>
          </w:tcPr>
          <w:p>
            <w:r>
              <w:rPr>
                <w:b/>
                <w:bCs/>
                <w:color w:val="1A1A1A"/>
                <w:sz w:val="16"/>
                <w:szCs w:val="16"/>
              </w:rPr>
              <w:t xml:space="preserve">Observability</w:t>
            </w:r>
          </w:p>
        </w:tc>
        <w:tc>
          <w:tcPr>
            <w:tcW w:type="dxa" w:w="7459"/>
            <w:tcMar>
              <w:top w:type="dxa" w:w="70"/>
              <w:left w:type="dxa" w:w="110"/>
              <w:bottom w:type="dxa" w:w="70"/>
              <w:right w:type="dxa" w:w="110"/>
            </w:tcMar>
            <w:vAlign w:val="top"/>
          </w:tcPr>
          <w:p>
            <w:r>
              <w:rPr>
                <w:b w:val="false"/>
                <w:bCs w:val="false"/>
                <w:color w:val="1A1A1A"/>
                <w:sz w:val="16"/>
                <w:szCs w:val="16"/>
              </w:rPr>
              <w:t xml:space="preserve">Every component shall produce sufficient logs, metrics, traces, audit records, and health indicators to enable proactive monitoring and rapid issue resolution.</w:t>
            </w:r>
          </w:p>
        </w:tc>
      </w:tr>
      <w:tr>
        <w:tc>
          <w:tcPr>
            <w:tcW w:type="dxa" w:w="2621"/>
            <w:tcMar>
              <w:top w:type="dxa" w:w="70"/>
              <w:left w:type="dxa" w:w="110"/>
              <w:bottom w:type="dxa" w:w="70"/>
              <w:right w:type="dxa" w:w="110"/>
            </w:tcMar>
            <w:vAlign w:val="top"/>
          </w:tcPr>
          <w:p>
            <w:r>
              <w:rPr>
                <w:b/>
                <w:bCs/>
                <w:color w:val="1A1A1A"/>
                <w:sz w:val="16"/>
                <w:szCs w:val="16"/>
              </w:rPr>
              <w:t xml:space="preserve">Documentation as Code</w:t>
            </w:r>
          </w:p>
        </w:tc>
        <w:tc>
          <w:tcPr>
            <w:tcW w:type="dxa" w:w="7459"/>
            <w:tcMar>
              <w:top w:type="dxa" w:w="70"/>
              <w:left w:type="dxa" w:w="110"/>
              <w:bottom w:type="dxa" w:w="70"/>
              <w:right w:type="dxa" w:w="110"/>
            </w:tcMar>
            <w:vAlign w:val="top"/>
          </w:tcPr>
          <w:p>
            <w:r>
              <w:rPr>
                <w:b w:val="false"/>
                <w:bCs w:val="false"/>
                <w:color w:val="1A1A1A"/>
                <w:sz w:val="16"/>
                <w:szCs w:val="16"/>
              </w:rPr>
              <w:t xml:space="preserve">Documentation shall evolve with the system. Every significant architectural decision, API, workflow, deployment process, and operational procedure shall be documented and version-controlled.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Security by Design is non-negotiable. A feature that cannot be delivered securely within the current sprint shall be deferred, not delivered with a known security gap — see Chapter 14, Security and Compliance Standards.</w:t>
            </w:r>
          </w:p>
        </w:tc>
      </w:tr>
    </w:tbl>
    <w:p>
      <w:pPr>
        <w:pStyle w:val="Heading1"/>
        <w:pBdr>
          <w:bottom w:val="single" w:color="C6D2E0" w:sz="4" w:space="4"/>
        </w:pBdr>
        <w:spacing w:after="140" w:before="360"/>
      </w:pPr>
      <w:r>
        <w:rPr>
          <w:b/>
          <w:bCs/>
          <w:color w:val="4A6FA5"/>
          <w:sz w:val="26"/>
          <w:szCs w:val="26"/>
        </w:rPr>
        <w:t xml:space="preserve">2.5  </w:t>
      </w:r>
      <w:r>
        <w:rPr>
          <w:b/>
          <w:bCs/>
          <w:color w:val="1F3864"/>
          <w:sz w:val="26"/>
          <w:szCs w:val="26"/>
        </w:rPr>
        <w:t xml:space="preserve">Engineering Success Metrics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quantitative and qualitative indicators used to measure engineering performance.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leadership objective evidence of engineering health across the full delivery lifecycle.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Metrics span delivery, quality, performance, security, operations, and adoption — no single dimension stands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continuously measurable engineering programme, not a subjective assessment at milestone reviews.</w:t>
            </w:r>
          </w:p>
        </w:tc>
      </w:tr>
    </w:tbl>
    <w:p>
      <w:pPr>
        <w:spacing w:after="160"/>
      </w:pPr>
    </w:p>
    <w:p>
      <w:pPr>
        <w:spacing w:after="150" w:line="276"/>
        <w:jc w:val="both"/>
      </w:pPr>
      <w:r>
        <w:t xml:space="preserve">The engineering programme will be measured using the following quantitative and qualitative indicators.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Metric Category</w:t>
            </w:r>
          </w:p>
        </w:tc>
        <w:tc>
          <w:tcPr>
            <w:tcW w:type="dxa" w:w="7459"/>
            <w:shd w:fill="1F3864" w:val="clear"/>
            <w:tcMar>
              <w:top w:type="dxa" w:w="70"/>
              <w:left w:type="dxa" w:w="110"/>
              <w:bottom w:type="dxa" w:w="70"/>
              <w:right w:type="dxa" w:w="110"/>
            </w:tcMar>
            <w:vAlign w:val="top"/>
          </w:tcPr>
          <w:p>
            <w:r>
              <w:rPr>
                <w:b/>
                <w:bCs/>
                <w:color w:val="FFFFFF"/>
                <w:sz w:val="17"/>
                <w:szCs w:val="17"/>
              </w:rPr>
              <w:t xml:space="preserve">Metrics Tracked</w:t>
            </w:r>
          </w:p>
        </w:tc>
      </w:tr>
      <w:tr>
        <w:tc>
          <w:tcPr>
            <w:tcW w:type="dxa" w:w="2621"/>
            <w:tcMar>
              <w:top w:type="dxa" w:w="70"/>
              <w:left w:type="dxa" w:w="110"/>
              <w:bottom w:type="dxa" w:w="70"/>
              <w:right w:type="dxa" w:w="110"/>
            </w:tcMar>
            <w:vAlign w:val="top"/>
          </w:tcPr>
          <w:p>
            <w:r>
              <w:rPr>
                <w:b/>
                <w:bCs/>
                <w:color w:val="1A1A1A"/>
                <w:sz w:val="16"/>
                <w:szCs w:val="16"/>
              </w:rPr>
              <w:t xml:space="preserve">Delivery Metrics</w:t>
            </w:r>
          </w:p>
        </w:tc>
        <w:tc>
          <w:tcPr>
            <w:tcW w:type="dxa" w:w="7459"/>
            <w:tcMar>
              <w:top w:type="dxa" w:w="70"/>
              <w:left w:type="dxa" w:w="110"/>
              <w:bottom w:type="dxa" w:w="70"/>
              <w:right w:type="dxa" w:w="110"/>
            </w:tcMar>
            <w:vAlign w:val="top"/>
          </w:tcPr>
          <w:p>
            <w:r>
              <w:rPr>
                <w:b w:val="false"/>
                <w:bCs w:val="false"/>
                <w:color w:val="1A1A1A"/>
                <w:sz w:val="16"/>
                <w:szCs w:val="16"/>
              </w:rPr>
              <w:t xml:space="preserve">Sprint completion rate; milestone achievement; schedule adherence; budget adherence.</w:t>
            </w:r>
          </w:p>
        </w:tc>
      </w:tr>
      <w:tr>
        <w:tc>
          <w:tcPr>
            <w:tcW w:type="dxa" w:w="2621"/>
            <w:tcMar>
              <w:top w:type="dxa" w:w="70"/>
              <w:left w:type="dxa" w:w="110"/>
              <w:bottom w:type="dxa" w:w="70"/>
              <w:right w:type="dxa" w:w="110"/>
            </w:tcMar>
            <w:vAlign w:val="top"/>
          </w:tcPr>
          <w:p>
            <w:r>
              <w:rPr>
                <w:b/>
                <w:bCs/>
                <w:color w:val="1A1A1A"/>
                <w:sz w:val="16"/>
                <w:szCs w:val="16"/>
              </w:rPr>
              <w:t xml:space="preserve">Quality Metrics</w:t>
            </w:r>
          </w:p>
        </w:tc>
        <w:tc>
          <w:tcPr>
            <w:tcW w:type="dxa" w:w="7459"/>
            <w:tcMar>
              <w:top w:type="dxa" w:w="70"/>
              <w:left w:type="dxa" w:w="110"/>
              <w:bottom w:type="dxa" w:w="70"/>
              <w:right w:type="dxa" w:w="110"/>
            </w:tcMar>
            <w:vAlign w:val="top"/>
          </w:tcPr>
          <w:p>
            <w:r>
              <w:rPr>
                <w:b w:val="false"/>
                <w:bCs w:val="false"/>
                <w:color w:val="1A1A1A"/>
                <w:sz w:val="16"/>
                <w:szCs w:val="16"/>
              </w:rPr>
              <w:t xml:space="preserve">Defect density; test coverage; User Acceptance Testing (UAT) pass rate; production defect rate; code quality score.</w:t>
            </w:r>
          </w:p>
        </w:tc>
      </w:tr>
      <w:tr>
        <w:tc>
          <w:tcPr>
            <w:tcW w:type="dxa" w:w="2621"/>
            <w:tcMar>
              <w:top w:type="dxa" w:w="70"/>
              <w:left w:type="dxa" w:w="110"/>
              <w:bottom w:type="dxa" w:w="70"/>
              <w:right w:type="dxa" w:w="110"/>
            </w:tcMar>
            <w:vAlign w:val="top"/>
          </w:tcPr>
          <w:p>
            <w:r>
              <w:rPr>
                <w:b/>
                <w:bCs/>
                <w:color w:val="1A1A1A"/>
                <w:sz w:val="16"/>
                <w:szCs w:val="16"/>
              </w:rPr>
              <w:t xml:space="preserve">Performance Metrics</w:t>
            </w:r>
          </w:p>
        </w:tc>
        <w:tc>
          <w:tcPr>
            <w:tcW w:type="dxa" w:w="7459"/>
            <w:tcMar>
              <w:top w:type="dxa" w:w="70"/>
              <w:left w:type="dxa" w:w="110"/>
              <w:bottom w:type="dxa" w:w="70"/>
              <w:right w:type="dxa" w:w="110"/>
            </w:tcMar>
            <w:vAlign w:val="top"/>
          </w:tcPr>
          <w:p>
            <w:r>
              <w:rPr>
                <w:b w:val="false"/>
                <w:bCs w:val="false"/>
                <w:color w:val="1A1A1A"/>
                <w:sz w:val="16"/>
                <w:szCs w:val="16"/>
              </w:rPr>
              <w:t xml:space="preserve">Average response time; API latency; search performance; dashboard load time; system throughput.</w:t>
            </w:r>
          </w:p>
        </w:tc>
      </w:tr>
      <w:tr>
        <w:tc>
          <w:tcPr>
            <w:tcW w:type="dxa" w:w="2621"/>
            <w:tcMar>
              <w:top w:type="dxa" w:w="70"/>
              <w:left w:type="dxa" w:w="110"/>
              <w:bottom w:type="dxa" w:w="70"/>
              <w:right w:type="dxa" w:w="110"/>
            </w:tcMar>
            <w:vAlign w:val="top"/>
          </w:tcPr>
          <w:p>
            <w:r>
              <w:rPr>
                <w:b/>
                <w:bCs/>
                <w:color w:val="1A1A1A"/>
                <w:sz w:val="16"/>
                <w:szCs w:val="16"/>
              </w:rPr>
              <w:t xml:space="preserve">Security Metrics</w:t>
            </w:r>
          </w:p>
        </w:tc>
        <w:tc>
          <w:tcPr>
            <w:tcW w:type="dxa" w:w="7459"/>
            <w:tcMar>
              <w:top w:type="dxa" w:w="70"/>
              <w:left w:type="dxa" w:w="110"/>
              <w:bottom w:type="dxa" w:w="70"/>
              <w:right w:type="dxa" w:w="110"/>
            </w:tcMar>
            <w:vAlign w:val="top"/>
          </w:tcPr>
          <w:p>
            <w:r>
              <w:rPr>
                <w:b w:val="false"/>
                <w:bCs w:val="false"/>
                <w:color w:val="1A1A1A"/>
                <w:sz w:val="16"/>
                <w:szCs w:val="16"/>
              </w:rPr>
              <w:t xml:space="preserve">Critical vulnerabilities; security incidents; penetration test findings; compliance audit results.</w:t>
            </w:r>
          </w:p>
        </w:tc>
      </w:tr>
      <w:tr>
        <w:tc>
          <w:tcPr>
            <w:tcW w:type="dxa" w:w="2621"/>
            <w:tcMar>
              <w:top w:type="dxa" w:w="70"/>
              <w:left w:type="dxa" w:w="110"/>
              <w:bottom w:type="dxa" w:w="70"/>
              <w:right w:type="dxa" w:w="110"/>
            </w:tcMar>
            <w:vAlign w:val="top"/>
          </w:tcPr>
          <w:p>
            <w:r>
              <w:rPr>
                <w:b/>
                <w:bCs/>
                <w:color w:val="1A1A1A"/>
                <w:sz w:val="16"/>
                <w:szCs w:val="16"/>
              </w:rPr>
              <w:t xml:space="preserve">Operational Metrics</w:t>
            </w:r>
          </w:p>
        </w:tc>
        <w:tc>
          <w:tcPr>
            <w:tcW w:type="dxa" w:w="7459"/>
            <w:tcMar>
              <w:top w:type="dxa" w:w="70"/>
              <w:left w:type="dxa" w:w="110"/>
              <w:bottom w:type="dxa" w:w="70"/>
              <w:right w:type="dxa" w:w="110"/>
            </w:tcMar>
            <w:vAlign w:val="top"/>
          </w:tcPr>
          <w:p>
            <w:r>
              <w:rPr>
                <w:b w:val="false"/>
                <w:bCs w:val="false"/>
                <w:color w:val="1A1A1A"/>
                <w:sz w:val="16"/>
                <w:szCs w:val="16"/>
              </w:rPr>
              <w:t xml:space="preserve">System availability; Mean Time to Detect (MTTD); Mean Time to Resolve (MTTR); backup success rate; recovery time.</w:t>
            </w:r>
          </w:p>
        </w:tc>
      </w:tr>
      <w:tr>
        <w:tc>
          <w:tcPr>
            <w:tcW w:type="dxa" w:w="2621"/>
            <w:tcMar>
              <w:top w:type="dxa" w:w="70"/>
              <w:left w:type="dxa" w:w="110"/>
              <w:bottom w:type="dxa" w:w="70"/>
              <w:right w:type="dxa" w:w="110"/>
            </w:tcMar>
            <w:vAlign w:val="top"/>
          </w:tcPr>
          <w:p>
            <w:r>
              <w:rPr>
                <w:b/>
                <w:bCs/>
                <w:color w:val="1A1A1A"/>
                <w:sz w:val="16"/>
                <w:szCs w:val="16"/>
              </w:rPr>
              <w:t xml:space="preserve">User Adoption Metrics</w:t>
            </w:r>
          </w:p>
        </w:tc>
        <w:tc>
          <w:tcPr>
            <w:tcW w:type="dxa" w:w="7459"/>
            <w:tcMar>
              <w:top w:type="dxa" w:w="70"/>
              <w:left w:type="dxa" w:w="110"/>
              <w:bottom w:type="dxa" w:w="70"/>
              <w:right w:type="dxa" w:w="110"/>
            </w:tcMar>
            <w:vAlign w:val="top"/>
          </w:tcPr>
          <w:p>
            <w:r>
              <w:rPr>
                <w:b w:val="false"/>
                <w:bCs w:val="false"/>
                <w:color w:val="1A1A1A"/>
                <w:sz w:val="16"/>
                <w:szCs w:val="16"/>
              </w:rPr>
              <w:t xml:space="preserve">Active users; feature adoption; knowledge article usage; workflow completion rate; user satisfaction.</w:t>
            </w:r>
          </w:p>
        </w:tc>
      </w:tr>
    </w:tbl>
    <w:p>
      <w:pPr>
        <w:pStyle w:val="Heading1"/>
        <w:pBdr>
          <w:bottom w:val="single" w:color="C6D2E0" w:sz="4" w:space="4"/>
        </w:pBdr>
        <w:spacing w:after="140" w:before="360"/>
      </w:pPr>
      <w:r>
        <w:rPr>
          <w:b/>
          <w:bCs/>
          <w:color w:val="4A6FA5"/>
          <w:sz w:val="26"/>
          <w:szCs w:val="26"/>
        </w:rPr>
        <w:t xml:space="preserve">2.6  </w:t>
      </w:r>
      <w:r>
        <w:rPr>
          <w:b/>
          <w:bCs/>
          <w:color w:val="1F3864"/>
          <w:sz w:val="26"/>
          <w:szCs w:val="26"/>
        </w:rPr>
        <w:t xml:space="preserve">Engineering Decision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priority order applied when multiple valid implementation options exist.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personal preference from technical trade-off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order is deliberate — business alignment and compliance outrank convenience or cost.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Defensible, consistent technical decisions that can withstand audit or client scrutiny.</w:t>
            </w:r>
          </w:p>
        </w:tc>
      </w:tr>
    </w:tbl>
    <w:p>
      <w:pPr>
        <w:spacing w:after="160"/>
      </w:pPr>
    </w:p>
    <w:p>
      <w:pPr>
        <w:spacing w:after="150" w:line="276"/>
        <w:jc w:val="both"/>
      </w:pPr>
      <w:r>
        <w:t xml:space="preserve">When multiple implementation options exist, the engineering team shall evaluate them using the following priority order.</w:t>
      </w:r>
    </w:p>
    <w:p>
      <w:pPr>
        <w:spacing w:after="90" w:line="264"/>
      </w:pPr>
      <w:r>
        <w:rPr>
          <w:b/>
          <w:bCs/>
          <w:color w:val="1F3864"/>
        </w:rPr>
        <w:t xml:space="preserve">1. </w:t>
      </w:r>
      <w:r>
        <w:t xml:space="preserve">Alignment with business objectives.</w:t>
      </w:r>
    </w:p>
    <w:p>
      <w:pPr>
        <w:spacing w:after="90" w:line="264"/>
      </w:pPr>
      <w:r>
        <w:rPr>
          <w:b/>
          <w:bCs/>
          <w:color w:val="1F3864"/>
        </w:rPr>
        <w:t xml:space="preserve">2. </w:t>
      </w:r>
      <w:r>
        <w:t xml:space="preserve">Compliance with the approved architecture.</w:t>
      </w:r>
    </w:p>
    <w:p>
      <w:pPr>
        <w:spacing w:after="90" w:line="264"/>
      </w:pPr>
      <w:r>
        <w:rPr>
          <w:b/>
          <w:bCs/>
          <w:color w:val="1F3864"/>
        </w:rPr>
        <w:t xml:space="preserve">3. </w:t>
      </w:r>
      <w:r>
        <w:t xml:space="preserve">Security and regulatory compliance.</w:t>
      </w:r>
    </w:p>
    <w:p>
      <w:pPr>
        <w:spacing w:after="90" w:line="264"/>
      </w:pPr>
      <w:r>
        <w:rPr>
          <w:b/>
          <w:bCs/>
          <w:color w:val="1F3864"/>
        </w:rPr>
        <w:t xml:space="preserve">4. </w:t>
      </w:r>
      <w:r>
        <w:t xml:space="preserve">Long-term maintainability.</w:t>
      </w:r>
    </w:p>
    <w:p>
      <w:pPr>
        <w:spacing w:after="90" w:line="264"/>
      </w:pPr>
      <w:r>
        <w:rPr>
          <w:b/>
          <w:bCs/>
          <w:color w:val="1F3864"/>
        </w:rPr>
        <w:t xml:space="preserve">5. </w:t>
      </w:r>
      <w:r>
        <w:t xml:space="preserve">Scalability and extensibility.</w:t>
      </w:r>
    </w:p>
    <w:p>
      <w:pPr>
        <w:spacing w:after="90" w:line="264"/>
      </w:pPr>
      <w:r>
        <w:rPr>
          <w:b/>
          <w:bCs/>
          <w:color w:val="1F3864"/>
        </w:rPr>
        <w:t xml:space="preserve">6. </w:t>
      </w:r>
      <w:r>
        <w:t xml:space="preserve">Performance and reliability.</w:t>
      </w:r>
    </w:p>
    <w:p>
      <w:pPr>
        <w:spacing w:after="90" w:line="264"/>
      </w:pPr>
      <w:r>
        <w:rPr>
          <w:b/>
          <w:bCs/>
          <w:color w:val="1F3864"/>
        </w:rPr>
        <w:t xml:space="preserve">7. </w:t>
      </w:r>
      <w:r>
        <w:t xml:space="preserve">Simplicity and clarity.</w:t>
      </w:r>
    </w:p>
    <w:p>
      <w:pPr>
        <w:spacing w:after="90" w:line="264"/>
      </w:pPr>
      <w:r>
        <w:rPr>
          <w:b/>
          <w:bCs/>
          <w:color w:val="1F3864"/>
        </w:rPr>
        <w:t xml:space="preserve">8. </w:t>
      </w:r>
      <w:r>
        <w:t xml:space="preserve">Cost-effectiveness.</w:t>
      </w:r>
    </w:p>
    <w:p>
      <w:pPr>
        <w:spacing w:after="90" w:line="264"/>
      </w:pPr>
      <w:r>
        <w:rPr>
          <w:b/>
          <w:bCs/>
          <w:color w:val="1F3864"/>
        </w:rPr>
        <w:t xml:space="preserve">9. </w:t>
      </w:r>
      <w:r>
        <w:t xml:space="preserve">Developer productivity.</w:t>
      </w:r>
    </w:p>
    <w:p>
      <w:pPr>
        <w:spacing w:after="90" w:line="264"/>
      </w:pPr>
      <w:r>
        <w:rPr>
          <w:b/>
          <w:bCs/>
          <w:color w:val="1F3864"/>
        </w:rPr>
        <w:t xml:space="preserve">10. </w:t>
      </w:r>
      <w:r>
        <w:t xml:space="preserve">User experience.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1F3864"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1F3864"/>
                <w:sz w:val="17"/>
                <w:szCs w:val="17"/>
              </w:rPr>
              <w:t xml:space="preserve">ARCHITECTURE DECISION</w:t>
            </w:r>
          </w:p>
          <w:p>
            <w:pPr>
              <w:spacing w:after="0"/>
            </w:pPr>
            <w:r>
              <w:rPr>
                <w:sz w:val="18"/>
                <w:szCs w:val="18"/>
              </w:rPr>
              <w:t xml:space="preserve">Any proposed deviation from this priority order requires documented justification through an Architecture Decision Record (ADR) — see Chapter 22, Engineering Decision Log / ADR Process.</w:t>
            </w:r>
          </w:p>
        </w:tc>
      </w:tr>
    </w:tbl>
    <w:p>
      <w:pPr>
        <w:pStyle w:val="Heading1"/>
        <w:pBdr>
          <w:bottom w:val="single" w:color="C6D2E0" w:sz="4" w:space="4"/>
        </w:pBdr>
        <w:spacing w:after="140" w:before="360"/>
      </w:pPr>
      <w:r>
        <w:rPr>
          <w:b/>
          <w:bCs/>
          <w:color w:val="4A6FA5"/>
          <w:sz w:val="26"/>
          <w:szCs w:val="26"/>
        </w:rPr>
        <w:t xml:space="preserve">2.7  </w:t>
      </w:r>
      <w:r>
        <w:rPr>
          <w:b/>
          <w:bCs/>
          <w:color w:val="1F3864"/>
          <w:sz w:val="26"/>
          <w:szCs w:val="26"/>
        </w:rPr>
        <w:t xml:space="preserve">Antigravity Engineering Commitment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Antigravity's specific commitments as the project's engineering organization.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verifiable standard against which AI-assisted engineering output is assessed.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Extends the Chapter 1 charter into day-to-day engineering conduct.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outputs that are consistent, traceable, and production-ready by default.</w:t>
            </w:r>
          </w:p>
        </w:tc>
      </w:tr>
    </w:tbl>
    <w:p>
      <w:pPr>
        <w:spacing w:after="160"/>
      </w:pPr>
    </w:p>
    <w:p>
      <w:pPr>
        <w:spacing w:after="150" w:line="276"/>
        <w:jc w:val="both"/>
      </w:pPr>
      <w:r>
        <w:t xml:space="preserve">Antigravity shall function as the project's engineering organization and is expected to:</w:t>
      </w:r>
    </w:p>
    <w:p>
      <w:pPr>
        <w:pStyle w:val="ListParagraph"/>
        <w:numPr>
          <w:ilvl w:val="0"/>
          <w:numId w:val="1"/>
        </w:numPr>
        <w:spacing w:after="90" w:line="264"/>
      </w:pPr>
      <w:r>
        <w:t xml:space="preserve">Preserve consistency across all engineering artifacts.</w:t>
      </w:r>
    </w:p>
    <w:p>
      <w:pPr>
        <w:pStyle w:val="ListParagraph"/>
        <w:numPr>
          <w:ilvl w:val="0"/>
          <w:numId w:val="1"/>
        </w:numPr>
        <w:spacing w:after="90" w:line="264"/>
      </w:pPr>
      <w:r>
        <w:t xml:space="preserve">Maintain traceability between requirements, architecture, implementation, and testing.</w:t>
      </w:r>
    </w:p>
    <w:p>
      <w:pPr>
        <w:pStyle w:val="ListParagraph"/>
        <w:numPr>
          <w:ilvl w:val="0"/>
          <w:numId w:val="1"/>
        </w:numPr>
        <w:spacing w:after="90" w:line="264"/>
      </w:pPr>
      <w:r>
        <w:t xml:space="preserve">Never invent business requirements beyond the approved documentation.</w:t>
      </w:r>
    </w:p>
    <w:p>
      <w:pPr>
        <w:pStyle w:val="ListParagraph"/>
        <w:numPr>
          <w:ilvl w:val="0"/>
          <w:numId w:val="1"/>
        </w:numPr>
        <w:spacing w:after="90" w:line="264"/>
      </w:pPr>
      <w:r>
        <w:t xml:space="preserve">Surface ambiguities before implementation rather than making unsupported assumptions.</w:t>
      </w:r>
    </w:p>
    <w:p>
      <w:pPr>
        <w:pStyle w:val="ListParagraph"/>
        <w:numPr>
          <w:ilvl w:val="0"/>
          <w:numId w:val="1"/>
        </w:numPr>
        <w:spacing w:after="90" w:line="264"/>
      </w:pPr>
      <w:r>
        <w:t xml:space="preserve">Recommend improvements where they enhance maintainability, security, or operational effectiveness without changing the agreed project scope.</w:t>
      </w:r>
    </w:p>
    <w:p>
      <w:pPr>
        <w:pStyle w:val="ListParagraph"/>
        <w:numPr>
          <w:ilvl w:val="0"/>
          <w:numId w:val="1"/>
        </w:numPr>
        <w:spacing w:after="90" w:line="264"/>
      </w:pPr>
      <w:r>
        <w:t xml:space="preserve">Produce production-ready engineering outputs that can be reviewed, tested, deployed, and maintained using enterprise software engineering practices.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This commitment is binding for the duration of the engineering programme and is assessed against the Chapter 24 Final Engineering Acceptance Checklist at project closeout.</w:t>
            </w:r>
          </w:p>
        </w:tc>
      </w:tr>
    </w:tbl>
    <w:p>
      <w:pPr>
        <w:pStyle w:val="Heading1"/>
        <w:pBdr>
          <w:bottom w:val="single" w:color="C6D2E0" w:sz="4" w:space="4"/>
        </w:pBdr>
        <w:spacing w:after="140" w:before="360"/>
      </w:pPr>
      <w:r>
        <w:rPr>
          <w:b/>
          <w:bCs/>
          <w:color w:val="4A6FA5"/>
          <w:sz w:val="26"/>
          <w:szCs w:val="26"/>
        </w:rPr>
        <w:t xml:space="preserve">2.8  </w:t>
      </w:r>
      <w:r>
        <w:rPr>
          <w:b/>
          <w:bCs/>
          <w:color w:val="1F3864"/>
          <w:sz w:val="26"/>
          <w:szCs w:val="26"/>
        </w:rPr>
        <w:t xml:space="preserve">Chapter Summary</w:t>
      </w:r>
    </w:p>
    <w:p>
      <w:pPr>
        <w:spacing w:after="150" w:line="276"/>
        <w:jc w:val="both"/>
      </w:pPr>
      <w:r>
        <w:t xml:space="preserve">This chapter translated the engineering mission into eight measurable strategic objectives, eleven core engineering principles, six categories of success metrics, a ten-item decision priority order, and Antigravity's specific engineering commitments. Together, these give every engineer on the programme a consistent basis for evaluating trade-offs and assessing whether delivered work meets the standard the SAPZ Programme requires.</w:t>
      </w:r>
    </w:p>
    <w:p>
      <w:pPr>
        <w:pStyle w:val="Heading2"/>
        <w:spacing w:after="110" w:before="260"/>
      </w:pPr>
      <w:r>
        <w:rPr>
          <w:b/>
          <w:bCs/>
          <w:color w:val="4A6FA5"/>
          <w:sz w:val="21"/>
          <w:szCs w:val="21"/>
        </w:rPr>
        <w:t xml:space="preserve">2.8.1  </w:t>
      </w:r>
      <w:r>
        <w:rPr>
          <w:b/>
          <w:bCs/>
          <w:color w:val="1F3864"/>
          <w:sz w:val="21"/>
          <w:szCs w:val="21"/>
        </w:rPr>
        <w:t xml:space="preserve">Key Engineering Principles</w:t>
      </w:r>
    </w:p>
    <w:p>
      <w:pPr>
        <w:pStyle w:val="ListParagraph"/>
        <w:numPr>
          <w:ilvl w:val="0"/>
          <w:numId w:val="1"/>
        </w:numPr>
        <w:spacing w:after="90" w:line="264"/>
      </w:pPr>
      <w:r>
        <w:t xml:space="preserve">Business Value First and Security by Design are the two principles that override convenience in every trade-off.</w:t>
      </w:r>
    </w:p>
    <w:p>
      <w:pPr>
        <w:pStyle w:val="ListParagraph"/>
        <w:numPr>
          <w:ilvl w:val="0"/>
          <w:numId w:val="1"/>
        </w:numPr>
        <w:spacing w:after="90" w:line="264"/>
      </w:pPr>
      <w:r>
        <w:t xml:space="preserve">Future-growth accommodation (Objective 7) must never expand Phase 1 scope without a documented change decision.</w:t>
      </w:r>
    </w:p>
    <w:p>
      <w:pPr>
        <w:pStyle w:val="ListParagraph"/>
        <w:numPr>
          <w:ilvl w:val="0"/>
          <w:numId w:val="1"/>
        </w:numPr>
        <w:spacing w:after="90" w:line="264"/>
      </w:pPr>
      <w:r>
        <w:t xml:space="preserve">Decision priority always favors business alignment and compliance over cost or developer convenience.</w:t>
      </w:r>
    </w:p>
    <w:p>
      <w:pPr>
        <w:pStyle w:val="ListParagraph"/>
        <w:numPr>
          <w:ilvl w:val="0"/>
          <w:numId w:val="1"/>
        </w:numPr>
        <w:spacing w:after="90" w:line="264"/>
      </w:pPr>
      <w:r>
        <w:t xml:space="preserve">Any deviation from the standard decision priority order requires an Architecture Decision Record (ADR).</w:t>
      </w:r>
    </w:p>
    <w:p>
      <w:pPr>
        <w:pStyle w:val="Heading2"/>
        <w:spacing w:after="110" w:before="260"/>
      </w:pPr>
      <w:r>
        <w:rPr>
          <w:b/>
          <w:bCs/>
          <w:color w:val="4A6FA5"/>
          <w:sz w:val="21"/>
          <w:szCs w:val="21"/>
        </w:rPr>
        <w:t xml:space="preserve">2.8.2  </w:t>
      </w:r>
      <w:r>
        <w:rPr>
          <w:b/>
          <w:bCs/>
          <w:color w:val="1F3864"/>
          <w:sz w:val="21"/>
          <w:szCs w:val="21"/>
        </w:rPr>
        <w:t xml:space="preserve">Implementation Checklist</w:t>
      </w:r>
    </w:p>
    <w:p>
      <w:pPr>
        <w:pStyle w:val="ListParagraph"/>
        <w:numPr>
          <w:ilvl w:val="0"/>
          <w:numId w:val="1"/>
        </w:numPr>
        <w:spacing w:after="90" w:line="264"/>
      </w:pPr>
      <w:r>
        <w:t xml:space="preserve">☐ Confirm each of the eight strategic objectives (Section 2.3) has a named owner.</w:t>
      </w:r>
    </w:p>
    <w:p>
      <w:pPr>
        <w:pStyle w:val="ListParagraph"/>
        <w:numPr>
          <w:ilvl w:val="0"/>
          <w:numId w:val="1"/>
        </w:numPr>
        <w:spacing w:after="90" w:line="264"/>
      </w:pPr>
      <w:r>
        <w:t xml:space="preserve">☐ Confirm success metrics (Section 2.5) are instrumented before Sprint 1 concludes, not retrofitted later.</w:t>
      </w:r>
    </w:p>
    <w:p>
      <w:pPr>
        <w:pStyle w:val="ListParagraph"/>
        <w:numPr>
          <w:ilvl w:val="0"/>
          <w:numId w:val="1"/>
        </w:numPr>
        <w:spacing w:after="90" w:line="264"/>
      </w:pPr>
      <w:r>
        <w:t xml:space="preserve">☐ Confirm the ADR log is the recorded destination for any decision-priority deviation (Section 2.6).</w:t>
      </w:r>
    </w:p>
    <w:p>
      <w:pPr>
        <w:pStyle w:val="ListParagraph"/>
        <w:numPr>
          <w:ilvl w:val="0"/>
          <w:numId w:val="1"/>
        </w:numPr>
        <w:spacing w:after="90" w:line="264"/>
      </w:pPr>
      <w:r>
        <w:t xml:space="preserve">☐ Confirm this chapter's principles are referenced in the Definition of Done (see Chapter 19).</w:t>
      </w:r>
    </w:p>
    <w:p>
      <w:pPr>
        <w:pStyle w:val="Heading2"/>
        <w:spacing w:after="110" w:before="260"/>
      </w:pPr>
      <w:r>
        <w:rPr>
          <w:b/>
          <w:bCs/>
          <w:color w:val="4A6FA5"/>
          <w:sz w:val="21"/>
          <w:szCs w:val="21"/>
        </w:rPr>
        <w:t xml:space="preserve">2.8.3  </w:t>
      </w:r>
      <w:r>
        <w:rPr>
          <w:b/>
          <w:bCs/>
          <w:color w:val="1F3864"/>
          <w:sz w:val="21"/>
          <w:szCs w:val="21"/>
        </w:rPr>
        <w:t xml:space="preserve">Related Chapters</w:t>
      </w:r>
    </w:p>
    <w:p>
      <w:pPr>
        <w:pStyle w:val="ListParagraph"/>
        <w:numPr>
          <w:ilvl w:val="0"/>
          <w:numId w:val="1"/>
        </w:numPr>
        <w:spacing w:after="90" w:line="264"/>
      </w:pPr>
      <w:r>
        <w:t xml:space="preserve">Chapter 1 — Executive Overview</w:t>
      </w:r>
    </w:p>
    <w:p>
      <w:pPr>
        <w:pStyle w:val="ListParagraph"/>
        <w:numPr>
          <w:ilvl w:val="0"/>
          <w:numId w:val="1"/>
        </w:numPr>
        <w:spacing w:after="90" w:line="264"/>
      </w:pPr>
      <w:r>
        <w:t xml:space="preserve">Chapter 5 — Engineering Principles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2026-07-19T18:29:51.138Z</dcterms:created>
  <dcterms:modified xsi:type="dcterms:W3CDTF">2026-07-19T18:29:51.138Z</dcterms:modified>
</cp:coreProperties>
</file>

<file path=docProps/custom.xml><?xml version="1.0" encoding="utf-8"?>
<Properties xmlns="http://schemas.openxmlformats.org/officeDocument/2006/custom-properties" xmlns:vt="http://schemas.openxmlformats.org/officeDocument/2006/docPropsVTypes"/>
</file>