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3</w:t>
      </w:r>
    </w:p>
    <w:p>
      <w:pPr>
        <w:pBdr>
          <w:bottom w:val="single" w:color="1F3864" w:sz="14" w:space="10"/>
        </w:pBdr>
        <w:spacing w:after="160"/>
        <w:jc w:val="center"/>
      </w:pPr>
      <w:r>
        <w:rPr>
          <w:b/>
          <w:bCs/>
          <w:color w:val="152238"/>
          <w:sz w:val="40"/>
          <w:szCs w:val="40"/>
        </w:rPr>
        <w:t xml:space="preserve">Project Context</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Business, Operational, and Technical Context</w:t>
      </w:r>
    </w:p>
    <w:p>
      <w:r>
        <w:br w:type="page"/>
      </w:r>
    </w:p>
    <w:p>
      <w:pPr>
        <w:spacing w:after="40"/>
        <w:jc w:val="left"/>
      </w:pPr>
      <w:r>
        <w:rPr>
          <w:b/>
          <w:bCs/>
          <w:caps/>
          <w:color w:val="4A6FA5"/>
          <w:sz w:val="22"/>
          <w:szCs w:val="22"/>
        </w:rPr>
        <w:t xml:space="preserve">CHAPTER 3</w:t>
      </w:r>
    </w:p>
    <w:p>
      <w:pPr>
        <w:pBdr>
          <w:bottom w:val="single" w:color="1F3864" w:sz="12" w:space="8"/>
        </w:pBdr>
        <w:spacing w:after="200"/>
        <w:jc w:val="left"/>
      </w:pPr>
      <w:r>
        <w:rPr>
          <w:b/>
          <w:bCs/>
          <w:color w:val="152238"/>
          <w:sz w:val="44"/>
          <w:szCs w:val="44"/>
        </w:rPr>
        <w:t xml:space="preserve">Project Context</w:t>
      </w:r>
    </w:p>
    <w:p>
      <w:pPr>
        <w:spacing w:after="90" w:before="180"/>
      </w:pPr>
      <w:r>
        <w:rPr>
          <w:b/>
          <w:bCs/>
          <w:color w:val="152238"/>
          <w:sz w:val="19"/>
          <w:szCs w:val="19"/>
        </w:rPr>
        <w:t xml:space="preserve">Chapter Overview</w:t>
      </w:r>
    </w:p>
    <w:p>
      <w:pPr>
        <w:spacing w:after="150" w:line="276"/>
        <w:jc w:val="both"/>
      </w:pPr>
      <w:r>
        <w:t xml:space="preserve">This chapter establishes the business, operational, technical, and organizational context within which the Enterprise System Management (ESM) Platform and Central Knowledge Repository (CKR) are engineered — the programme background, the business problem being solved, the strategic objectives, the project scope, the stakeholder ecosystem, the operating environment, technology context, constraints, assumptions, and the engineering implications that follow from all of the above.</w:t>
      </w:r>
    </w:p>
    <w:p>
      <w:pPr>
        <w:spacing w:after="90" w:before="180"/>
      </w:pPr>
      <w:r>
        <w:rPr>
          <w:b/>
          <w:bCs/>
          <w:color w:val="152238"/>
          <w:sz w:val="19"/>
          <w:szCs w:val="19"/>
        </w:rPr>
        <w:t xml:space="preserve">Purpose</w:t>
      </w:r>
    </w:p>
    <w:p>
      <w:pPr>
        <w:spacing w:after="150" w:line="276"/>
        <w:jc w:val="both"/>
      </w:pPr>
      <w:r>
        <w:t xml:space="preserve">To give every engineer a shared understanding of why the project exists, what business challenges it addresses, who will use it, how it fits into the SAPZ Programme, and what constraints must guide engineering decisions — so that every technical decision remains anchored to this context rather than made in isolation.</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SAPZ Programme's national development mandate and multi-stakeholder structure.</w:t>
      </w:r>
    </w:p>
    <w:p>
      <w:pPr>
        <w:pStyle w:val="ListParagraph"/>
        <w:numPr>
          <w:ilvl w:val="0"/>
          <w:numId w:val="1"/>
        </w:numPr>
        <w:spacing w:after="90" w:line="264"/>
      </w:pPr>
      <w:r>
        <w:t xml:space="preserve">Understand the specific business problems the platform is engineered to solve.</w:t>
      </w:r>
    </w:p>
    <w:p>
      <w:pPr>
        <w:pStyle w:val="ListParagraph"/>
        <w:numPr>
          <w:ilvl w:val="0"/>
          <w:numId w:val="1"/>
        </w:numPr>
        <w:spacing w:after="90" w:line="264"/>
      </w:pPr>
      <w:r>
        <w:t xml:space="preserve">Understand the project's scope boundaries across the ESM Platform and CKR.</w:t>
      </w:r>
    </w:p>
    <w:p>
      <w:pPr>
        <w:pStyle w:val="ListParagraph"/>
        <w:numPr>
          <w:ilvl w:val="0"/>
          <w:numId w:val="1"/>
        </w:numPr>
        <w:spacing w:after="90" w:line="264"/>
      </w:pPr>
      <w:r>
        <w:t xml:space="preserve">Understand the full stakeholder ecosystem and each group's responsibilities.</w:t>
      </w:r>
    </w:p>
    <w:p>
      <w:pPr>
        <w:pStyle w:val="ListParagraph"/>
        <w:numPr>
          <w:ilvl w:val="0"/>
          <w:numId w:val="1"/>
        </w:numPr>
        <w:spacing w:after="90" w:line="264"/>
      </w:pPr>
      <w:r>
        <w:t xml:space="preserve">Understand the constraints and assumptions that bound every engineering decision.</w:t>
      </w:r>
    </w:p>
    <w:p>
      <w:pPr>
        <w:pStyle w:val="Heading1"/>
        <w:pBdr>
          <w:bottom w:val="single" w:color="C6D2E0" w:sz="4" w:space="4"/>
        </w:pBdr>
        <w:spacing w:after="140" w:before="360"/>
      </w:pPr>
      <w:r>
        <w:rPr>
          <w:b/>
          <w:bCs/>
          <w:color w:val="4A6FA5"/>
          <w:sz w:val="26"/>
          <w:szCs w:val="26"/>
        </w:rPr>
        <w:t xml:space="preserve">3.1  </w:t>
      </w:r>
      <w:r>
        <w:rPr>
          <w:b/>
          <w:bCs/>
          <w:color w:val="1F3864"/>
          <w:sz w:val="26"/>
          <w:szCs w:val="26"/>
        </w:rPr>
        <w:t xml:space="preserve">Purpose of This Section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Frame this chapter as the interpretive lens for every subsequent engineering decision.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technically valid but contextually irrelevant solutions from entering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Acts as a first filter: does this implementation support the programme's strategic objectives?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Engineering decisions that are consistently traceable back to genuine programme need.</w:t>
            </w:r>
          </w:p>
        </w:tc>
      </w:tr>
    </w:tbl>
    <w:p>
      <w:pPr>
        <w:spacing w:after="160"/>
      </w:pPr>
    </w:p>
    <w:p>
      <w:pPr>
        <w:spacing w:after="150" w:line="276"/>
        <w:jc w:val="both"/>
      </w:pPr>
      <w:r>
        <w:t xml:space="preserve">This section provides the business, operational, technical, and organizational context within which the ESM Platform and the CKR will be engineered.</w:t>
      </w:r>
    </w:p>
    <w:p>
      <w:pPr>
        <w:spacing w:after="150" w:line="276"/>
        <w:jc w:val="both"/>
      </w:pPr>
      <w:r>
        <w:t xml:space="preserve">It establishes a shared understanding of why the project exists, what business challenges it addresses, who will use it, how it fits into the SAPZ Programme, and what constraints must guide engineering decisions.</w:t>
      </w:r>
    </w:p>
    <w:p>
      <w:pPr>
        <w:spacing w:after="150" w:line="276"/>
        <w:jc w:val="both"/>
      </w:pPr>
      <w:r>
        <w:t xml:space="preserve">Every technical decision made throughout the project shall remain consistent with this context. If a proposed implementation does not support the programme's strategic objectives, simplify programme operations, or improve stakeholder outcomes, it should be reconsidered.</w:t>
      </w:r>
    </w:p>
    <w:p>
      <w:pPr>
        <w:pStyle w:val="Heading1"/>
        <w:pBdr>
          <w:bottom w:val="single" w:color="C6D2E0" w:sz="4" w:space="4"/>
        </w:pBdr>
        <w:spacing w:after="140" w:before="360"/>
      </w:pPr>
      <w:r>
        <w:rPr>
          <w:b/>
          <w:bCs/>
          <w:color w:val="4A6FA5"/>
          <w:sz w:val="26"/>
          <w:szCs w:val="26"/>
        </w:rPr>
        <w:t xml:space="preserve">3.2  </w:t>
      </w:r>
      <w:r>
        <w:rPr>
          <w:b/>
          <w:bCs/>
          <w:color w:val="1F3864"/>
          <w:sz w:val="26"/>
          <w:szCs w:val="26"/>
        </w:rPr>
        <w:t xml:space="preserve">Programme Background</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Describe the SAPZ Programme's national mandate and the digital platform need it creates.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Connects the engineering programme to a flagship national development initiative, not a routine IT project.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Scale and multi-stakeholder coordination are architectural drivers, not incidental detail.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 engineering team that understands the national significance of what it is building.</w:t>
            </w:r>
          </w:p>
        </w:tc>
      </w:tr>
    </w:tbl>
    <w:p>
      <w:pPr>
        <w:spacing w:after="160"/>
      </w:pPr>
    </w:p>
    <w:p>
      <w:pPr>
        <w:spacing w:after="150" w:line="276"/>
        <w:jc w:val="both"/>
      </w:pPr>
      <w:r>
        <w:t xml:space="preserve">The Special Agro-Industrial Processing Zones (SAPZ) Programme is a flagship national development initiative of the Federal Republic of Nigeria, implemented through the National Programme Coordination Office (NPCO) with financial and technical support from the International Fund for Agricultural Development (IFAD) and other development partners.</w:t>
      </w:r>
    </w:p>
    <w:p>
      <w:pPr>
        <w:spacing w:after="150" w:line="276"/>
        <w:jc w:val="both"/>
      </w:pPr>
      <w:r>
        <w:t xml:space="preserve">The programme is designed to accelerate agricultural transformation by establishing integrated agro-industrial ecosystems that:</w:t>
      </w:r>
    </w:p>
    <w:p>
      <w:pPr>
        <w:pStyle w:val="ListParagraph"/>
        <w:numPr>
          <w:ilvl w:val="0"/>
          <w:numId w:val="1"/>
        </w:numPr>
        <w:spacing w:after="90" w:line="264"/>
      </w:pPr>
      <w:r>
        <w:t xml:space="preserve">Increase agricultural productivity.</w:t>
      </w:r>
    </w:p>
    <w:p>
      <w:pPr>
        <w:pStyle w:val="ListParagraph"/>
        <w:numPr>
          <w:ilvl w:val="0"/>
          <w:numId w:val="1"/>
        </w:numPr>
        <w:spacing w:after="90" w:line="264"/>
      </w:pPr>
      <w:r>
        <w:t xml:space="preserve">Strengthen value chains.</w:t>
      </w:r>
    </w:p>
    <w:p>
      <w:pPr>
        <w:pStyle w:val="ListParagraph"/>
        <w:numPr>
          <w:ilvl w:val="0"/>
          <w:numId w:val="1"/>
        </w:numPr>
        <w:spacing w:after="90" w:line="264"/>
      </w:pPr>
      <w:r>
        <w:t xml:space="preserve">Reduce post-harvest losses.</w:t>
      </w:r>
    </w:p>
    <w:p>
      <w:pPr>
        <w:pStyle w:val="ListParagraph"/>
        <w:numPr>
          <w:ilvl w:val="0"/>
          <w:numId w:val="1"/>
        </w:numPr>
        <w:spacing w:after="90" w:line="264"/>
      </w:pPr>
      <w:r>
        <w:t xml:space="preserve">Improve food security.</w:t>
      </w:r>
    </w:p>
    <w:p>
      <w:pPr>
        <w:pStyle w:val="ListParagraph"/>
        <w:numPr>
          <w:ilvl w:val="0"/>
          <w:numId w:val="1"/>
        </w:numPr>
        <w:spacing w:after="90" w:line="264"/>
      </w:pPr>
      <w:r>
        <w:t xml:space="preserve">Promote agro-industrial investment.</w:t>
      </w:r>
    </w:p>
    <w:p>
      <w:pPr>
        <w:pStyle w:val="ListParagraph"/>
        <w:numPr>
          <w:ilvl w:val="0"/>
          <w:numId w:val="1"/>
        </w:numPr>
        <w:spacing w:after="90" w:line="264"/>
      </w:pPr>
      <w:r>
        <w:t xml:space="preserve">Create employment opportunities.</w:t>
      </w:r>
    </w:p>
    <w:p>
      <w:pPr>
        <w:pStyle w:val="ListParagraph"/>
        <w:numPr>
          <w:ilvl w:val="0"/>
          <w:numId w:val="1"/>
        </w:numPr>
        <w:spacing w:after="90" w:line="264"/>
      </w:pPr>
      <w:r>
        <w:t xml:space="preserve">Increase rural incomes.</w:t>
      </w:r>
    </w:p>
    <w:p>
      <w:pPr>
        <w:pStyle w:val="ListParagraph"/>
        <w:numPr>
          <w:ilvl w:val="0"/>
          <w:numId w:val="1"/>
        </w:numPr>
        <w:spacing w:after="90" w:line="264"/>
      </w:pPr>
      <w:r>
        <w:t xml:space="preserve">Enhance economic diversification.</w:t>
      </w:r>
    </w:p>
    <w:p>
      <w:pPr>
        <w:pStyle w:val="ListParagraph"/>
        <w:numPr>
          <w:ilvl w:val="0"/>
          <w:numId w:val="1"/>
        </w:numPr>
        <w:spacing w:after="90" w:line="264"/>
      </w:pPr>
      <w:r>
        <w:t xml:space="preserve">Improve market access.</w:t>
      </w:r>
    </w:p>
    <w:p>
      <w:pPr>
        <w:pStyle w:val="ListParagraph"/>
        <w:numPr>
          <w:ilvl w:val="0"/>
          <w:numId w:val="1"/>
        </w:numPr>
        <w:spacing w:after="90" w:line="264"/>
      </w:pPr>
      <w:r>
        <w:t xml:space="preserve">Support inclusive and sustainable agricultural development.</w:t>
      </w:r>
    </w:p>
    <w:p>
      <w:pPr>
        <w:spacing w:after="150" w:line="276"/>
        <w:jc w:val="both"/>
      </w:pPr>
      <w:r>
        <w:t xml:space="preserve">The programme operates across multiple participating states and involves coordination among federal institutions, state governments, implementing agencies, private-sector partners, development partners, consultants, and beneficiary communities.</w:t>
      </w:r>
    </w:p>
    <w:p>
      <w:pPr>
        <w:spacing w:after="150" w:line="276"/>
        <w:jc w:val="both"/>
      </w:pPr>
      <w:r>
        <w:t xml:space="preserve">Managing such a complex, multi-stakeholder programme requires an enterprise digital platform capable of supporting governance, operational execution, collaboration, reporting, knowledge management, and decision support at national scale.</w:t>
      </w:r>
    </w:p>
    <w:p>
      <w:pPr>
        <w:pStyle w:val="Heading1"/>
        <w:pBdr>
          <w:bottom w:val="single" w:color="C6D2E0" w:sz="4" w:space="4"/>
        </w:pBdr>
        <w:spacing w:after="140" w:before="360"/>
      </w:pPr>
      <w:r>
        <w:rPr>
          <w:b/>
          <w:bCs/>
          <w:color w:val="4A6FA5"/>
          <w:sz w:val="26"/>
          <w:szCs w:val="26"/>
        </w:rPr>
        <w:t xml:space="preserve">3.3  </w:t>
      </w:r>
      <w:r>
        <w:rPr>
          <w:b/>
          <w:bCs/>
          <w:color w:val="1F3864"/>
          <w:sz w:val="26"/>
          <w:szCs w:val="26"/>
        </w:rPr>
        <w:t xml:space="preserve">Business Problem Statement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Name the specific operational failure modes the platform must eliminate.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engineering focused on solving named problems, not building generic capability.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pain point below should be traceable to a specific platform capability elsewhere in this handbook.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whose every module can be justified against a specific, named business problem.</w:t>
            </w:r>
          </w:p>
        </w:tc>
      </w:tr>
    </w:tbl>
    <w:p>
      <w:pPr>
        <w:spacing w:after="160"/>
      </w:pPr>
    </w:p>
    <w:p>
      <w:pPr>
        <w:spacing w:after="150" w:line="276"/>
        <w:jc w:val="both"/>
      </w:pPr>
      <w:r>
        <w:t xml:space="preserve">At present, many programme management activities within large public-sector initiatives rely on fragmented tools, disconnected repositories, email exchanges, spreadsheets, paper-based approvals, and manually consolidated reports.</w:t>
      </w:r>
    </w:p>
    <w:p>
      <w:pPr>
        <w:spacing w:after="150" w:line="276"/>
        <w:jc w:val="both"/>
      </w:pPr>
      <w:r>
        <w:t xml:space="preserve">These approaches often result in:</w:t>
      </w:r>
    </w:p>
    <w:p>
      <w:pPr>
        <w:pStyle w:val="ListParagraph"/>
        <w:numPr>
          <w:ilvl w:val="0"/>
          <w:numId w:val="1"/>
        </w:numPr>
        <w:spacing w:after="90" w:line="264"/>
      </w:pPr>
      <w:r>
        <w:t xml:space="preserve">Information silos.</w:t>
      </w:r>
    </w:p>
    <w:p>
      <w:pPr>
        <w:pStyle w:val="ListParagraph"/>
        <w:numPr>
          <w:ilvl w:val="0"/>
          <w:numId w:val="1"/>
        </w:numPr>
        <w:spacing w:after="90" w:line="264"/>
      </w:pPr>
      <w:r>
        <w:t xml:space="preserve">Duplicate documents.</w:t>
      </w:r>
    </w:p>
    <w:p>
      <w:pPr>
        <w:pStyle w:val="ListParagraph"/>
        <w:numPr>
          <w:ilvl w:val="0"/>
          <w:numId w:val="1"/>
        </w:numPr>
        <w:spacing w:after="90" w:line="264"/>
      </w:pPr>
      <w:r>
        <w:t xml:space="preserve">Inconsistent data.</w:t>
      </w:r>
    </w:p>
    <w:p>
      <w:pPr>
        <w:pStyle w:val="ListParagraph"/>
        <w:numPr>
          <w:ilvl w:val="0"/>
          <w:numId w:val="1"/>
        </w:numPr>
        <w:spacing w:after="90" w:line="264"/>
      </w:pPr>
      <w:r>
        <w:t xml:space="preserve">Delayed approvals.</w:t>
      </w:r>
    </w:p>
    <w:p>
      <w:pPr>
        <w:pStyle w:val="ListParagraph"/>
        <w:numPr>
          <w:ilvl w:val="0"/>
          <w:numId w:val="1"/>
        </w:numPr>
        <w:spacing w:after="90" w:line="264"/>
      </w:pPr>
      <w:r>
        <w:t xml:space="preserve">Limited visibility into project progress.</w:t>
      </w:r>
    </w:p>
    <w:p>
      <w:pPr>
        <w:pStyle w:val="ListParagraph"/>
        <w:numPr>
          <w:ilvl w:val="0"/>
          <w:numId w:val="1"/>
        </w:numPr>
        <w:spacing w:after="90" w:line="264"/>
      </w:pPr>
      <w:r>
        <w:t xml:space="preserve">Poor knowledge retention.</w:t>
      </w:r>
    </w:p>
    <w:p>
      <w:pPr>
        <w:pStyle w:val="ListParagraph"/>
        <w:numPr>
          <w:ilvl w:val="0"/>
          <w:numId w:val="1"/>
        </w:numPr>
        <w:spacing w:after="90" w:line="264"/>
      </w:pPr>
      <w:r>
        <w:t xml:space="preserve">Difficulty locating critical information.</w:t>
      </w:r>
    </w:p>
    <w:p>
      <w:pPr>
        <w:pStyle w:val="ListParagraph"/>
        <w:numPr>
          <w:ilvl w:val="0"/>
          <w:numId w:val="1"/>
        </w:numPr>
        <w:spacing w:after="90" w:line="264"/>
      </w:pPr>
      <w:r>
        <w:t xml:space="preserve">Weak collaboration across implementing entities.</w:t>
      </w:r>
    </w:p>
    <w:p>
      <w:pPr>
        <w:pStyle w:val="ListParagraph"/>
        <w:numPr>
          <w:ilvl w:val="0"/>
          <w:numId w:val="1"/>
        </w:numPr>
        <w:spacing w:after="90" w:line="264"/>
      </w:pPr>
      <w:r>
        <w:t xml:space="preserve">Limited auditability.</w:t>
      </w:r>
    </w:p>
    <w:p>
      <w:pPr>
        <w:pStyle w:val="ListParagraph"/>
        <w:numPr>
          <w:ilvl w:val="0"/>
          <w:numId w:val="1"/>
        </w:numPr>
        <w:spacing w:after="90" w:line="264"/>
      </w:pPr>
      <w:r>
        <w:t xml:space="preserve">Slow decision-making.</w:t>
      </w:r>
    </w:p>
    <w:p>
      <w:pPr>
        <w:pStyle w:val="ListParagraph"/>
        <w:numPr>
          <w:ilvl w:val="0"/>
          <w:numId w:val="1"/>
        </w:numPr>
        <w:spacing w:after="90" w:line="264"/>
      </w:pPr>
      <w:r>
        <w:t xml:space="preserve">Reduced organizational learning.</w:t>
      </w:r>
    </w:p>
    <w:p>
      <w:pPr>
        <w:pStyle w:val="ListParagraph"/>
        <w:numPr>
          <w:ilvl w:val="0"/>
          <w:numId w:val="1"/>
        </w:numPr>
        <w:spacing w:after="90" w:line="264"/>
      </w:pPr>
      <w:r>
        <w:t xml:space="preserve">Increased operational risk.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RISK</w:t>
            </w:r>
          </w:p>
          <w:p>
            <w:pPr>
              <w:spacing w:after="0"/>
            </w:pPr>
            <w:r>
              <w:rPr>
                <w:sz w:val="18"/>
                <w:szCs w:val="18"/>
              </w:rPr>
              <w:t xml:space="preserve">As programmes expand across multiple locations and stakeholders, these limitations become increasingly significant. Without a unified enterprise platform, institutional knowledge is difficult to preserve, reporting becomes resource-intensive, governance processes become inconsistent, and executives lack timely information for effective programme oversight.</w:t>
            </w:r>
          </w:p>
        </w:tc>
      </w:tr>
    </w:tbl>
    <w:p>
      <w:pPr>
        <w:pStyle w:val="Heading1"/>
        <w:pBdr>
          <w:bottom w:val="single" w:color="C6D2E0" w:sz="4" w:space="4"/>
        </w:pBdr>
        <w:spacing w:after="140" w:before="360"/>
      </w:pPr>
      <w:r>
        <w:rPr>
          <w:b/>
          <w:bCs/>
          <w:color w:val="4A6FA5"/>
          <w:sz w:val="26"/>
          <w:szCs w:val="26"/>
        </w:rPr>
        <w:t xml:space="preserve">3.4  </w:t>
      </w:r>
      <w:r>
        <w:rPr>
          <w:b/>
          <w:bCs/>
          <w:color w:val="1F3864"/>
          <w:sz w:val="26"/>
          <w:szCs w:val="26"/>
        </w:rPr>
        <w:t xml:space="preserve">Business Need</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Translate the problem statement (Section 3.3) into the platform capabilities required to resolve it.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Establishes the minimum capability set the platform must deliver to be considered fit for purpose.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capability below maps to a functional module specified in the Software Requirements Specification (SRS).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that empowers programme teams rather than replacing them.</w:t>
            </w:r>
          </w:p>
        </w:tc>
      </w:tr>
    </w:tbl>
    <w:p>
      <w:pPr>
        <w:spacing w:after="160"/>
      </w:pPr>
    </w:p>
    <w:p>
      <w:pPr>
        <w:spacing w:after="150" w:line="276"/>
        <w:jc w:val="both"/>
      </w:pPr>
      <w:r>
        <w:t xml:space="preserve">The SAPZ Programme requires a modern enterprise platform that integrates programme management, knowledge management, collaboration, workflow automation, reporting, and governance into a single digital ecosystem.</w:t>
      </w:r>
    </w:p>
    <w:p>
      <w:pPr>
        <w:spacing w:after="150" w:line="276"/>
        <w:jc w:val="both"/>
      </w:pPr>
      <w:r>
        <w:t xml:space="preserve">The proposed solution should provide:</w:t>
      </w:r>
    </w:p>
    <w:p>
      <w:pPr>
        <w:pStyle w:val="ListParagraph"/>
        <w:numPr>
          <w:ilvl w:val="0"/>
          <w:numId w:val="1"/>
        </w:numPr>
        <w:spacing w:after="90" w:line="264"/>
      </w:pPr>
      <w:r>
        <w:t xml:space="preserve">Centralized programme management.</w:t>
      </w:r>
    </w:p>
    <w:p>
      <w:pPr>
        <w:pStyle w:val="ListParagraph"/>
        <w:numPr>
          <w:ilvl w:val="0"/>
          <w:numId w:val="1"/>
        </w:numPr>
        <w:spacing w:after="90" w:line="264"/>
      </w:pPr>
      <w:r>
        <w:t xml:space="preserve">Enterprise document management.</w:t>
      </w:r>
    </w:p>
    <w:p>
      <w:pPr>
        <w:pStyle w:val="ListParagraph"/>
        <w:numPr>
          <w:ilvl w:val="0"/>
          <w:numId w:val="1"/>
        </w:numPr>
        <w:spacing w:after="90" w:line="264"/>
      </w:pPr>
      <w:r>
        <w:t xml:space="preserve">Workflow automation.</w:t>
      </w:r>
    </w:p>
    <w:p>
      <w:pPr>
        <w:pStyle w:val="ListParagraph"/>
        <w:numPr>
          <w:ilvl w:val="0"/>
          <w:numId w:val="1"/>
        </w:numPr>
        <w:spacing w:after="90" w:line="264"/>
      </w:pPr>
      <w:r>
        <w:t xml:space="preserve">Knowledge capture and sharing.</w:t>
      </w:r>
    </w:p>
    <w:p>
      <w:pPr>
        <w:pStyle w:val="ListParagraph"/>
        <w:numPr>
          <w:ilvl w:val="0"/>
          <w:numId w:val="1"/>
        </w:numPr>
        <w:spacing w:after="90" w:line="264"/>
      </w:pPr>
      <w:r>
        <w:t xml:space="preserve">Enterprise search.</w:t>
      </w:r>
    </w:p>
    <w:p>
      <w:pPr>
        <w:pStyle w:val="ListParagraph"/>
        <w:numPr>
          <w:ilvl w:val="0"/>
          <w:numId w:val="1"/>
        </w:numPr>
        <w:spacing w:after="90" w:line="264"/>
      </w:pPr>
      <w:r>
        <w:t xml:space="preserve">Collaboration tools.</w:t>
      </w:r>
    </w:p>
    <w:p>
      <w:pPr>
        <w:pStyle w:val="ListParagraph"/>
        <w:numPr>
          <w:ilvl w:val="0"/>
          <w:numId w:val="1"/>
        </w:numPr>
        <w:spacing w:after="90" w:line="264"/>
      </w:pPr>
      <w:r>
        <w:t xml:space="preserve">Performance monitoring.</w:t>
      </w:r>
    </w:p>
    <w:p>
      <w:pPr>
        <w:pStyle w:val="ListParagraph"/>
        <w:numPr>
          <w:ilvl w:val="0"/>
          <w:numId w:val="1"/>
        </w:numPr>
        <w:spacing w:after="90" w:line="264"/>
      </w:pPr>
      <w:r>
        <w:t xml:space="preserve">Executive dashboards.</w:t>
      </w:r>
    </w:p>
    <w:p>
      <w:pPr>
        <w:pStyle w:val="ListParagraph"/>
        <w:numPr>
          <w:ilvl w:val="0"/>
          <w:numId w:val="1"/>
        </w:numPr>
        <w:spacing w:after="90" w:line="264"/>
      </w:pPr>
      <w:r>
        <w:t xml:space="preserve">Risk and issue management.</w:t>
      </w:r>
    </w:p>
    <w:p>
      <w:pPr>
        <w:pStyle w:val="ListParagraph"/>
        <w:numPr>
          <w:ilvl w:val="0"/>
          <w:numId w:val="1"/>
        </w:numPr>
        <w:spacing w:after="90" w:line="264"/>
      </w:pPr>
      <w:r>
        <w:t xml:space="preserve">Reporting and analytics.</w:t>
      </w:r>
    </w:p>
    <w:p>
      <w:pPr>
        <w:pStyle w:val="ListParagraph"/>
        <w:numPr>
          <w:ilvl w:val="0"/>
          <w:numId w:val="1"/>
        </w:numPr>
        <w:spacing w:after="90" w:line="264"/>
      </w:pPr>
      <w:r>
        <w:t xml:space="preserve">Secure information sharing.</w:t>
      </w:r>
    </w:p>
    <w:p>
      <w:pPr>
        <w:pStyle w:val="ListParagraph"/>
        <w:numPr>
          <w:ilvl w:val="0"/>
          <w:numId w:val="1"/>
        </w:numPr>
        <w:spacing w:after="90" w:line="264"/>
      </w:pPr>
      <w:r>
        <w:t xml:space="preserve">Institutional memory preservation.</w:t>
      </w:r>
    </w:p>
    <w:p>
      <w:pPr>
        <w:spacing w:after="150" w:line="276"/>
        <w:jc w:val="both"/>
      </w:pPr>
      <w:r>
        <w:t xml:space="preserve">Rather than replacing people, the platform should empower programme teams to work more efficiently, consistently, and transparently.</w:t>
      </w:r>
    </w:p>
    <w:p>
      <w:pPr>
        <w:pStyle w:val="Heading1"/>
        <w:pBdr>
          <w:bottom w:val="single" w:color="C6D2E0" w:sz="4" w:space="4"/>
        </w:pBdr>
        <w:spacing w:after="140" w:before="360"/>
      </w:pPr>
      <w:r>
        <w:rPr>
          <w:b/>
          <w:bCs/>
          <w:color w:val="4A6FA5"/>
          <w:sz w:val="26"/>
          <w:szCs w:val="26"/>
        </w:rPr>
        <w:t xml:space="preserve">3.5  </w:t>
      </w:r>
      <w:r>
        <w:rPr>
          <w:b/>
          <w:bCs/>
          <w:color w:val="1F3864"/>
          <w:sz w:val="26"/>
          <w:szCs w:val="26"/>
        </w:rPr>
        <w:t xml:space="preserve">Strategic Objectives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seven strategic objectives the engineering solution must support.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Links platform capability directly to programme-level strategic outcomes.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objective below is elaborated with measurable success indicators in Chapter 2.</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whose architecture is traceable to programme strategy, not only to functional requirements.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1F3864" w:val="clear"/>
            <w:tcMar>
              <w:top w:type="dxa" w:w="70"/>
              <w:left w:type="dxa" w:w="110"/>
              <w:bottom w:type="dxa" w:w="70"/>
              <w:right w:type="dxa" w:w="110"/>
            </w:tcMar>
            <w:vAlign w:val="top"/>
          </w:tcPr>
          <w:p>
            <w:r>
              <w:rPr>
                <w:b/>
                <w:bCs/>
                <w:color w:val="FFFFFF"/>
                <w:sz w:val="17"/>
                <w:szCs w:val="17"/>
              </w:rPr>
              <w:t xml:space="preserve">Strategic Objective</w:t>
            </w:r>
          </w:p>
        </w:tc>
        <w:tc>
          <w:tcPr>
            <w:tcW w:type="dxa" w:w="7258"/>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822"/>
            <w:tcMar>
              <w:top w:type="dxa" w:w="70"/>
              <w:left w:type="dxa" w:w="110"/>
              <w:bottom w:type="dxa" w:w="70"/>
              <w:right w:type="dxa" w:w="110"/>
            </w:tcMar>
            <w:vAlign w:val="top"/>
          </w:tcPr>
          <w:p>
            <w:r>
              <w:rPr>
                <w:b/>
                <w:bCs/>
                <w:color w:val="1A1A1A"/>
                <w:sz w:val="17"/>
                <w:szCs w:val="17"/>
              </w:rPr>
              <w:t xml:space="preserve">Digital Transformation</w:t>
            </w:r>
          </w:p>
        </w:tc>
        <w:tc>
          <w:tcPr>
            <w:tcW w:type="dxa" w:w="7258"/>
            <w:tcMar>
              <w:top w:type="dxa" w:w="70"/>
              <w:left w:type="dxa" w:w="110"/>
              <w:bottom w:type="dxa" w:w="70"/>
              <w:right w:type="dxa" w:w="110"/>
            </w:tcMar>
            <w:vAlign w:val="top"/>
          </w:tcPr>
          <w:p>
            <w:r>
              <w:rPr>
                <w:b w:val="false"/>
                <w:bCs w:val="false"/>
                <w:color w:val="1A1A1A"/>
                <w:sz w:val="17"/>
                <w:szCs w:val="17"/>
              </w:rPr>
              <w:t xml:space="preserve">Digitize programme management processes to reduce manual work, improve transparency, and accelerate service delivery.</w:t>
            </w:r>
          </w:p>
        </w:tc>
      </w:tr>
      <w:tr>
        <w:tc>
          <w:tcPr>
            <w:tcW w:type="dxa" w:w="2822"/>
            <w:tcMar>
              <w:top w:type="dxa" w:w="70"/>
              <w:left w:type="dxa" w:w="110"/>
              <w:bottom w:type="dxa" w:w="70"/>
              <w:right w:type="dxa" w:w="110"/>
            </w:tcMar>
            <w:vAlign w:val="top"/>
          </w:tcPr>
          <w:p>
            <w:r>
              <w:rPr>
                <w:b/>
                <w:bCs/>
                <w:color w:val="1A1A1A"/>
                <w:sz w:val="17"/>
                <w:szCs w:val="17"/>
              </w:rPr>
              <w:t xml:space="preserve">Institutional Knowledge Preservation</w:t>
            </w:r>
          </w:p>
        </w:tc>
        <w:tc>
          <w:tcPr>
            <w:tcW w:type="dxa" w:w="7258"/>
            <w:tcMar>
              <w:top w:type="dxa" w:w="70"/>
              <w:left w:type="dxa" w:w="110"/>
              <w:bottom w:type="dxa" w:w="70"/>
              <w:right w:type="dxa" w:w="110"/>
            </w:tcMar>
            <w:vAlign w:val="top"/>
          </w:tcPr>
          <w:p>
            <w:r>
              <w:rPr>
                <w:b w:val="false"/>
                <w:bCs w:val="false"/>
                <w:color w:val="1A1A1A"/>
                <w:sz w:val="17"/>
                <w:szCs w:val="17"/>
              </w:rPr>
              <w:t xml:space="preserve">Capture organizational knowledge so that expertise, lessons learned, technical guidance, and programme documentation remain available regardless of staff changes.</w:t>
            </w:r>
          </w:p>
        </w:tc>
      </w:tr>
      <w:tr>
        <w:tc>
          <w:tcPr>
            <w:tcW w:type="dxa" w:w="2822"/>
            <w:tcMar>
              <w:top w:type="dxa" w:w="70"/>
              <w:left w:type="dxa" w:w="110"/>
              <w:bottom w:type="dxa" w:w="70"/>
              <w:right w:type="dxa" w:w="110"/>
            </w:tcMar>
            <w:vAlign w:val="top"/>
          </w:tcPr>
          <w:p>
            <w:r>
              <w:rPr>
                <w:b/>
                <w:bCs/>
                <w:color w:val="1A1A1A"/>
                <w:sz w:val="17"/>
                <w:szCs w:val="17"/>
              </w:rPr>
              <w:t xml:space="preserve">Operational Excellence</w:t>
            </w:r>
          </w:p>
        </w:tc>
        <w:tc>
          <w:tcPr>
            <w:tcW w:type="dxa" w:w="7258"/>
            <w:tcMar>
              <w:top w:type="dxa" w:w="70"/>
              <w:left w:type="dxa" w:w="110"/>
              <w:bottom w:type="dxa" w:w="70"/>
              <w:right w:type="dxa" w:w="110"/>
            </w:tcMar>
            <w:vAlign w:val="top"/>
          </w:tcPr>
          <w:p>
            <w:r>
              <w:rPr>
                <w:b w:val="false"/>
                <w:bCs w:val="false"/>
                <w:color w:val="1A1A1A"/>
                <w:sz w:val="17"/>
                <w:szCs w:val="17"/>
              </w:rPr>
              <w:t xml:space="preserve">Improve efficiency through standardized workflows, automation, and integrated information management.</w:t>
            </w:r>
          </w:p>
        </w:tc>
      </w:tr>
      <w:tr>
        <w:tc>
          <w:tcPr>
            <w:tcW w:type="dxa" w:w="2822"/>
            <w:tcMar>
              <w:top w:type="dxa" w:w="70"/>
              <w:left w:type="dxa" w:w="110"/>
              <w:bottom w:type="dxa" w:w="70"/>
              <w:right w:type="dxa" w:w="110"/>
            </w:tcMar>
            <w:vAlign w:val="top"/>
          </w:tcPr>
          <w:p>
            <w:r>
              <w:rPr>
                <w:b/>
                <w:bCs/>
                <w:color w:val="1A1A1A"/>
                <w:sz w:val="17"/>
                <w:szCs w:val="17"/>
              </w:rPr>
              <w:t xml:space="preserve">Evidence-Based Decision-Making</w:t>
            </w:r>
          </w:p>
        </w:tc>
        <w:tc>
          <w:tcPr>
            <w:tcW w:type="dxa" w:w="7258"/>
            <w:tcMar>
              <w:top w:type="dxa" w:w="70"/>
              <w:left w:type="dxa" w:w="110"/>
              <w:bottom w:type="dxa" w:w="70"/>
              <w:right w:type="dxa" w:w="110"/>
            </w:tcMar>
            <w:vAlign w:val="top"/>
          </w:tcPr>
          <w:p>
            <w:r>
              <w:rPr>
                <w:b w:val="false"/>
                <w:bCs w:val="false"/>
                <w:color w:val="1A1A1A"/>
                <w:sz w:val="17"/>
                <w:szCs w:val="17"/>
              </w:rPr>
              <w:t xml:space="preserve">Provide executives with accurate, timely, and actionable information through dashboards, analytics, and reporting.</w:t>
            </w:r>
          </w:p>
        </w:tc>
      </w:tr>
      <w:tr>
        <w:tc>
          <w:tcPr>
            <w:tcW w:type="dxa" w:w="2822"/>
            <w:tcMar>
              <w:top w:type="dxa" w:w="70"/>
              <w:left w:type="dxa" w:w="110"/>
              <w:bottom w:type="dxa" w:w="70"/>
              <w:right w:type="dxa" w:w="110"/>
            </w:tcMar>
            <w:vAlign w:val="top"/>
          </w:tcPr>
          <w:p>
            <w:r>
              <w:rPr>
                <w:b/>
                <w:bCs/>
                <w:color w:val="1A1A1A"/>
                <w:sz w:val="17"/>
                <w:szCs w:val="17"/>
              </w:rPr>
              <w:t xml:space="preserve">Collaboration</w:t>
            </w:r>
          </w:p>
        </w:tc>
        <w:tc>
          <w:tcPr>
            <w:tcW w:type="dxa" w:w="7258"/>
            <w:tcMar>
              <w:top w:type="dxa" w:w="70"/>
              <w:left w:type="dxa" w:w="110"/>
              <w:bottom w:type="dxa" w:w="70"/>
              <w:right w:type="dxa" w:w="110"/>
            </w:tcMar>
            <w:vAlign w:val="top"/>
          </w:tcPr>
          <w:p>
            <w:r>
              <w:rPr>
                <w:b w:val="false"/>
                <w:bCs w:val="false"/>
                <w:color w:val="1A1A1A"/>
                <w:sz w:val="17"/>
                <w:szCs w:val="17"/>
              </w:rPr>
              <w:t xml:space="preserve">Enable secure collaboration among federal agencies, state governments, consultants, development partners, and programme teams.</w:t>
            </w:r>
          </w:p>
        </w:tc>
      </w:tr>
      <w:tr>
        <w:tc>
          <w:tcPr>
            <w:tcW w:type="dxa" w:w="2822"/>
            <w:tcMar>
              <w:top w:type="dxa" w:w="70"/>
              <w:left w:type="dxa" w:w="110"/>
              <w:bottom w:type="dxa" w:w="70"/>
              <w:right w:type="dxa" w:w="110"/>
            </w:tcMar>
            <w:vAlign w:val="top"/>
          </w:tcPr>
          <w:p>
            <w:r>
              <w:rPr>
                <w:b/>
                <w:bCs/>
                <w:color w:val="1A1A1A"/>
                <w:sz w:val="17"/>
                <w:szCs w:val="17"/>
              </w:rPr>
              <w:t xml:space="preserve">Governance</w:t>
            </w:r>
          </w:p>
        </w:tc>
        <w:tc>
          <w:tcPr>
            <w:tcW w:type="dxa" w:w="7258"/>
            <w:tcMar>
              <w:top w:type="dxa" w:w="70"/>
              <w:left w:type="dxa" w:w="110"/>
              <w:bottom w:type="dxa" w:w="70"/>
              <w:right w:type="dxa" w:w="110"/>
            </w:tcMar>
            <w:vAlign w:val="top"/>
          </w:tcPr>
          <w:p>
            <w:r>
              <w:rPr>
                <w:b w:val="false"/>
                <w:bCs w:val="false"/>
                <w:color w:val="1A1A1A"/>
                <w:sz w:val="17"/>
                <w:szCs w:val="17"/>
              </w:rPr>
              <w:t xml:space="preserve">Strengthen accountability through workflow controls, approvals, audit trails, and transparent reporting.</w:t>
            </w:r>
          </w:p>
        </w:tc>
      </w:tr>
      <w:tr>
        <w:tc>
          <w:tcPr>
            <w:tcW w:type="dxa" w:w="2822"/>
            <w:tcMar>
              <w:top w:type="dxa" w:w="70"/>
              <w:left w:type="dxa" w:w="110"/>
              <w:bottom w:type="dxa" w:w="70"/>
              <w:right w:type="dxa" w:w="110"/>
            </w:tcMar>
            <w:vAlign w:val="top"/>
          </w:tcPr>
          <w:p>
            <w:r>
              <w:rPr>
                <w:b/>
                <w:bCs/>
                <w:color w:val="1A1A1A"/>
                <w:sz w:val="17"/>
                <w:szCs w:val="17"/>
              </w:rPr>
              <w:t xml:space="preserve">Sustainability</w:t>
            </w:r>
          </w:p>
        </w:tc>
        <w:tc>
          <w:tcPr>
            <w:tcW w:type="dxa" w:w="7258"/>
            <w:tcMar>
              <w:top w:type="dxa" w:w="70"/>
              <w:left w:type="dxa" w:w="110"/>
              <w:bottom w:type="dxa" w:w="70"/>
              <w:right w:type="dxa" w:w="110"/>
            </w:tcMar>
            <w:vAlign w:val="top"/>
          </w:tcPr>
          <w:p>
            <w:r>
              <w:rPr>
                <w:b w:val="false"/>
                <w:bCs w:val="false"/>
                <w:color w:val="1A1A1A"/>
                <w:sz w:val="17"/>
                <w:szCs w:val="17"/>
              </w:rPr>
              <w:t xml:space="preserve">Ensure the platform remains maintainable, extensible, and adaptable as programme requirements evolve.</w:t>
            </w:r>
          </w:p>
        </w:tc>
      </w:tr>
    </w:tbl>
    <w:p>
      <w:pPr>
        <w:pStyle w:val="Heading1"/>
        <w:pBdr>
          <w:bottom w:val="single" w:color="C6D2E0" w:sz="4" w:space="4"/>
        </w:pBdr>
        <w:spacing w:after="140" w:before="360"/>
      </w:pPr>
      <w:r>
        <w:rPr>
          <w:b/>
          <w:bCs/>
          <w:color w:val="4A6FA5"/>
          <w:sz w:val="26"/>
          <w:szCs w:val="26"/>
        </w:rPr>
        <w:t xml:space="preserve">3.6  </w:t>
      </w:r>
      <w:r>
        <w:rPr>
          <w:b/>
          <w:bCs/>
          <w:color w:val="1F3864"/>
          <w:sz w:val="26"/>
          <w:szCs w:val="26"/>
        </w:rPr>
        <w:t xml:space="preserve">Project Scope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engineering scope boundary across the two platforms being delivered.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scope ambiguity between what is contracted and what is aspirational.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This is the capability inventory every subsequent architecture and design chapter elaborates upon.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 unambiguous shared understanding of what is, and is not, in scope.</w:t>
            </w:r>
          </w:p>
        </w:tc>
      </w:tr>
    </w:tbl>
    <w:p>
      <w:pPr>
        <w:spacing w:after="160"/>
      </w:pPr>
    </w:p>
    <w:p>
      <w:pPr>
        <w:spacing w:after="150" w:line="276"/>
        <w:jc w:val="both"/>
      </w:pPr>
      <w:r>
        <w:t xml:space="preserve">The engineering scope includes the design, development, deployment, testing, training, and support of two tightly integrated enterprise platforms.</w:t>
      </w:r>
    </w:p>
    <w:p>
      <w:pPr>
        <w:pStyle w:val="Heading2"/>
        <w:spacing w:after="110" w:before="260"/>
      </w:pPr>
      <w:r>
        <w:rPr>
          <w:b/>
          <w:bCs/>
          <w:color w:val="4A6FA5"/>
          <w:sz w:val="21"/>
          <w:szCs w:val="21"/>
        </w:rPr>
        <w:t xml:space="preserve">3.6.1  </w:t>
      </w:r>
      <w:r>
        <w:rPr>
          <w:b/>
          <w:bCs/>
          <w:color w:val="1F3864"/>
          <w:sz w:val="21"/>
          <w:szCs w:val="21"/>
        </w:rPr>
        <w:t xml:space="preserve">Enterprise System Management (ESM)</w:t>
      </w:r>
    </w:p>
    <w:p>
      <w:pPr>
        <w:spacing w:after="150" w:line="276"/>
        <w:jc w:val="both"/>
      </w:pPr>
      <w:r>
        <w:t xml:space="preserve">The ESM Platform will provide:</w:t>
      </w:r>
    </w:p>
    <w:p>
      <w:pPr>
        <w:pStyle w:val="ListParagraph"/>
        <w:numPr>
          <w:ilvl w:val="0"/>
          <w:numId w:val="1"/>
        </w:numPr>
        <w:spacing w:after="90" w:line="264"/>
      </w:pPr>
      <w:r>
        <w:t xml:space="preserve">Programme management</w:t>
      </w:r>
    </w:p>
    <w:p>
      <w:pPr>
        <w:pStyle w:val="ListParagraph"/>
        <w:numPr>
          <w:ilvl w:val="0"/>
          <w:numId w:val="1"/>
        </w:numPr>
        <w:spacing w:after="90" w:line="264"/>
      </w:pPr>
      <w:r>
        <w:t xml:space="preserve">Project management</w:t>
      </w:r>
    </w:p>
    <w:p>
      <w:pPr>
        <w:pStyle w:val="ListParagraph"/>
        <w:numPr>
          <w:ilvl w:val="0"/>
          <w:numId w:val="1"/>
        </w:numPr>
        <w:spacing w:after="90" w:line="264"/>
      </w:pPr>
      <w:r>
        <w:t xml:space="preserve">Task management</w:t>
      </w:r>
    </w:p>
    <w:p>
      <w:pPr>
        <w:pStyle w:val="ListParagraph"/>
        <w:numPr>
          <w:ilvl w:val="0"/>
          <w:numId w:val="1"/>
        </w:numPr>
        <w:spacing w:after="90" w:line="264"/>
      </w:pPr>
      <w:r>
        <w:t xml:space="preserve">Workflow automation</w:t>
      </w:r>
    </w:p>
    <w:p>
      <w:pPr>
        <w:pStyle w:val="ListParagraph"/>
        <w:numPr>
          <w:ilvl w:val="0"/>
          <w:numId w:val="1"/>
        </w:numPr>
        <w:spacing w:after="90" w:line="264"/>
      </w:pPr>
      <w:r>
        <w:t xml:space="preserve">Meeting management</w:t>
      </w:r>
    </w:p>
    <w:p>
      <w:pPr>
        <w:pStyle w:val="ListParagraph"/>
        <w:numPr>
          <w:ilvl w:val="0"/>
          <w:numId w:val="1"/>
        </w:numPr>
        <w:spacing w:after="90" w:line="264"/>
      </w:pPr>
      <w:r>
        <w:t xml:space="preserve">Calendar management</w:t>
      </w:r>
    </w:p>
    <w:p>
      <w:pPr>
        <w:pStyle w:val="ListParagraph"/>
        <w:numPr>
          <w:ilvl w:val="0"/>
          <w:numId w:val="1"/>
        </w:numPr>
        <w:spacing w:after="90" w:line="264"/>
      </w:pPr>
      <w:r>
        <w:t xml:space="preserve">Risk management</w:t>
      </w:r>
    </w:p>
    <w:p>
      <w:pPr>
        <w:pStyle w:val="ListParagraph"/>
        <w:numPr>
          <w:ilvl w:val="0"/>
          <w:numId w:val="1"/>
        </w:numPr>
        <w:spacing w:after="90" w:line="264"/>
      </w:pPr>
      <w:r>
        <w:t xml:space="preserve">Issue management</w:t>
      </w:r>
    </w:p>
    <w:p>
      <w:pPr>
        <w:pStyle w:val="ListParagraph"/>
        <w:numPr>
          <w:ilvl w:val="0"/>
          <w:numId w:val="1"/>
        </w:numPr>
        <w:spacing w:after="90" w:line="264"/>
      </w:pPr>
      <w:r>
        <w:t xml:space="preserve">Decision tracking</w:t>
      </w:r>
    </w:p>
    <w:p>
      <w:pPr>
        <w:pStyle w:val="ListParagraph"/>
        <w:numPr>
          <w:ilvl w:val="0"/>
          <w:numId w:val="1"/>
        </w:numPr>
        <w:spacing w:after="90" w:line="264"/>
      </w:pPr>
      <w:r>
        <w:t xml:space="preserve">Reporting</w:t>
      </w:r>
    </w:p>
    <w:p>
      <w:pPr>
        <w:pStyle w:val="ListParagraph"/>
        <w:numPr>
          <w:ilvl w:val="0"/>
          <w:numId w:val="1"/>
        </w:numPr>
        <w:spacing w:after="90" w:line="264"/>
      </w:pPr>
      <w:r>
        <w:t xml:space="preserve">Dashboard analytics</w:t>
      </w:r>
    </w:p>
    <w:p>
      <w:pPr>
        <w:pStyle w:val="ListParagraph"/>
        <w:numPr>
          <w:ilvl w:val="0"/>
          <w:numId w:val="1"/>
        </w:numPr>
        <w:spacing w:after="90" w:line="264"/>
      </w:pPr>
      <w:r>
        <w:t xml:space="preserve">Notifications</w:t>
      </w:r>
    </w:p>
    <w:p>
      <w:pPr>
        <w:pStyle w:val="ListParagraph"/>
        <w:numPr>
          <w:ilvl w:val="0"/>
          <w:numId w:val="1"/>
        </w:numPr>
        <w:spacing w:after="90" w:line="264"/>
      </w:pPr>
      <w:r>
        <w:t xml:space="preserve">User administration</w:t>
      </w:r>
    </w:p>
    <w:p>
      <w:pPr>
        <w:pStyle w:val="ListParagraph"/>
        <w:numPr>
          <w:ilvl w:val="0"/>
          <w:numId w:val="1"/>
        </w:numPr>
        <w:spacing w:after="90" w:line="264"/>
      </w:pPr>
      <w:r>
        <w:t xml:space="preserve">Role management</w:t>
      </w:r>
    </w:p>
    <w:p>
      <w:pPr>
        <w:pStyle w:val="ListParagraph"/>
        <w:numPr>
          <w:ilvl w:val="0"/>
          <w:numId w:val="1"/>
        </w:numPr>
        <w:spacing w:after="90" w:line="264"/>
      </w:pPr>
      <w:r>
        <w:t xml:space="preserve">Audit logging</w:t>
      </w:r>
    </w:p>
    <w:p>
      <w:pPr>
        <w:pStyle w:val="Heading2"/>
        <w:spacing w:after="110" w:before="260"/>
      </w:pPr>
      <w:r>
        <w:rPr>
          <w:b/>
          <w:bCs/>
          <w:color w:val="4A6FA5"/>
          <w:sz w:val="21"/>
          <w:szCs w:val="21"/>
        </w:rPr>
        <w:t xml:space="preserve">3.6.2  </w:t>
      </w:r>
      <w:r>
        <w:rPr>
          <w:b/>
          <w:bCs/>
          <w:color w:val="1F3864"/>
          <w:sz w:val="21"/>
          <w:szCs w:val="21"/>
        </w:rPr>
        <w:t xml:space="preserve">Central Knowledge Repository (CKR)</w:t>
      </w:r>
    </w:p>
    <w:p>
      <w:pPr>
        <w:spacing w:after="150" w:line="276"/>
        <w:jc w:val="both"/>
      </w:pPr>
      <w:r>
        <w:t xml:space="preserve">The CKR will provide:</w:t>
      </w:r>
    </w:p>
    <w:p>
      <w:pPr>
        <w:pStyle w:val="ListParagraph"/>
        <w:numPr>
          <w:ilvl w:val="0"/>
          <w:numId w:val="1"/>
        </w:numPr>
        <w:spacing w:after="90" w:line="264"/>
      </w:pPr>
      <w:r>
        <w:t xml:space="preserve">Enterprise document management</w:t>
      </w:r>
    </w:p>
    <w:p>
      <w:pPr>
        <w:pStyle w:val="ListParagraph"/>
        <w:numPr>
          <w:ilvl w:val="0"/>
          <w:numId w:val="1"/>
        </w:numPr>
        <w:spacing w:after="90" w:line="264"/>
      </w:pPr>
      <w:r>
        <w:t xml:space="preserve">Digital knowledge repository</w:t>
      </w:r>
    </w:p>
    <w:p>
      <w:pPr>
        <w:pStyle w:val="ListParagraph"/>
        <w:numPr>
          <w:ilvl w:val="0"/>
          <w:numId w:val="1"/>
        </w:numPr>
        <w:spacing w:after="90" w:line="264"/>
      </w:pPr>
      <w:r>
        <w:t xml:space="preserve">Metadata management</w:t>
      </w:r>
    </w:p>
    <w:p>
      <w:pPr>
        <w:pStyle w:val="ListParagraph"/>
        <w:numPr>
          <w:ilvl w:val="0"/>
          <w:numId w:val="1"/>
        </w:numPr>
        <w:spacing w:after="90" w:line="264"/>
      </w:pPr>
      <w:r>
        <w:t xml:space="preserve">Version control</w:t>
      </w:r>
    </w:p>
    <w:p>
      <w:pPr>
        <w:pStyle w:val="ListParagraph"/>
        <w:numPr>
          <w:ilvl w:val="0"/>
          <w:numId w:val="1"/>
        </w:numPr>
        <w:spacing w:after="90" w:line="264"/>
      </w:pPr>
      <w:r>
        <w:t xml:space="preserve">Enterprise search</w:t>
      </w:r>
    </w:p>
    <w:p>
      <w:pPr>
        <w:pStyle w:val="ListParagraph"/>
        <w:numPr>
          <w:ilvl w:val="0"/>
          <w:numId w:val="1"/>
        </w:numPr>
        <w:spacing w:after="90" w:line="264"/>
      </w:pPr>
      <w:r>
        <w:t xml:space="preserve">Taxonomy management</w:t>
      </w:r>
    </w:p>
    <w:p>
      <w:pPr>
        <w:pStyle w:val="ListParagraph"/>
        <w:numPr>
          <w:ilvl w:val="0"/>
          <w:numId w:val="1"/>
        </w:numPr>
        <w:spacing w:after="90" w:line="264"/>
      </w:pPr>
      <w:r>
        <w:t xml:space="preserve">Knowledge publishing</w:t>
      </w:r>
    </w:p>
    <w:p>
      <w:pPr>
        <w:pStyle w:val="ListParagraph"/>
        <w:numPr>
          <w:ilvl w:val="0"/>
          <w:numId w:val="1"/>
        </w:numPr>
        <w:spacing w:after="90" w:line="264"/>
      </w:pPr>
      <w:r>
        <w:t xml:space="preserve">Lessons learned</w:t>
      </w:r>
    </w:p>
    <w:p>
      <w:pPr>
        <w:pStyle w:val="ListParagraph"/>
        <w:numPr>
          <w:ilvl w:val="0"/>
          <w:numId w:val="1"/>
        </w:numPr>
        <w:spacing w:after="90" w:line="264"/>
      </w:pPr>
      <w:r>
        <w:t xml:space="preserve">Training materials</w:t>
      </w:r>
    </w:p>
    <w:p>
      <w:pPr>
        <w:pStyle w:val="ListParagraph"/>
        <w:numPr>
          <w:ilvl w:val="0"/>
          <w:numId w:val="1"/>
        </w:numPr>
        <w:spacing w:after="90" w:line="264"/>
      </w:pPr>
      <w:r>
        <w:t xml:space="preserve">Multimedia management</w:t>
      </w:r>
    </w:p>
    <w:p>
      <w:pPr>
        <w:pStyle w:val="ListParagraph"/>
        <w:numPr>
          <w:ilvl w:val="0"/>
          <w:numId w:val="1"/>
        </w:numPr>
        <w:spacing w:after="90" w:line="264"/>
      </w:pPr>
      <w:r>
        <w:t xml:space="preserve">Policy repository</w:t>
      </w:r>
    </w:p>
    <w:p>
      <w:pPr>
        <w:pStyle w:val="ListParagraph"/>
        <w:numPr>
          <w:ilvl w:val="0"/>
          <w:numId w:val="1"/>
        </w:numPr>
        <w:spacing w:after="90" w:line="264"/>
      </w:pPr>
      <w:r>
        <w:t xml:space="preserve">Best practices library</w:t>
      </w:r>
    </w:p>
    <w:p>
      <w:pPr>
        <w:pStyle w:val="ListParagraph"/>
        <w:numPr>
          <w:ilvl w:val="0"/>
          <w:numId w:val="1"/>
        </w:numPr>
        <w:spacing w:after="90" w:line="264"/>
      </w:pPr>
      <w:r>
        <w:t xml:space="preserve">AI-assisted knowledge discovery (where within agreed scope)</w:t>
      </w:r>
    </w:p>
    <w:p>
      <w:pPr>
        <w:pStyle w:val="Heading1"/>
        <w:pBdr>
          <w:bottom w:val="single" w:color="C6D2E0" w:sz="4" w:space="4"/>
        </w:pBdr>
        <w:spacing w:after="140" w:before="360"/>
      </w:pPr>
      <w:r>
        <w:rPr>
          <w:b/>
          <w:bCs/>
          <w:color w:val="4A6FA5"/>
          <w:sz w:val="26"/>
          <w:szCs w:val="26"/>
        </w:rPr>
        <w:t xml:space="preserve">3.7  </w:t>
      </w:r>
      <w:r>
        <w:rPr>
          <w:b/>
          <w:bCs/>
          <w:color w:val="1F3864"/>
          <w:sz w:val="26"/>
          <w:szCs w:val="26"/>
        </w:rPr>
        <w:t xml:space="preserve">Stakeholder Ecosystem</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Identify every stakeholder group the platform must serve and their core responsibilities.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no user group is designed for as an afterthought.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group's responsibilities inform role-based access control design (see Chapter 14).</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whose access model reflects genuine organizational responsibility, not a generic user/admin split.</w:t>
            </w:r>
          </w:p>
        </w:tc>
      </w:tr>
    </w:tbl>
    <w:p>
      <w:pPr>
        <w:spacing w:after="160"/>
      </w:pPr>
    </w:p>
    <w:p>
      <w:pPr>
        <w:spacing w:after="150" w:line="276"/>
        <w:jc w:val="both"/>
      </w:pPr>
      <w:r>
        <w:t xml:space="preserve">The platform will serve a diverse range of users with varying responsibilities and permissions. Primary stakeholder groups include: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tblHeader/>
        </w:trPr>
        <w:tc>
          <w:tcPr>
            <w:tcW w:type="dxa" w:w="3427"/>
            <w:shd w:fill="1F3864" w:val="clear"/>
            <w:tcMar>
              <w:top w:type="dxa" w:w="70"/>
              <w:left w:type="dxa" w:w="110"/>
              <w:bottom w:type="dxa" w:w="70"/>
              <w:right w:type="dxa" w:w="110"/>
            </w:tcMar>
            <w:vAlign w:val="top"/>
          </w:tcPr>
          <w:p>
            <w:r>
              <w:rPr>
                <w:b/>
                <w:bCs/>
                <w:color w:val="FFFFFF"/>
                <w:sz w:val="17"/>
                <w:szCs w:val="17"/>
              </w:rPr>
              <w:t xml:space="preserve">Stakeholder Group</w:t>
            </w:r>
          </w:p>
        </w:tc>
        <w:tc>
          <w:tcPr>
            <w:tcW w:type="dxa" w:w="6653"/>
            <w:shd w:fill="1F3864" w:val="clear"/>
            <w:tcMar>
              <w:top w:type="dxa" w:w="70"/>
              <w:left w:type="dxa" w:w="110"/>
              <w:bottom w:type="dxa" w:w="70"/>
              <w:right w:type="dxa" w:w="110"/>
            </w:tcMar>
            <w:vAlign w:val="top"/>
          </w:tcPr>
          <w:p>
            <w:r>
              <w:rPr>
                <w:b/>
                <w:bCs/>
                <w:color w:val="FFFFFF"/>
                <w:sz w:val="17"/>
                <w:szCs w:val="17"/>
              </w:rPr>
              <w:t xml:space="preserve">Responsibilities</w:t>
            </w:r>
          </w:p>
        </w:tc>
      </w:tr>
      <w:tr>
        <w:tc>
          <w:tcPr>
            <w:tcW w:type="dxa" w:w="3427"/>
            <w:tcMar>
              <w:top w:type="dxa" w:w="70"/>
              <w:left w:type="dxa" w:w="110"/>
              <w:bottom w:type="dxa" w:w="70"/>
              <w:right w:type="dxa" w:w="110"/>
            </w:tcMar>
            <w:vAlign w:val="top"/>
          </w:tcPr>
          <w:p>
            <w:r>
              <w:rPr>
                <w:b/>
                <w:bCs/>
                <w:color w:val="1A1A1A"/>
                <w:sz w:val="16"/>
                <w:szCs w:val="16"/>
              </w:rPr>
              <w:t xml:space="preserve">Executive Leadership (Programme Director, Steering Committee, Senior Management)</w:t>
            </w:r>
          </w:p>
        </w:tc>
        <w:tc>
          <w:tcPr>
            <w:tcW w:type="dxa" w:w="6653"/>
            <w:tcMar>
              <w:top w:type="dxa" w:w="70"/>
              <w:left w:type="dxa" w:w="110"/>
              <w:bottom w:type="dxa" w:w="70"/>
              <w:right w:type="dxa" w:w="110"/>
            </w:tcMar>
            <w:vAlign w:val="top"/>
          </w:tcPr>
          <w:p>
            <w:r>
              <w:rPr>
                <w:b w:val="false"/>
                <w:bCs w:val="false"/>
                <w:color w:val="1A1A1A"/>
                <w:sz w:val="16"/>
                <w:szCs w:val="16"/>
              </w:rPr>
              <w:t xml:space="preserve">Strategic oversight; performance monitoring; decision-making; governance.</w:t>
            </w:r>
          </w:p>
        </w:tc>
      </w:tr>
      <w:tr>
        <w:tc>
          <w:tcPr>
            <w:tcW w:type="dxa" w:w="3427"/>
            <w:tcMar>
              <w:top w:type="dxa" w:w="70"/>
              <w:left w:type="dxa" w:w="110"/>
              <w:bottom w:type="dxa" w:w="70"/>
              <w:right w:type="dxa" w:w="110"/>
            </w:tcMar>
            <w:vAlign w:val="top"/>
          </w:tcPr>
          <w:p>
            <w:r>
              <w:rPr>
                <w:b/>
                <w:bCs/>
                <w:color w:val="1A1A1A"/>
                <w:sz w:val="16"/>
                <w:szCs w:val="16"/>
              </w:rPr>
              <w:t xml:space="preserve">Programme Management Office (PMO)</w:t>
            </w:r>
          </w:p>
        </w:tc>
        <w:tc>
          <w:tcPr>
            <w:tcW w:type="dxa" w:w="6653"/>
            <w:tcMar>
              <w:top w:type="dxa" w:w="70"/>
              <w:left w:type="dxa" w:w="110"/>
              <w:bottom w:type="dxa" w:w="70"/>
              <w:right w:type="dxa" w:w="110"/>
            </w:tcMar>
            <w:vAlign w:val="top"/>
          </w:tcPr>
          <w:p>
            <w:r>
              <w:rPr>
                <w:b w:val="false"/>
                <w:bCs w:val="false"/>
                <w:color w:val="1A1A1A"/>
                <w:sz w:val="16"/>
                <w:szCs w:val="16"/>
              </w:rPr>
              <w:t xml:space="preserve">Programme planning; coordination; monitoring; reporting; resource management.</w:t>
            </w:r>
          </w:p>
        </w:tc>
      </w:tr>
      <w:tr>
        <w:tc>
          <w:tcPr>
            <w:tcW w:type="dxa" w:w="3427"/>
            <w:tcMar>
              <w:top w:type="dxa" w:w="70"/>
              <w:left w:type="dxa" w:w="110"/>
              <w:bottom w:type="dxa" w:w="70"/>
              <w:right w:type="dxa" w:w="110"/>
            </w:tcMar>
            <w:vAlign w:val="top"/>
          </w:tcPr>
          <w:p>
            <w:r>
              <w:rPr>
                <w:b/>
                <w:bCs/>
                <w:color w:val="1A1A1A"/>
                <w:sz w:val="16"/>
                <w:szCs w:val="16"/>
              </w:rPr>
              <w:t xml:space="preserve">Technical Teams</w:t>
            </w:r>
          </w:p>
        </w:tc>
        <w:tc>
          <w:tcPr>
            <w:tcW w:type="dxa" w:w="6653"/>
            <w:tcMar>
              <w:top w:type="dxa" w:w="70"/>
              <w:left w:type="dxa" w:w="110"/>
              <w:bottom w:type="dxa" w:w="70"/>
              <w:right w:type="dxa" w:w="110"/>
            </w:tcMar>
            <w:vAlign w:val="top"/>
          </w:tcPr>
          <w:p>
            <w:r>
              <w:rPr>
                <w:b w:val="false"/>
                <w:bCs w:val="false"/>
                <w:color w:val="1A1A1A"/>
                <w:sz w:val="16"/>
                <w:szCs w:val="16"/>
              </w:rPr>
              <w:t xml:space="preserve">Project execution; technical documentation; deliverables; knowledge contribution.</w:t>
            </w:r>
          </w:p>
        </w:tc>
      </w:tr>
      <w:tr>
        <w:tc>
          <w:tcPr>
            <w:tcW w:type="dxa" w:w="3427"/>
            <w:tcMar>
              <w:top w:type="dxa" w:w="70"/>
              <w:left w:type="dxa" w:w="110"/>
              <w:bottom w:type="dxa" w:w="70"/>
              <w:right w:type="dxa" w:w="110"/>
            </w:tcMar>
            <w:vAlign w:val="top"/>
          </w:tcPr>
          <w:p>
            <w:r>
              <w:rPr>
                <w:b/>
                <w:bCs/>
                <w:color w:val="1A1A1A"/>
                <w:sz w:val="16"/>
                <w:szCs w:val="16"/>
              </w:rPr>
              <w:t xml:space="preserve">Monitoring &amp; Evaluation (M&amp;E) Teams</w:t>
            </w:r>
          </w:p>
        </w:tc>
        <w:tc>
          <w:tcPr>
            <w:tcW w:type="dxa" w:w="6653"/>
            <w:tcMar>
              <w:top w:type="dxa" w:w="70"/>
              <w:left w:type="dxa" w:w="110"/>
              <w:bottom w:type="dxa" w:w="70"/>
              <w:right w:type="dxa" w:w="110"/>
            </w:tcMar>
            <w:vAlign w:val="top"/>
          </w:tcPr>
          <w:p>
            <w:r>
              <w:rPr>
                <w:b w:val="false"/>
                <w:bCs w:val="false"/>
                <w:color w:val="1A1A1A"/>
                <w:sz w:val="16"/>
                <w:szCs w:val="16"/>
              </w:rPr>
              <w:t xml:space="preserve">Performance tracking; indicator reporting; results monitoring; evaluation.</w:t>
            </w:r>
          </w:p>
        </w:tc>
      </w:tr>
      <w:tr>
        <w:tc>
          <w:tcPr>
            <w:tcW w:type="dxa" w:w="3427"/>
            <w:tcMar>
              <w:top w:type="dxa" w:w="70"/>
              <w:left w:type="dxa" w:w="110"/>
              <w:bottom w:type="dxa" w:w="70"/>
              <w:right w:type="dxa" w:w="110"/>
            </w:tcMar>
            <w:vAlign w:val="top"/>
          </w:tcPr>
          <w:p>
            <w:r>
              <w:rPr>
                <w:b/>
                <w:bCs/>
                <w:color w:val="1A1A1A"/>
                <w:sz w:val="16"/>
                <w:szCs w:val="16"/>
              </w:rPr>
              <w:t xml:space="preserve">ICT Administrators</w:t>
            </w:r>
          </w:p>
        </w:tc>
        <w:tc>
          <w:tcPr>
            <w:tcW w:type="dxa" w:w="6653"/>
            <w:tcMar>
              <w:top w:type="dxa" w:w="70"/>
              <w:left w:type="dxa" w:w="110"/>
              <w:bottom w:type="dxa" w:w="70"/>
              <w:right w:type="dxa" w:w="110"/>
            </w:tcMar>
            <w:vAlign w:val="top"/>
          </w:tcPr>
          <w:p>
            <w:r>
              <w:rPr>
                <w:b w:val="false"/>
                <w:bCs w:val="false"/>
                <w:color w:val="1A1A1A"/>
                <w:sz w:val="16"/>
                <w:szCs w:val="16"/>
              </w:rPr>
              <w:t xml:space="preserve">User management; security; configuration; infrastructure; operations.</w:t>
            </w:r>
          </w:p>
        </w:tc>
      </w:tr>
      <w:tr>
        <w:tc>
          <w:tcPr>
            <w:tcW w:type="dxa" w:w="3427"/>
            <w:tcMar>
              <w:top w:type="dxa" w:w="70"/>
              <w:left w:type="dxa" w:w="110"/>
              <w:bottom w:type="dxa" w:w="70"/>
              <w:right w:type="dxa" w:w="110"/>
            </w:tcMar>
            <w:vAlign w:val="top"/>
          </w:tcPr>
          <w:p>
            <w:r>
              <w:rPr>
                <w:b/>
                <w:bCs/>
                <w:color w:val="1A1A1A"/>
                <w:sz w:val="16"/>
                <w:szCs w:val="16"/>
              </w:rPr>
              <w:t xml:space="preserve">Development Partners</w:t>
            </w:r>
          </w:p>
        </w:tc>
        <w:tc>
          <w:tcPr>
            <w:tcW w:type="dxa" w:w="6653"/>
            <w:tcMar>
              <w:top w:type="dxa" w:w="70"/>
              <w:left w:type="dxa" w:w="110"/>
              <w:bottom w:type="dxa" w:w="70"/>
              <w:right w:type="dxa" w:w="110"/>
            </w:tcMar>
            <w:vAlign w:val="top"/>
          </w:tcPr>
          <w:p>
            <w:r>
              <w:rPr>
                <w:b w:val="false"/>
                <w:bCs w:val="false"/>
                <w:color w:val="1A1A1A"/>
                <w:sz w:val="16"/>
                <w:szCs w:val="16"/>
              </w:rPr>
              <w:t xml:space="preserve">Oversight; reporting; knowledge sharing; collaboration.</w:t>
            </w:r>
          </w:p>
        </w:tc>
      </w:tr>
      <w:tr>
        <w:tc>
          <w:tcPr>
            <w:tcW w:type="dxa" w:w="3427"/>
            <w:tcMar>
              <w:top w:type="dxa" w:w="70"/>
              <w:left w:type="dxa" w:w="110"/>
              <w:bottom w:type="dxa" w:w="70"/>
              <w:right w:type="dxa" w:w="110"/>
            </w:tcMar>
            <w:vAlign w:val="top"/>
          </w:tcPr>
          <w:p>
            <w:r>
              <w:rPr>
                <w:b/>
                <w:bCs/>
                <w:color w:val="1A1A1A"/>
                <w:sz w:val="16"/>
                <w:szCs w:val="16"/>
              </w:rPr>
              <w:t xml:space="preserve">Consultants</w:t>
            </w:r>
          </w:p>
        </w:tc>
        <w:tc>
          <w:tcPr>
            <w:tcW w:type="dxa" w:w="6653"/>
            <w:tcMar>
              <w:top w:type="dxa" w:w="70"/>
              <w:left w:type="dxa" w:w="110"/>
              <w:bottom w:type="dxa" w:w="70"/>
              <w:right w:type="dxa" w:w="110"/>
            </w:tcMar>
            <w:vAlign w:val="top"/>
          </w:tcPr>
          <w:p>
            <w:r>
              <w:rPr>
                <w:b w:val="false"/>
                <w:bCs w:val="false"/>
                <w:color w:val="1A1A1A"/>
                <w:sz w:val="16"/>
                <w:szCs w:val="16"/>
              </w:rPr>
              <w:t xml:space="preserve">Deliverables; documentation; knowledge capture; technical support.</w:t>
            </w:r>
          </w:p>
        </w:tc>
      </w:tr>
      <w:tr>
        <w:tc>
          <w:tcPr>
            <w:tcW w:type="dxa" w:w="3427"/>
            <w:tcMar>
              <w:top w:type="dxa" w:w="70"/>
              <w:left w:type="dxa" w:w="110"/>
              <w:bottom w:type="dxa" w:w="70"/>
              <w:right w:type="dxa" w:w="110"/>
            </w:tcMar>
            <w:vAlign w:val="top"/>
          </w:tcPr>
          <w:p>
            <w:r>
              <w:rPr>
                <w:b/>
                <w:bCs/>
                <w:color w:val="1A1A1A"/>
                <w:sz w:val="16"/>
                <w:szCs w:val="16"/>
              </w:rPr>
              <w:t xml:space="preserve">General Programme Staff</w:t>
            </w:r>
          </w:p>
        </w:tc>
        <w:tc>
          <w:tcPr>
            <w:tcW w:type="dxa" w:w="6653"/>
            <w:tcMar>
              <w:top w:type="dxa" w:w="70"/>
              <w:left w:type="dxa" w:w="110"/>
              <w:bottom w:type="dxa" w:w="70"/>
              <w:right w:type="dxa" w:w="110"/>
            </w:tcMar>
            <w:vAlign w:val="top"/>
          </w:tcPr>
          <w:p>
            <w:r>
              <w:rPr>
                <w:b w:val="false"/>
                <w:bCs w:val="false"/>
                <w:color w:val="1A1A1A"/>
                <w:sz w:val="16"/>
                <w:szCs w:val="16"/>
              </w:rPr>
              <w:t xml:space="preserve">Daily operations; workflow execution; knowledge access; collaboration.</w:t>
            </w:r>
          </w:p>
        </w:tc>
      </w:tr>
    </w:tbl>
    <w:p>
      <w:pPr>
        <w:pStyle w:val="Heading1"/>
        <w:pBdr>
          <w:bottom w:val="single" w:color="C6D2E0" w:sz="4" w:space="4"/>
        </w:pBdr>
        <w:spacing w:after="140" w:before="360"/>
      </w:pPr>
      <w:r>
        <w:rPr>
          <w:b/>
          <w:bCs/>
          <w:color w:val="4A6FA5"/>
          <w:sz w:val="26"/>
          <w:szCs w:val="26"/>
        </w:rPr>
        <w:t xml:space="preserve">3.8  </w:t>
      </w:r>
      <w:r>
        <w:rPr>
          <w:b/>
          <w:bCs/>
          <w:color w:val="1F3864"/>
          <w:sz w:val="26"/>
          <w:szCs w:val="26"/>
        </w:rPr>
        <w:t xml:space="preserve">Operating Environment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Describe the operational conditions the platform must be engineered to withstand.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reliability and usability targets reflect the actual government programme environment.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These conditions directly inform the non-functional requirements in Chapter 7 and Chapter 16.</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engineered for its real operating conditions, not an idealized deployment environment.</w:t>
            </w:r>
          </w:p>
        </w:tc>
      </w:tr>
    </w:tbl>
    <w:p>
      <w:pPr>
        <w:spacing w:after="160"/>
      </w:pPr>
    </w:p>
    <w:p>
      <w:pPr>
        <w:spacing w:after="150" w:line="276"/>
        <w:jc w:val="both"/>
      </w:pPr>
      <w:r>
        <w:t xml:space="preserve">The platform shall operate within a government programme environment characterized by:</w:t>
      </w:r>
    </w:p>
    <w:p>
      <w:pPr>
        <w:pStyle w:val="ListParagraph"/>
        <w:numPr>
          <w:ilvl w:val="0"/>
          <w:numId w:val="1"/>
        </w:numPr>
        <w:spacing w:after="90" w:line="264"/>
      </w:pPr>
      <w:r>
        <w:t xml:space="preserve">Multiple implementing organizations.</w:t>
      </w:r>
    </w:p>
    <w:p>
      <w:pPr>
        <w:pStyle w:val="ListParagraph"/>
        <w:numPr>
          <w:ilvl w:val="0"/>
          <w:numId w:val="1"/>
        </w:numPr>
        <w:spacing w:after="90" w:line="264"/>
      </w:pPr>
      <w:r>
        <w:t xml:space="preserve">Geographically distributed users.</w:t>
      </w:r>
    </w:p>
    <w:p>
      <w:pPr>
        <w:pStyle w:val="ListParagraph"/>
        <w:numPr>
          <w:ilvl w:val="0"/>
          <w:numId w:val="1"/>
        </w:numPr>
        <w:spacing w:after="90" w:line="264"/>
      </w:pPr>
      <w:r>
        <w:t xml:space="preserve">High document volumes.</w:t>
      </w:r>
    </w:p>
    <w:p>
      <w:pPr>
        <w:pStyle w:val="ListParagraph"/>
        <w:numPr>
          <w:ilvl w:val="0"/>
          <w:numId w:val="1"/>
        </w:numPr>
        <w:spacing w:after="90" w:line="264"/>
      </w:pPr>
      <w:r>
        <w:t xml:space="preserve">Formal approval processes.</w:t>
      </w:r>
    </w:p>
    <w:p>
      <w:pPr>
        <w:pStyle w:val="ListParagraph"/>
        <w:numPr>
          <w:ilvl w:val="0"/>
          <w:numId w:val="1"/>
        </w:numPr>
        <w:spacing w:after="90" w:line="264"/>
      </w:pPr>
      <w:r>
        <w:t xml:space="preserve">Strict governance requirements.</w:t>
      </w:r>
    </w:p>
    <w:p>
      <w:pPr>
        <w:pStyle w:val="ListParagraph"/>
        <w:numPr>
          <w:ilvl w:val="0"/>
          <w:numId w:val="1"/>
        </w:numPr>
        <w:spacing w:after="90" w:line="264"/>
      </w:pPr>
      <w:r>
        <w:t xml:space="preserve">Sensitive programme information.</w:t>
      </w:r>
    </w:p>
    <w:p>
      <w:pPr>
        <w:pStyle w:val="ListParagraph"/>
        <w:numPr>
          <w:ilvl w:val="0"/>
          <w:numId w:val="1"/>
        </w:numPr>
        <w:spacing w:after="90" w:line="264"/>
      </w:pPr>
      <w:r>
        <w:t xml:space="preserve">Diverse user technical skills.</w:t>
      </w:r>
    </w:p>
    <w:p>
      <w:pPr>
        <w:pStyle w:val="ListParagraph"/>
        <w:numPr>
          <w:ilvl w:val="0"/>
          <w:numId w:val="1"/>
        </w:numPr>
        <w:spacing w:after="90" w:line="264"/>
      </w:pPr>
      <w:r>
        <w:t xml:space="preserve">Limited tolerance for downtime.</w:t>
      </w:r>
    </w:p>
    <w:p>
      <w:pPr>
        <w:pStyle w:val="ListParagraph"/>
        <w:numPr>
          <w:ilvl w:val="0"/>
          <w:numId w:val="1"/>
        </w:numPr>
        <w:spacing w:after="90" w:line="264"/>
      </w:pPr>
      <w:r>
        <w:t xml:space="preserve">Long-term operational sustainability requirements.</w:t>
      </w:r>
    </w:p>
    <w:p>
      <w:pPr>
        <w:spacing w:after="150" w:line="276"/>
        <w:jc w:val="both"/>
      </w:pPr>
      <w:r>
        <w:t xml:space="preserve">Accordingly, the platform must prioritize reliability, security, ease of use, and maintainability.</w:t>
      </w:r>
    </w:p>
    <w:p>
      <w:pPr>
        <w:pStyle w:val="Heading1"/>
        <w:pBdr>
          <w:bottom w:val="single" w:color="C6D2E0" w:sz="4" w:space="4"/>
        </w:pBdr>
        <w:spacing w:after="140" w:before="360"/>
      </w:pPr>
      <w:r>
        <w:rPr>
          <w:b/>
          <w:bCs/>
          <w:color w:val="4A6FA5"/>
          <w:sz w:val="26"/>
          <w:szCs w:val="26"/>
        </w:rPr>
        <w:t xml:space="preserve">3.9  </w:t>
      </w:r>
      <w:r>
        <w:rPr>
          <w:b/>
          <w:bCs/>
          <w:color w:val="1F3864"/>
          <w:sz w:val="26"/>
          <w:szCs w:val="26"/>
        </w:rPr>
        <w:t xml:space="preserve">Technology Context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Set expectations for the technology approach without prescribing a specific vendor stack.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long-term licensing and vendor lock-in risk for a donor-funded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Elaborated fully in Chapter 7, Technology Stack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technology foundation that is modern, standards-based, and sustainable beyond any single vendor relationship.</w:t>
            </w:r>
          </w:p>
        </w:tc>
      </w:tr>
    </w:tbl>
    <w:p>
      <w:pPr>
        <w:spacing w:after="160"/>
      </w:pPr>
    </w:p>
    <w:p>
      <w:pPr>
        <w:spacing w:after="150" w:line="276"/>
        <w:jc w:val="both"/>
      </w:pPr>
      <w:r>
        <w:t xml:space="preserve">The engineering solution should align with modern enterprise technology practices and support:</w:t>
      </w:r>
    </w:p>
    <w:p>
      <w:pPr>
        <w:pStyle w:val="ListParagraph"/>
        <w:numPr>
          <w:ilvl w:val="0"/>
          <w:numId w:val="1"/>
        </w:numPr>
        <w:spacing w:after="90" w:line="264"/>
      </w:pPr>
      <w:r>
        <w:t xml:space="preserve">Web-based access through modern browsers.</w:t>
      </w:r>
    </w:p>
    <w:p>
      <w:pPr>
        <w:pStyle w:val="ListParagraph"/>
        <w:numPr>
          <w:ilvl w:val="0"/>
          <w:numId w:val="1"/>
        </w:numPr>
        <w:spacing w:after="90" w:line="264"/>
      </w:pPr>
      <w:r>
        <w:t xml:space="preserve">Responsive design for desktop, tablet, and mobile devices.</w:t>
      </w:r>
    </w:p>
    <w:p>
      <w:pPr>
        <w:pStyle w:val="ListParagraph"/>
        <w:numPr>
          <w:ilvl w:val="0"/>
          <w:numId w:val="1"/>
        </w:numPr>
        <w:spacing w:after="90" w:line="264"/>
      </w:pPr>
      <w:r>
        <w:t xml:space="preserve">Standards-based Representational State Transfer (RESTful) APIs.</w:t>
      </w:r>
    </w:p>
    <w:p>
      <w:pPr>
        <w:pStyle w:val="ListParagraph"/>
        <w:numPr>
          <w:ilvl w:val="0"/>
          <w:numId w:val="1"/>
        </w:numPr>
        <w:spacing w:after="90" w:line="264"/>
      </w:pPr>
      <w:r>
        <w:t xml:space="preserve">Secure authentication and authorization.</w:t>
      </w:r>
    </w:p>
    <w:p>
      <w:pPr>
        <w:pStyle w:val="ListParagraph"/>
        <w:numPr>
          <w:ilvl w:val="0"/>
          <w:numId w:val="1"/>
        </w:numPr>
        <w:spacing w:after="90" w:line="264"/>
      </w:pPr>
      <w:r>
        <w:t xml:space="preserve">Cloud-ready deployment architecture.</w:t>
      </w:r>
    </w:p>
    <w:p>
      <w:pPr>
        <w:pStyle w:val="ListParagraph"/>
        <w:numPr>
          <w:ilvl w:val="0"/>
          <w:numId w:val="1"/>
        </w:numPr>
        <w:spacing w:after="90" w:line="264"/>
      </w:pPr>
      <w:r>
        <w:t xml:space="preserve">Modular application design.</w:t>
      </w:r>
    </w:p>
    <w:p>
      <w:pPr>
        <w:pStyle w:val="ListParagraph"/>
        <w:numPr>
          <w:ilvl w:val="0"/>
          <w:numId w:val="1"/>
        </w:numPr>
        <w:spacing w:after="90" w:line="264"/>
      </w:pPr>
      <w:r>
        <w:t xml:space="preserve">Structured and unstructured data management.</w:t>
      </w:r>
    </w:p>
    <w:p>
      <w:pPr>
        <w:pStyle w:val="ListParagraph"/>
        <w:numPr>
          <w:ilvl w:val="0"/>
          <w:numId w:val="1"/>
        </w:numPr>
        <w:spacing w:after="90" w:line="264"/>
      </w:pPr>
      <w:r>
        <w:t xml:space="preserve">Integration with future enterprise systems.</w:t>
      </w:r>
    </w:p>
    <w:p>
      <w:pPr>
        <w:pStyle w:val="ListParagraph"/>
        <w:numPr>
          <w:ilvl w:val="0"/>
          <w:numId w:val="1"/>
        </w:numPr>
        <w:spacing w:after="90" w:line="264"/>
      </w:pPr>
      <w:r>
        <w:t xml:space="preserve">Comprehensive monitoring and logging.</w:t>
      </w:r>
    </w:p>
    <w:p>
      <w:pPr>
        <w:pStyle w:val="ListParagraph"/>
        <w:numPr>
          <w:ilvl w:val="0"/>
          <w:numId w:val="1"/>
        </w:numPr>
        <w:spacing w:after="90" w:line="264"/>
      </w:pPr>
      <w:r>
        <w:t xml:space="preserve">Secure backup and disaster recovery capabilities.</w:t>
      </w:r>
    </w:p>
    <w:p>
      <w:pPr>
        <w:spacing w:after="150" w:line="276"/>
        <w:jc w:val="both"/>
      </w:pPr>
      <w:r>
        <w:t xml:space="preserve">Technology selections should favor mature, widely supported, open standards and frameworks that reduce vendor lock-in while enabling long-term sustainability.</w:t>
      </w:r>
    </w:p>
    <w:p>
      <w:pPr>
        <w:pStyle w:val="Heading1"/>
        <w:pBdr>
          <w:bottom w:val="single" w:color="C6D2E0" w:sz="4" w:space="4"/>
        </w:pBdr>
        <w:spacing w:after="140" w:before="360"/>
      </w:pPr>
      <w:r>
        <w:rPr>
          <w:b/>
          <w:bCs/>
          <w:color w:val="4A6FA5"/>
          <w:sz w:val="26"/>
          <w:szCs w:val="26"/>
        </w:rPr>
        <w:t xml:space="preserve">3.10  </w:t>
      </w:r>
      <w:r>
        <w:rPr>
          <w:b/>
          <w:bCs/>
          <w:color w:val="1F3864"/>
          <w:sz w:val="26"/>
          <w:szCs w:val="26"/>
        </w:rPr>
        <w:t xml:space="preserve">Constraints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Document the programme, technical, operational, and security constraints that bound engineering decisions.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Surfaces real-world limits early, before they become late-stage delivery risks.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Constraints are design inputs, not obstacles to be engineered around silently.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Designs that are realistic within the programme's actual operating limits.</w:t>
            </w:r>
          </w:p>
        </w:tc>
      </w:tr>
    </w:tbl>
    <w:p>
      <w:pPr>
        <w:spacing w:after="160"/>
      </w:pPr>
    </w:p>
    <w:p>
      <w:pPr>
        <w:spacing w:after="150" w:line="276"/>
        <w:jc w:val="both"/>
      </w:pPr>
      <w:r>
        <w:t xml:space="preserve">The engineering team shall recognize and design within the following constraints.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Constraint Category</w:t>
            </w:r>
          </w:p>
        </w:tc>
        <w:tc>
          <w:tcPr>
            <w:tcW w:type="dxa" w:w="7459"/>
            <w:shd w:fill="1F3864" w:val="clear"/>
            <w:tcMar>
              <w:top w:type="dxa" w:w="70"/>
              <w:left w:type="dxa" w:w="110"/>
              <w:bottom w:type="dxa" w:w="70"/>
              <w:right w:type="dxa" w:w="110"/>
            </w:tcMar>
            <w:vAlign w:val="top"/>
          </w:tcPr>
          <w:p>
            <w:r>
              <w:rPr>
                <w:b/>
                <w:bCs/>
                <w:color w:val="FFFFFF"/>
                <w:sz w:val="17"/>
                <w:szCs w:val="17"/>
              </w:rPr>
              <w:t xml:space="preserve">Constraints</w:t>
            </w:r>
          </w:p>
        </w:tc>
      </w:tr>
      <w:tr>
        <w:tc>
          <w:tcPr>
            <w:tcW w:type="dxa" w:w="2621"/>
            <w:tcMar>
              <w:top w:type="dxa" w:w="70"/>
              <w:left w:type="dxa" w:w="110"/>
              <w:bottom w:type="dxa" w:w="70"/>
              <w:right w:type="dxa" w:w="110"/>
            </w:tcMar>
            <w:vAlign w:val="top"/>
          </w:tcPr>
          <w:p>
            <w:r>
              <w:rPr>
                <w:b/>
                <w:bCs/>
                <w:color w:val="1A1A1A"/>
                <w:sz w:val="16"/>
                <w:szCs w:val="16"/>
              </w:rPr>
              <w:t xml:space="preserve">Programme Constraints</w:t>
            </w:r>
          </w:p>
        </w:tc>
        <w:tc>
          <w:tcPr>
            <w:tcW w:type="dxa" w:w="7459"/>
            <w:tcMar>
              <w:top w:type="dxa" w:w="70"/>
              <w:left w:type="dxa" w:w="110"/>
              <w:bottom w:type="dxa" w:w="70"/>
              <w:right w:type="dxa" w:w="110"/>
            </w:tcMar>
            <w:vAlign w:val="top"/>
          </w:tcPr>
          <w:p>
            <w:r>
              <w:rPr>
                <w:b w:val="false"/>
                <w:bCs w:val="false"/>
                <w:color w:val="1A1A1A"/>
                <w:sz w:val="16"/>
                <w:szCs w:val="16"/>
              </w:rPr>
              <w:t xml:space="preserve">Fixed contractual scope; defined delivery timelines; formal acceptance processes; multi-stakeholder governance.</w:t>
            </w:r>
          </w:p>
        </w:tc>
      </w:tr>
      <w:tr>
        <w:tc>
          <w:tcPr>
            <w:tcW w:type="dxa" w:w="2621"/>
            <w:tcMar>
              <w:top w:type="dxa" w:w="70"/>
              <w:left w:type="dxa" w:w="110"/>
              <w:bottom w:type="dxa" w:w="70"/>
              <w:right w:type="dxa" w:w="110"/>
            </w:tcMar>
            <w:vAlign w:val="top"/>
          </w:tcPr>
          <w:p>
            <w:r>
              <w:rPr>
                <w:b/>
                <w:bCs/>
                <w:color w:val="1A1A1A"/>
                <w:sz w:val="16"/>
                <w:szCs w:val="16"/>
              </w:rPr>
              <w:t xml:space="preserve">Technical Constraints</w:t>
            </w:r>
          </w:p>
        </w:tc>
        <w:tc>
          <w:tcPr>
            <w:tcW w:type="dxa" w:w="7459"/>
            <w:tcMar>
              <w:top w:type="dxa" w:w="70"/>
              <w:left w:type="dxa" w:w="110"/>
              <w:bottom w:type="dxa" w:w="70"/>
              <w:right w:type="dxa" w:w="110"/>
            </w:tcMar>
            <w:vAlign w:val="top"/>
          </w:tcPr>
          <w:p>
            <w:r>
              <w:rPr>
                <w:b w:val="false"/>
                <w:bCs w:val="false"/>
                <w:color w:val="1A1A1A"/>
                <w:sz w:val="16"/>
                <w:szCs w:val="16"/>
              </w:rPr>
              <w:t xml:space="preserve">Interoperability requirements; existing ICT environment; variable network conditions across locations; future integration needs.</w:t>
            </w:r>
          </w:p>
        </w:tc>
      </w:tr>
      <w:tr>
        <w:tc>
          <w:tcPr>
            <w:tcW w:type="dxa" w:w="2621"/>
            <w:tcMar>
              <w:top w:type="dxa" w:w="70"/>
              <w:left w:type="dxa" w:w="110"/>
              <w:bottom w:type="dxa" w:w="70"/>
              <w:right w:type="dxa" w:w="110"/>
            </w:tcMar>
            <w:vAlign w:val="top"/>
          </w:tcPr>
          <w:p>
            <w:r>
              <w:rPr>
                <w:b/>
                <w:bCs/>
                <w:color w:val="1A1A1A"/>
                <w:sz w:val="16"/>
                <w:szCs w:val="16"/>
              </w:rPr>
              <w:t xml:space="preserve">Operational Constraints</w:t>
            </w:r>
          </w:p>
        </w:tc>
        <w:tc>
          <w:tcPr>
            <w:tcW w:type="dxa" w:w="7459"/>
            <w:tcMar>
              <w:top w:type="dxa" w:w="70"/>
              <w:left w:type="dxa" w:w="110"/>
              <w:bottom w:type="dxa" w:w="70"/>
              <w:right w:type="dxa" w:w="110"/>
            </w:tcMar>
            <w:vAlign w:val="top"/>
          </w:tcPr>
          <w:p>
            <w:r>
              <w:rPr>
                <w:b w:val="false"/>
                <w:bCs w:val="false"/>
                <w:color w:val="1A1A1A"/>
                <w:sz w:val="16"/>
                <w:szCs w:val="16"/>
              </w:rPr>
              <w:t xml:space="preserve">Diverse user skill levels; limited training time; high availability expectations; continuous operational use.</w:t>
            </w:r>
          </w:p>
        </w:tc>
      </w:tr>
      <w:tr>
        <w:tc>
          <w:tcPr>
            <w:tcW w:type="dxa" w:w="2621"/>
            <w:tcMar>
              <w:top w:type="dxa" w:w="70"/>
              <w:left w:type="dxa" w:w="110"/>
              <w:bottom w:type="dxa" w:w="70"/>
              <w:right w:type="dxa" w:w="110"/>
            </w:tcMar>
            <w:vAlign w:val="top"/>
          </w:tcPr>
          <w:p>
            <w:r>
              <w:rPr>
                <w:b/>
                <w:bCs/>
                <w:color w:val="1A1A1A"/>
                <w:sz w:val="16"/>
                <w:szCs w:val="16"/>
              </w:rPr>
              <w:t xml:space="preserve">Security Constraints</w:t>
            </w:r>
          </w:p>
        </w:tc>
        <w:tc>
          <w:tcPr>
            <w:tcW w:type="dxa" w:w="7459"/>
            <w:tcMar>
              <w:top w:type="dxa" w:w="70"/>
              <w:left w:type="dxa" w:w="110"/>
              <w:bottom w:type="dxa" w:w="70"/>
              <w:right w:type="dxa" w:w="110"/>
            </w:tcMar>
            <w:vAlign w:val="top"/>
          </w:tcPr>
          <w:p>
            <w:r>
              <w:rPr>
                <w:b w:val="false"/>
                <w:bCs w:val="false"/>
                <w:color w:val="1A1A1A"/>
                <w:sz w:val="16"/>
                <w:szCs w:val="16"/>
              </w:rPr>
              <w:t xml:space="preserve">Protection of sensitive programme information; compliance with applicable Nigerian data protection requirements; strong access controls; comprehensive auditability.</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COMPLIANCE REQUIREMENT</w:t>
            </w:r>
          </w:p>
          <w:p>
            <w:pPr>
              <w:spacing w:after="0"/>
            </w:pPr>
            <w:r>
              <w:rPr>
                <w:sz w:val="18"/>
                <w:szCs w:val="18"/>
              </w:rPr>
              <w:t xml:space="preserve">Security constraints are not negotiable against schedule pressure. Any proposed trade-off involving sensitive-data protection, access control strength, or auditability must be escalated through Chapter 14's governance process before implementation.</w:t>
            </w:r>
          </w:p>
        </w:tc>
      </w:tr>
    </w:tbl>
    <w:p>
      <w:pPr>
        <w:pStyle w:val="Heading1"/>
        <w:pBdr>
          <w:bottom w:val="single" w:color="C6D2E0" w:sz="4" w:space="4"/>
        </w:pBdr>
        <w:spacing w:after="140" w:before="360"/>
      </w:pPr>
      <w:r>
        <w:rPr>
          <w:b/>
          <w:bCs/>
          <w:color w:val="4A6FA5"/>
          <w:sz w:val="26"/>
          <w:szCs w:val="26"/>
        </w:rPr>
        <w:t xml:space="preserve">3.11  </w:t>
      </w:r>
      <w:r>
        <w:rPr>
          <w:b/>
          <w:bCs/>
          <w:color w:val="1F3864"/>
          <w:sz w:val="26"/>
          <w:szCs w:val="26"/>
        </w:rPr>
        <w:t xml:space="preserve">Assumptions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State the assumptions engineering proceeds under absent a formal revision.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Makes implicit planning assumptions explicit and challengeable.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assumption below is a risk if it proves false — see Chapter 21, Risk and Change Management.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engineering delay caused by an unstated, unvalidated assumption.</w:t>
            </w:r>
          </w:p>
        </w:tc>
      </w:tr>
    </w:tbl>
    <w:p>
      <w:pPr>
        <w:spacing w:after="160"/>
      </w:pPr>
    </w:p>
    <w:p>
      <w:pPr>
        <w:spacing w:after="150" w:line="276"/>
        <w:jc w:val="both"/>
      </w:pPr>
      <w:r>
        <w:t xml:space="preserve">Unless formally revised during requirements validation, the engineering team shall assume that:</w:t>
      </w:r>
    </w:p>
    <w:p>
      <w:pPr>
        <w:pStyle w:val="ListParagraph"/>
        <w:numPr>
          <w:ilvl w:val="0"/>
          <w:numId w:val="1"/>
        </w:numPr>
        <w:spacing w:after="90" w:line="264"/>
      </w:pPr>
      <w:r>
        <w:t xml:space="preserve">Business requirements documented in the approved SRS are complete and authoritative.</w:t>
      </w:r>
    </w:p>
    <w:p>
      <w:pPr>
        <w:pStyle w:val="ListParagraph"/>
        <w:numPr>
          <w:ilvl w:val="0"/>
          <w:numId w:val="1"/>
        </w:numPr>
        <w:spacing w:after="90" w:line="264"/>
      </w:pPr>
      <w:r>
        <w:t xml:space="preserve">Required stakeholders will participate in reviews and acceptance activities.</w:t>
      </w:r>
    </w:p>
    <w:p>
      <w:pPr>
        <w:pStyle w:val="ListParagraph"/>
        <w:numPr>
          <w:ilvl w:val="0"/>
          <w:numId w:val="1"/>
        </w:numPr>
        <w:spacing w:after="90" w:line="264"/>
      </w:pPr>
      <w:r>
        <w:t xml:space="preserve">Appropriate infrastructure will be available before deployment.</w:t>
      </w:r>
    </w:p>
    <w:p>
      <w:pPr>
        <w:pStyle w:val="ListParagraph"/>
        <w:numPr>
          <w:ilvl w:val="0"/>
          <w:numId w:val="1"/>
        </w:numPr>
        <w:spacing w:after="90" w:line="264"/>
      </w:pPr>
      <w:r>
        <w:t xml:space="preserve">Programme data will be available for migration where required.</w:t>
      </w:r>
    </w:p>
    <w:p>
      <w:pPr>
        <w:pStyle w:val="ListParagraph"/>
        <w:numPr>
          <w:ilvl w:val="0"/>
          <w:numId w:val="1"/>
        </w:numPr>
        <w:spacing w:after="90" w:line="264"/>
      </w:pPr>
      <w:r>
        <w:t xml:space="preserve">Users will participate in training and change management activities.</w:t>
      </w:r>
    </w:p>
    <w:p>
      <w:pPr>
        <w:pStyle w:val="ListParagraph"/>
        <w:numPr>
          <w:ilvl w:val="0"/>
          <w:numId w:val="1"/>
        </w:numPr>
        <w:spacing w:after="90" w:line="264"/>
      </w:pPr>
      <w:r>
        <w:t xml:space="preserve">Future enhancements beyond the agreed scope will be managed through controlled change requests.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Any deviation from these assumptions shall be documented through the project's governance and Architecture Decision Record (ADR) process — see Chapter 22.</w:t>
            </w:r>
          </w:p>
        </w:tc>
      </w:tr>
    </w:tbl>
    <w:p>
      <w:pPr>
        <w:pStyle w:val="Heading1"/>
        <w:pBdr>
          <w:bottom w:val="single" w:color="C6D2E0" w:sz="4" w:space="4"/>
        </w:pBdr>
        <w:spacing w:after="140" w:before="360"/>
      </w:pPr>
      <w:r>
        <w:rPr>
          <w:b/>
          <w:bCs/>
          <w:color w:val="4A6FA5"/>
          <w:sz w:val="26"/>
          <w:szCs w:val="26"/>
        </w:rPr>
        <w:t xml:space="preserve">3.12  </w:t>
      </w:r>
      <w:r>
        <w:rPr>
          <w:b/>
          <w:bCs/>
          <w:color w:val="1F3864"/>
          <w:sz w:val="26"/>
          <w:szCs w:val="26"/>
        </w:rPr>
        <w:t xml:space="preserve">Engineering Implications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Translate the context in this chapter into direct implications for the engineering approach.</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Closes the loop between business context and engineering practice.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These implications are the bridge into Chapter 5's Engineering Principles.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 engineering approach demonstrably shaped by programme context, not generic best practice alone.</w:t>
            </w:r>
          </w:p>
        </w:tc>
      </w:tr>
    </w:tbl>
    <w:p>
      <w:pPr>
        <w:spacing w:after="160"/>
      </w:pPr>
    </w:p>
    <w:p>
      <w:pPr>
        <w:spacing w:after="150" w:line="276"/>
        <w:jc w:val="both"/>
      </w:pPr>
      <w:r>
        <w:t xml:space="preserve">The context described above has several implications for the engineering approach.</w:t>
      </w:r>
    </w:p>
    <w:p>
      <w:pPr>
        <w:pStyle w:val="ListParagraph"/>
        <w:numPr>
          <w:ilvl w:val="0"/>
          <w:numId w:val="1"/>
        </w:numPr>
        <w:spacing w:after="90" w:line="264"/>
      </w:pPr>
      <w:r>
        <w:t xml:space="preserve">The solution must support multi-stakeholder collaboration without compromising security.</w:t>
      </w:r>
    </w:p>
    <w:p>
      <w:pPr>
        <w:pStyle w:val="ListParagraph"/>
        <w:numPr>
          <w:ilvl w:val="0"/>
          <w:numId w:val="1"/>
        </w:numPr>
        <w:spacing w:after="90" w:line="264"/>
      </w:pPr>
      <w:r>
        <w:t xml:space="preserve">The architecture must be modular and extensible, allowing future capabilities to be added with minimal disruption.</w:t>
      </w:r>
    </w:p>
    <w:p>
      <w:pPr>
        <w:pStyle w:val="ListParagraph"/>
        <w:numPr>
          <w:ilvl w:val="0"/>
          <w:numId w:val="1"/>
        </w:numPr>
        <w:spacing w:after="90" w:line="264"/>
      </w:pPr>
      <w:r>
        <w:t xml:space="preserve">User experience must accommodate both technical and non-technical users.</w:t>
      </w:r>
    </w:p>
    <w:p>
      <w:pPr>
        <w:pStyle w:val="ListParagraph"/>
        <w:numPr>
          <w:ilvl w:val="0"/>
          <w:numId w:val="1"/>
        </w:numPr>
        <w:spacing w:after="90" w:line="264"/>
      </w:pPr>
      <w:r>
        <w:t xml:space="preserve">Knowledge management capabilities should be treated as a core business function, not an ancillary feature.</w:t>
      </w:r>
    </w:p>
    <w:p>
      <w:pPr>
        <w:pStyle w:val="ListParagraph"/>
        <w:numPr>
          <w:ilvl w:val="0"/>
          <w:numId w:val="1"/>
        </w:numPr>
        <w:spacing w:after="90" w:line="264"/>
      </w:pPr>
      <w:r>
        <w:t xml:space="preserve">Reporting and dashboards must provide actionable insights rather than static information.</w:t>
      </w:r>
    </w:p>
    <w:p>
      <w:pPr>
        <w:pStyle w:val="ListParagraph"/>
        <w:numPr>
          <w:ilvl w:val="0"/>
          <w:numId w:val="1"/>
        </w:numPr>
        <w:spacing w:after="90" w:line="264"/>
      </w:pPr>
      <w:r>
        <w:t xml:space="preserve">All engineering decisions should balance functionality, maintainability, security, and long-term sustainability.</w:t>
      </w:r>
    </w:p>
    <w:p>
      <w:pPr>
        <w:pStyle w:val="Heading1"/>
        <w:pBdr>
          <w:bottom w:val="single" w:color="C6D2E0" w:sz="4" w:space="4"/>
        </w:pBdr>
        <w:spacing w:after="140" w:before="360"/>
      </w:pPr>
      <w:r>
        <w:rPr>
          <w:b/>
          <w:bCs/>
          <w:color w:val="4A6FA5"/>
          <w:sz w:val="26"/>
          <w:szCs w:val="26"/>
        </w:rPr>
        <w:t xml:space="preserve">3.13  </w:t>
      </w:r>
      <w:r>
        <w:rPr>
          <w:b/>
          <w:bCs/>
          <w:color w:val="1F3864"/>
          <w:sz w:val="26"/>
          <w:szCs w:val="26"/>
        </w:rPr>
        <w:t xml:space="preserve">Context Statement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State, in summary form, what this project fundamentally is.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Anchors every reader — technical or executive — on the same closing understanding of project intent.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This is the sentence every architecture review should be measured against.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 engineering team that never loses sight of the platform's role as programme infrastructure.</w:t>
            </w:r>
          </w:p>
        </w:tc>
      </w:tr>
    </w:tbl>
    <w:p>
      <w:pPr>
        <w:spacing w:after="160"/>
      </w:pPr>
    </w:p>
    <w:p>
      <w:pPr>
        <w:spacing w:after="150" w:line="276"/>
        <w:jc w:val="both"/>
      </w:pPr>
      <w:r>
        <w:t xml:space="preserve">This project is not simply about developing software. It is about establishing the digital operating environment for the SAPZ Programme.</w:t>
      </w:r>
    </w:p>
    <w:p>
      <w:pPr>
        <w:spacing w:after="150" w:line="276"/>
        <w:jc w:val="both"/>
      </w:pPr>
      <w:r>
        <w:t xml:space="preserve">The engineering team is therefore expected to build a platform that enables efficient programme execution, preserves institutional knowledge, strengthens governance, supports collaboration, and provides the technological foundation for the programme's continued growth and digital transformation.</w:t>
      </w:r>
    </w:p>
    <w:p>
      <w:pPr>
        <w:spacing w:after="150" w:line="276"/>
        <w:jc w:val="both"/>
      </w:pPr>
      <w:r>
        <w:t xml:space="preserve">Every architectural decision, design choice, and implementation activity shall reinforce this objective and contribute to a secure, scalable, user-centred, and sustainable enterprise 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This Context Statement is the single sentence every architecture review, code review, and design decision should be measured against: does this reinforce the digital operating environment for the SAPZ Programme, or does it merely add software?</w:t>
            </w:r>
          </w:p>
        </w:tc>
      </w:tr>
    </w:tbl>
    <w:p>
      <w:pPr>
        <w:pStyle w:val="Heading1"/>
        <w:pBdr>
          <w:bottom w:val="single" w:color="C6D2E0" w:sz="4" w:space="4"/>
        </w:pBdr>
        <w:spacing w:after="140" w:before="360"/>
      </w:pPr>
      <w:r>
        <w:rPr>
          <w:b/>
          <w:bCs/>
          <w:color w:val="4A6FA5"/>
          <w:sz w:val="26"/>
          <w:szCs w:val="26"/>
        </w:rPr>
        <w:t xml:space="preserve">3.14  </w:t>
      </w:r>
      <w:r>
        <w:rPr>
          <w:b/>
          <w:bCs/>
          <w:color w:val="1F3864"/>
          <w:sz w:val="26"/>
          <w:szCs w:val="26"/>
        </w:rPr>
        <w:t xml:space="preserve">Chapter Summary</w:t>
      </w:r>
    </w:p>
    <w:p>
      <w:pPr>
        <w:spacing w:after="150" w:line="276"/>
        <w:jc w:val="both"/>
      </w:pPr>
      <w:r>
        <w:t xml:space="preserve">This chapter grounded the engineering programme in the SAPZ Programme's national development mandate, named the specific business problems the platform must resolve, defined the project's scope across the ESM Platform and CKR, mapped the full stakeholder ecosystem, and documented the operating environment, technology context, constraints, and assumptions that bound every engineering decision.</w:t>
      </w:r>
    </w:p>
    <w:p>
      <w:pPr>
        <w:pStyle w:val="Heading2"/>
        <w:spacing w:after="110" w:before="260"/>
      </w:pPr>
      <w:r>
        <w:rPr>
          <w:b/>
          <w:bCs/>
          <w:color w:val="4A6FA5"/>
          <w:sz w:val="21"/>
          <w:szCs w:val="21"/>
        </w:rPr>
        <w:t xml:space="preserve">3.14.1  </w:t>
      </w:r>
      <w:r>
        <w:rPr>
          <w:b/>
          <w:bCs/>
          <w:color w:val="1F3864"/>
          <w:sz w:val="21"/>
          <w:szCs w:val="21"/>
        </w:rPr>
        <w:t xml:space="preserve">Key Engineering Principles</w:t>
      </w:r>
    </w:p>
    <w:p>
      <w:pPr>
        <w:pStyle w:val="ListParagraph"/>
        <w:numPr>
          <w:ilvl w:val="0"/>
          <w:numId w:val="1"/>
        </w:numPr>
        <w:spacing w:after="90" w:line="264"/>
      </w:pPr>
      <w:r>
        <w:t xml:space="preserve">Every technical decision must remain traceable to a genuine business problem named in Section 3.3.</w:t>
      </w:r>
    </w:p>
    <w:p>
      <w:pPr>
        <w:pStyle w:val="ListParagraph"/>
        <w:numPr>
          <w:ilvl w:val="0"/>
          <w:numId w:val="1"/>
        </w:numPr>
        <w:spacing w:after="90" w:line="264"/>
      </w:pPr>
      <w:r>
        <w:t xml:space="preserve">Scope is fixed at the ESM/CKR capability boundary defined in Section 3.6 — expansion requires formal change control.</w:t>
      </w:r>
    </w:p>
    <w:p>
      <w:pPr>
        <w:pStyle w:val="ListParagraph"/>
        <w:numPr>
          <w:ilvl w:val="0"/>
          <w:numId w:val="1"/>
        </w:numPr>
        <w:spacing w:after="90" w:line="264"/>
      </w:pPr>
      <w:r>
        <w:t xml:space="preserve">Security and data protection constraints (Section 3.10) are never traded off against schedule.</w:t>
      </w:r>
    </w:p>
    <w:p>
      <w:pPr>
        <w:pStyle w:val="ListParagraph"/>
        <w:numPr>
          <w:ilvl w:val="0"/>
          <w:numId w:val="1"/>
        </w:numPr>
        <w:spacing w:after="90" w:line="264"/>
      </w:pPr>
      <w:r>
        <w:t xml:space="preserve">Assumptions (Section 3.11) are risks until validated — track them accordingly.</w:t>
      </w:r>
    </w:p>
    <w:p>
      <w:pPr>
        <w:pStyle w:val="Heading2"/>
        <w:spacing w:after="110" w:before="260"/>
      </w:pPr>
      <w:r>
        <w:rPr>
          <w:b/>
          <w:bCs/>
          <w:color w:val="4A6FA5"/>
          <w:sz w:val="21"/>
          <w:szCs w:val="21"/>
        </w:rPr>
        <w:t xml:space="preserve">3.14.2  </w:t>
      </w:r>
      <w:r>
        <w:rPr>
          <w:b/>
          <w:bCs/>
          <w:color w:val="1F3864"/>
          <w:sz w:val="21"/>
          <w:szCs w:val="21"/>
        </w:rPr>
        <w:t xml:space="preserve">Implementation Checklist</w:t>
      </w:r>
    </w:p>
    <w:p>
      <w:pPr>
        <w:pStyle w:val="ListParagraph"/>
        <w:numPr>
          <w:ilvl w:val="0"/>
          <w:numId w:val="1"/>
        </w:numPr>
        <w:spacing w:after="90" w:line="264"/>
      </w:pPr>
      <w:r>
        <w:t xml:space="preserve">☐ Confirm every module in active development maps to a named business problem (Section 3.3) or capability (Section 3.4).</w:t>
      </w:r>
    </w:p>
    <w:p>
      <w:pPr>
        <w:pStyle w:val="ListParagraph"/>
        <w:numPr>
          <w:ilvl w:val="0"/>
          <w:numId w:val="1"/>
        </w:numPr>
        <w:spacing w:after="90" w:line="264"/>
      </w:pPr>
      <w:r>
        <w:t xml:space="preserve">☐ Confirm stakeholder access models (Chapter 14) reflect the responsibilities in Section 3.7, not a generic role set.</w:t>
      </w:r>
    </w:p>
    <w:p>
      <w:pPr>
        <w:pStyle w:val="ListParagraph"/>
        <w:numPr>
          <w:ilvl w:val="0"/>
          <w:numId w:val="1"/>
        </w:numPr>
        <w:spacing w:after="90" w:line="264"/>
      </w:pPr>
      <w:r>
        <w:t xml:space="preserve">☐ Confirm assumptions in Section 3.11 are being actively tracked in the risk register (Chapter 21).</w:t>
      </w:r>
    </w:p>
    <w:p>
      <w:pPr>
        <w:pStyle w:val="ListParagraph"/>
        <w:numPr>
          <w:ilvl w:val="0"/>
          <w:numId w:val="1"/>
        </w:numPr>
        <w:spacing w:after="90" w:line="264"/>
      </w:pPr>
      <w:r>
        <w:t xml:space="preserve">☐ Confirm scope boundary (Section 3.6) is referenced in every Sprint Planning session (Chapter 20).</w:t>
      </w:r>
    </w:p>
    <w:p>
      <w:pPr>
        <w:pStyle w:val="Heading2"/>
        <w:spacing w:after="110" w:before="260"/>
      </w:pPr>
      <w:r>
        <w:rPr>
          <w:b/>
          <w:bCs/>
          <w:color w:val="4A6FA5"/>
          <w:sz w:val="21"/>
          <w:szCs w:val="21"/>
        </w:rPr>
        <w:t xml:space="preserve">3.14.3  </w:t>
      </w:r>
      <w:r>
        <w:rPr>
          <w:b/>
          <w:bCs/>
          <w:color w:val="1F3864"/>
          <w:sz w:val="21"/>
          <w:szCs w:val="21"/>
        </w:rPr>
        <w:t xml:space="preserve">Related Chapters</w:t>
      </w:r>
    </w:p>
    <w:p>
      <w:pPr>
        <w:pStyle w:val="ListParagraph"/>
        <w:numPr>
          <w:ilvl w:val="0"/>
          <w:numId w:val="1"/>
        </w:numPr>
        <w:spacing w:after="90" w:line="264"/>
      </w:pPr>
      <w:r>
        <w:t xml:space="preserve">Chapter 1 — Executive Overview</w:t>
      </w:r>
    </w:p>
    <w:p>
      <w:pPr>
        <w:pStyle w:val="ListParagraph"/>
        <w:numPr>
          <w:ilvl w:val="0"/>
          <w:numId w:val="1"/>
        </w:numPr>
        <w:spacing w:after="90" w:line="264"/>
      </w:pPr>
      <w:r>
        <w:t xml:space="preserve">Chapter 2 — Engineering Mission and Objectives</w:t>
      </w:r>
    </w:p>
    <w:p>
      <w:pPr>
        <w:pStyle w:val="ListParagraph"/>
        <w:numPr>
          <w:ilvl w:val="0"/>
          <w:numId w:val="1"/>
        </w:numPr>
        <w:spacing w:after="90" w:line="264"/>
      </w:pPr>
      <w:r>
        <w:t xml:space="preserve">Chapter 6 — Architecture Governance</w:t>
      </w:r>
    </w:p>
    <w:p>
      <w:pPr>
        <w:pStyle w:val="ListParagraph"/>
        <w:numPr>
          <w:ilvl w:val="0"/>
          <w:numId w:val="1"/>
        </w:numPr>
        <w:spacing w:after="90" w:line="264"/>
      </w:pPr>
      <w:r>
        <w:t xml:space="preserve">Chapter 21 — Risk and Change Management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2026-07-19T18:39:27.297Z</dcterms:created>
  <dcterms:modified xsi:type="dcterms:W3CDTF">2026-07-19T18:39:27.297Z</dcterms:modified>
</cp:coreProperties>
</file>

<file path=docProps/custom.xml><?xml version="1.0" encoding="utf-8"?>
<Properties xmlns="http://schemas.openxmlformats.org/officeDocument/2006/custom-properties" xmlns:vt="http://schemas.openxmlformats.org/officeDocument/2006/docPropsVTypes"/>
</file>