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4</w:t>
      </w:r>
    </w:p>
    <w:p>
      <w:pPr>
        <w:pBdr>
          <w:bottom w:val="single" w:color="1F3864" w:sz="14" w:space="10"/>
        </w:pBdr>
        <w:spacing w:after="160"/>
        <w:jc w:val="center"/>
      </w:pPr>
      <w:r>
        <w:rPr>
          <w:b/>
          <w:bCs/>
          <w:color w:val="152238"/>
          <w:sz w:val="40"/>
          <w:szCs w:val="40"/>
        </w:rPr>
        <w:t xml:space="preserve">Solution Vision</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The Long-Term Direction of the Platform</w:t>
      </w:r>
    </w:p>
    <w:p>
      <w:r>
        <w:br w:type="page"/>
      </w:r>
    </w:p>
    <w:p>
      <w:pPr>
        <w:spacing w:after="40"/>
        <w:jc w:val="left"/>
      </w:pPr>
      <w:r>
        <w:rPr>
          <w:b/>
          <w:bCs/>
          <w:caps/>
          <w:color w:val="4A6FA5"/>
          <w:sz w:val="22"/>
          <w:szCs w:val="22"/>
        </w:rPr>
        <w:t xml:space="preserve">CHAPTER 4</w:t>
      </w:r>
    </w:p>
    <w:p>
      <w:pPr>
        <w:pBdr>
          <w:bottom w:val="single" w:color="1F3864" w:sz="12" w:space="8"/>
        </w:pBdr>
        <w:spacing w:after="200"/>
        <w:jc w:val="left"/>
      </w:pPr>
      <w:r>
        <w:rPr>
          <w:b/>
          <w:bCs/>
          <w:color w:val="152238"/>
          <w:sz w:val="44"/>
          <w:szCs w:val="44"/>
        </w:rPr>
        <w:t xml:space="preserve">Solution Vision</w:t>
      </w:r>
    </w:p>
    <w:p>
      <w:pPr>
        <w:spacing w:after="90" w:before="180"/>
      </w:pPr>
      <w:r>
        <w:rPr>
          <w:b/>
          <w:bCs/>
          <w:color w:val="152238"/>
          <w:sz w:val="19"/>
          <w:szCs w:val="19"/>
        </w:rPr>
        <w:t xml:space="preserve">Chapter Overview</w:t>
      </w:r>
    </w:p>
    <w:p>
      <w:pPr>
        <w:spacing w:after="150" w:line="276"/>
        <w:jc w:val="both"/>
      </w:pPr>
      <w:r>
        <w:t xml:space="preserve">This chapter defines the Solution Vision — the future state the engineering programme is intended to achieve across business, technology, user experience, knowledge management, data, security, integration, operations, and future capability dimensions — and the criteria used to evaluate whether any given engineering decision advances or detracts from that vision.</w:t>
      </w:r>
    </w:p>
    <w:p>
      <w:pPr>
        <w:spacing w:after="90" w:before="180"/>
      </w:pPr>
      <w:r>
        <w:rPr>
          <w:b/>
          <w:bCs/>
          <w:color w:val="152238"/>
          <w:sz w:val="19"/>
          <w:szCs w:val="19"/>
        </w:rPr>
        <w:t xml:space="preserve">Purpose</w:t>
      </w:r>
    </w:p>
    <w:p>
      <w:pPr>
        <w:spacing w:after="150" w:line="276"/>
        <w:jc w:val="both"/>
      </w:pPr>
      <w:r>
        <w:t xml:space="preserve">To provide the primary reference for evaluating alternative technical solutions, prioritizing implementation decisions, managing scope, and assessing the long-term sustainability of the platform throughout its engineering lifecycle.</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platform's Vision Statement and Strategic Vision.</w:t>
      </w:r>
    </w:p>
    <w:p>
      <w:pPr>
        <w:pStyle w:val="ListParagraph"/>
        <w:numPr>
          <w:ilvl w:val="0"/>
          <w:numId w:val="1"/>
        </w:numPr>
        <w:spacing w:after="90" w:line="264"/>
      </w:pPr>
      <w:r>
        <w:t xml:space="preserve">Understand the business, technology, user experience, knowledge, data, security, integration, and operational dimensions of the vision.</w:t>
      </w:r>
    </w:p>
    <w:p>
      <w:pPr>
        <w:pStyle w:val="ListParagraph"/>
        <w:numPr>
          <w:ilvl w:val="0"/>
          <w:numId w:val="1"/>
        </w:numPr>
        <w:spacing w:after="90" w:line="264"/>
      </w:pPr>
      <w:r>
        <w:t xml:space="preserve">Understand which future capabilities are roadmap items versus Phase 1 commitments.</w:t>
      </w:r>
    </w:p>
    <w:p>
      <w:pPr>
        <w:pStyle w:val="ListParagraph"/>
        <w:numPr>
          <w:ilvl w:val="0"/>
          <w:numId w:val="1"/>
        </w:numPr>
        <w:spacing w:after="90" w:line="264"/>
      </w:pPr>
      <w:r>
        <w:t xml:space="preserve">Be able to evaluate any engineering decision against the Engineering Alignment questions.</w:t>
      </w:r>
    </w:p>
    <w:p>
      <w:pPr>
        <w:pStyle w:val="Heading1"/>
        <w:pBdr>
          <w:bottom w:val="single" w:color="C6D2E0" w:sz="4" w:space="4"/>
        </w:pBdr>
        <w:spacing w:after="140" w:before="360"/>
      </w:pPr>
      <w:r>
        <w:rPr>
          <w:b/>
          <w:bCs/>
          <w:color w:val="4A6FA5"/>
          <w:sz w:val="26"/>
          <w:szCs w:val="26"/>
        </w:rPr>
        <w:t xml:space="preserve">4.1  </w:t>
      </w:r>
      <w:r>
        <w:rPr>
          <w:b/>
          <w:bCs/>
          <w:color w:val="1F3864"/>
          <w:sz w:val="26"/>
          <w:szCs w:val="26"/>
        </w:rPr>
        <w:t xml:space="preserve">Purpose of the Solution Vision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the Solution Vision as the primary evaluative reference for engineering decisions.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scope, prioritization, and technical trade-offs anchored to a single long-term direction.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Used continuously, not only at project kickoff, to validate that deliverables serve the vision.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decision-making across the full, multi-year engineering lifecycle.</w:t>
            </w:r>
          </w:p>
        </w:tc>
      </w:tr>
    </w:tbl>
    <w:p>
      <w:pPr>
        <w:spacing w:after="160"/>
      </w:pPr>
    </w:p>
    <w:p>
      <w:pPr>
        <w:spacing w:after="150" w:line="276"/>
        <w:jc w:val="both"/>
      </w:pPr>
      <w:r>
        <w:t xml:space="preserve">The Solution Vision defines the future state that this engineering initiative is intended to achieve. It establishes the long-term direction of the platform, ensuring that every architectural decision, software component, integration, workflow, and user experience contributes toward a unified enterprise ecosystem that advances the strategic objectives of the SAPZ Programme.</w:t>
      </w:r>
    </w:p>
    <w:p>
      <w:pPr>
        <w:spacing w:after="150" w:line="276"/>
        <w:jc w:val="both"/>
      </w:pPr>
      <w:r>
        <w:t xml:space="preserve">This vision is intended to guide all engineering activities throughout the project lifecycle. It should be used as the primary reference when evaluating alternative technical solutions, prioritizing implementation decisions, managing scope, and assessing the long-term sustainability of the platform.</w:t>
      </w:r>
    </w:p>
    <w:p>
      <w:pPr>
        <w:spacing w:after="150" w:line="276"/>
        <w:jc w:val="both"/>
      </w:pPr>
      <w:r>
        <w:t xml:space="preserve">The engineering team shall continuously validate that every deliverable contributes to the realization of this vision.</w:t>
      </w:r>
    </w:p>
    <w:p>
      <w:pPr>
        <w:pStyle w:val="Heading1"/>
        <w:pBdr>
          <w:bottom w:val="single" w:color="C6D2E0" w:sz="4" w:space="4"/>
        </w:pBdr>
        <w:spacing w:after="140" w:before="360"/>
      </w:pPr>
      <w:r>
        <w:rPr>
          <w:b/>
          <w:bCs/>
          <w:color w:val="4A6FA5"/>
          <w:sz w:val="26"/>
          <w:szCs w:val="26"/>
        </w:rPr>
        <w:t xml:space="preserve">4.2  </w:t>
      </w:r>
      <w:r>
        <w:rPr>
          <w:b/>
          <w:bCs/>
          <w:color w:val="1F3864"/>
          <w:sz w:val="26"/>
          <w:szCs w:val="26"/>
        </w:rPr>
        <w:t xml:space="preserve">Vision Statement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State, in a single authoritative statement, what the platform must become.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every stakeholder one sentence to hold the entire engineering programme accountable to.</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chapter in this handbook operationalizes some part of this statement.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shared, memorable articulation of the platform's ultimate purpose.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1FB" w:sz="2"/>
              <w:left w:val="single" w:color="1F3864" w:sz="24"/>
              <w:bottom w:val="single" w:color="EAF1FB" w:sz="2"/>
              <w:right w:val="single" w:color="EAF1FB" w:sz="2"/>
            </w:tcBorders>
            <w:shd w:fill="EAF1FB" w:val="clear"/>
            <w:tcMar>
              <w:top w:type="dxa" w:w="120"/>
              <w:left w:type="dxa" w:w="180"/>
              <w:bottom w:type="dxa" w:w="120"/>
              <w:right w:type="dxa" w:w="180"/>
            </w:tcMar>
          </w:tcPr>
          <w:p>
            <w:pPr>
              <w:spacing w:after="60"/>
            </w:pPr>
            <w:r>
              <w:rPr>
                <w:b/>
                <w:bCs/>
                <w:color w:val="1F3864"/>
                <w:sz w:val="17"/>
                <w:szCs w:val="17"/>
              </w:rPr>
              <w:t xml:space="preserve">ARCHITECTURE DECISION</w:t>
            </w:r>
          </w:p>
          <w:p>
            <w:pPr>
              <w:spacing w:after="0"/>
            </w:pPr>
            <w:r>
              <w:rPr>
                <w:sz w:val="18"/>
                <w:szCs w:val="18"/>
              </w:rPr>
              <w:t xml:space="preserve">To engineer a secure, scalable, intelligent, and user-centric Enterprise System Management Platform and Central Knowledge Repository that becomes the digital operating environment for the SAPZ Programme — enabling seamless programme execution, institutional knowledge preservation, data-driven decision-making, transparent governance, and sustainable digital transformation across all participating stakeholders. The platform shall serve as the authoritative source of programme information, supporting every stage of the programme lifecycle while fostering collaboration, accountability, operational excellence, and continuous organizational learning.</w:t>
            </w:r>
          </w:p>
        </w:tc>
      </w:tr>
    </w:tbl>
    <w:p>
      <w:pPr>
        <w:pStyle w:val="Heading1"/>
        <w:pBdr>
          <w:bottom w:val="single" w:color="C6D2E0" w:sz="4" w:space="4"/>
        </w:pBdr>
        <w:spacing w:after="140" w:before="360"/>
      </w:pPr>
      <w:r>
        <w:rPr>
          <w:b/>
          <w:bCs/>
          <w:color w:val="4A6FA5"/>
          <w:sz w:val="26"/>
          <w:szCs w:val="26"/>
        </w:rPr>
        <w:t xml:space="preserve">4.3  </w:t>
      </w:r>
      <w:r>
        <w:rPr>
          <w:b/>
          <w:bCs/>
          <w:color w:val="1F3864"/>
          <w:sz w:val="26"/>
          <w:szCs w:val="26"/>
        </w:rPr>
        <w:t xml:space="preserve">Strategic Vision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Describe the platform's evolution from a project management tool into a full Digital Programme Management Ecosystem.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Sets ambition beyond a conventional application — an integrated enterprise capability.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Architecture must be designed for ecosystem-scale integration from the outset, not retrofitted later.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cohesive, integrated environment replacing today's fragmented systems.</w:t>
            </w:r>
          </w:p>
        </w:tc>
      </w:tr>
    </w:tbl>
    <w:p>
      <w:pPr>
        <w:spacing w:after="160"/>
      </w:pPr>
    </w:p>
    <w:p>
      <w:pPr>
        <w:spacing w:after="150" w:line="276"/>
        <w:jc w:val="both"/>
      </w:pPr>
      <w:r>
        <w:t xml:space="preserve">The completed solution shall evolve beyond a conventional project management application into a comprehensive Digital Programme Management Ecosystem that integrates people, processes, information, and technology within a unified enterprise architecture.</w:t>
      </w:r>
    </w:p>
    <w:p>
      <w:pPr>
        <w:spacing w:after="150" w:line="276"/>
        <w:jc w:val="both"/>
      </w:pPr>
      <w:r>
        <w:t xml:space="preserve">The platform shall provide:</w:t>
      </w:r>
    </w:p>
    <w:p>
      <w:pPr>
        <w:pStyle w:val="ListParagraph"/>
        <w:numPr>
          <w:ilvl w:val="0"/>
          <w:numId w:val="1"/>
        </w:numPr>
        <w:spacing w:after="90" w:line="264"/>
      </w:pPr>
      <w:r>
        <w:t xml:space="preserve">A single source of truth for programme information.</w:t>
      </w:r>
    </w:p>
    <w:p>
      <w:pPr>
        <w:pStyle w:val="ListParagraph"/>
        <w:numPr>
          <w:ilvl w:val="0"/>
          <w:numId w:val="1"/>
        </w:numPr>
        <w:spacing w:after="90" w:line="264"/>
      </w:pPr>
      <w:r>
        <w:t xml:space="preserve">A unified workspace for all programme stakeholders.</w:t>
      </w:r>
    </w:p>
    <w:p>
      <w:pPr>
        <w:pStyle w:val="ListParagraph"/>
        <w:numPr>
          <w:ilvl w:val="0"/>
          <w:numId w:val="1"/>
        </w:numPr>
        <w:spacing w:after="90" w:line="264"/>
      </w:pPr>
      <w:r>
        <w:t xml:space="preserve">Standardized workflows across business functions.</w:t>
      </w:r>
    </w:p>
    <w:p>
      <w:pPr>
        <w:pStyle w:val="ListParagraph"/>
        <w:numPr>
          <w:ilvl w:val="0"/>
          <w:numId w:val="1"/>
        </w:numPr>
        <w:spacing w:after="90" w:line="264"/>
      </w:pPr>
      <w:r>
        <w:t xml:space="preserve">Enterprise-wide knowledge management capabilities.</w:t>
      </w:r>
    </w:p>
    <w:p>
      <w:pPr>
        <w:pStyle w:val="ListParagraph"/>
        <w:numPr>
          <w:ilvl w:val="0"/>
          <w:numId w:val="1"/>
        </w:numPr>
        <w:spacing w:after="90" w:line="264"/>
      </w:pPr>
      <w:r>
        <w:t xml:space="preserve">Real-time operational visibility.</w:t>
      </w:r>
    </w:p>
    <w:p>
      <w:pPr>
        <w:pStyle w:val="ListParagraph"/>
        <w:numPr>
          <w:ilvl w:val="0"/>
          <w:numId w:val="1"/>
        </w:numPr>
        <w:spacing w:after="90" w:line="264"/>
      </w:pPr>
      <w:r>
        <w:t xml:space="preserve">Secure collaboration and information sharing.</w:t>
      </w:r>
    </w:p>
    <w:p>
      <w:pPr>
        <w:pStyle w:val="ListParagraph"/>
        <w:numPr>
          <w:ilvl w:val="0"/>
          <w:numId w:val="1"/>
        </w:numPr>
        <w:spacing w:after="90" w:line="264"/>
      </w:pPr>
      <w:r>
        <w:t xml:space="preserve">Actionable analytics for executive decision-making.</w:t>
      </w:r>
    </w:p>
    <w:p>
      <w:pPr>
        <w:pStyle w:val="ListParagraph"/>
        <w:numPr>
          <w:ilvl w:val="0"/>
          <w:numId w:val="1"/>
        </w:numPr>
        <w:spacing w:after="90" w:line="264"/>
      </w:pPr>
      <w:r>
        <w:t xml:space="preserve">A foundation for future digital innovation.</w:t>
      </w:r>
    </w:p>
    <w:p>
      <w:pPr>
        <w:spacing w:after="150" w:line="276"/>
        <w:jc w:val="both"/>
      </w:pPr>
      <w:r>
        <w:t xml:space="preserve">The solution shall eliminate fragmented systems and replace them with a cohesive, integrated environment that improves efficiency, consistency, transparency, and institutional resilience.</w:t>
      </w:r>
    </w:p>
    <w:p>
      <w:pPr>
        <w:pStyle w:val="Heading1"/>
        <w:pBdr>
          <w:bottom w:val="single" w:color="C6D2E0" w:sz="4" w:space="4"/>
        </w:pBdr>
        <w:spacing w:after="140" w:before="360"/>
      </w:pPr>
      <w:r>
        <w:rPr>
          <w:b/>
          <w:bCs/>
          <w:color w:val="4A6FA5"/>
          <w:sz w:val="26"/>
          <w:szCs w:val="26"/>
        </w:rPr>
        <w:t xml:space="preserve">4.4  </w:t>
      </w:r>
      <w:r>
        <w:rPr>
          <w:b/>
          <w:bCs/>
          <w:color w:val="1F3864"/>
          <w:sz w:val="26"/>
          <w:szCs w:val="26"/>
        </w:rPr>
        <w:t xml:space="preserve">Business Vision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Describe how the SAPZ Programme's business operations will be transformed.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Translates platform capability into organizational change the client will actually experience.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dimension below corresponds to specific modules elaborated in later chapters.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business environment measurably different from today's fragmented operating model.</w:t>
            </w:r>
          </w:p>
        </w:tc>
      </w:tr>
    </w:tbl>
    <w:p>
      <w:pPr>
        <w:spacing w:after="160"/>
      </w:pPr>
    </w:p>
    <w:p>
      <w:pPr>
        <w:spacing w:after="150" w:line="276"/>
        <w:jc w:val="both"/>
      </w:pPr>
      <w:r>
        <w:t xml:space="preserve">The platform shall transform how the SAPZ Programme is planned, managed, monitored, and continuously improved. The future business environment should be characterized by: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Dimension</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6"/>
                <w:szCs w:val="16"/>
              </w:rPr>
              <w:t xml:space="preserve">Unified Programme Operations</w:t>
            </w:r>
          </w:p>
        </w:tc>
        <w:tc>
          <w:tcPr>
            <w:tcW w:type="dxa" w:w="7459"/>
            <w:tcMar>
              <w:top w:type="dxa" w:w="70"/>
              <w:left w:type="dxa" w:w="110"/>
              <w:bottom w:type="dxa" w:w="70"/>
              <w:right w:type="dxa" w:w="110"/>
            </w:tcMar>
            <w:vAlign w:val="top"/>
          </w:tcPr>
          <w:p>
            <w:r>
              <w:rPr>
                <w:b w:val="false"/>
                <w:bCs w:val="false"/>
                <w:color w:val="1A1A1A"/>
                <w:sz w:val="16"/>
                <w:szCs w:val="16"/>
              </w:rPr>
              <w:t xml:space="preserve">All programme activities — including planning, task management, approvals, reporting, document management, risk tracking, and collaboration — will be managed within a single enterprise platform.</w:t>
            </w:r>
          </w:p>
        </w:tc>
      </w:tr>
      <w:tr>
        <w:tc>
          <w:tcPr>
            <w:tcW w:type="dxa" w:w="2621"/>
            <w:tcMar>
              <w:top w:type="dxa" w:w="70"/>
              <w:left w:type="dxa" w:w="110"/>
              <w:bottom w:type="dxa" w:w="70"/>
              <w:right w:type="dxa" w:w="110"/>
            </w:tcMar>
            <w:vAlign w:val="top"/>
          </w:tcPr>
          <w:p>
            <w:r>
              <w:rPr>
                <w:b/>
                <w:bCs/>
                <w:color w:val="1A1A1A"/>
                <w:sz w:val="16"/>
                <w:szCs w:val="16"/>
              </w:rPr>
              <w:t xml:space="preserve">Digital Governance</w:t>
            </w:r>
          </w:p>
        </w:tc>
        <w:tc>
          <w:tcPr>
            <w:tcW w:type="dxa" w:w="7459"/>
            <w:tcMar>
              <w:top w:type="dxa" w:w="70"/>
              <w:left w:type="dxa" w:w="110"/>
              <w:bottom w:type="dxa" w:w="70"/>
              <w:right w:type="dxa" w:w="110"/>
            </w:tcMar>
            <w:vAlign w:val="top"/>
          </w:tcPr>
          <w:p>
            <w:r>
              <w:rPr>
                <w:b w:val="false"/>
                <w:bCs w:val="false"/>
                <w:color w:val="1A1A1A"/>
                <w:sz w:val="16"/>
                <w:szCs w:val="16"/>
              </w:rPr>
              <w:t xml:space="preserve">Governance processes will become transparent, auditable, and measurable through standardized workflows, approval chains, activity tracking, and executive oversight.</w:t>
            </w:r>
          </w:p>
        </w:tc>
      </w:tr>
      <w:tr>
        <w:tc>
          <w:tcPr>
            <w:tcW w:type="dxa" w:w="2621"/>
            <w:tcMar>
              <w:top w:type="dxa" w:w="70"/>
              <w:left w:type="dxa" w:w="110"/>
              <w:bottom w:type="dxa" w:w="70"/>
              <w:right w:type="dxa" w:w="110"/>
            </w:tcMar>
            <w:vAlign w:val="top"/>
          </w:tcPr>
          <w:p>
            <w:r>
              <w:rPr>
                <w:b/>
                <w:bCs/>
                <w:color w:val="1A1A1A"/>
                <w:sz w:val="16"/>
                <w:szCs w:val="16"/>
              </w:rPr>
              <w:t xml:space="preserve">Knowledge-Driven Organization</w:t>
            </w:r>
          </w:p>
        </w:tc>
        <w:tc>
          <w:tcPr>
            <w:tcW w:type="dxa" w:w="7459"/>
            <w:tcMar>
              <w:top w:type="dxa" w:w="70"/>
              <w:left w:type="dxa" w:w="110"/>
              <w:bottom w:type="dxa" w:w="70"/>
              <w:right w:type="dxa" w:w="110"/>
            </w:tcMar>
            <w:vAlign w:val="top"/>
          </w:tcPr>
          <w:p>
            <w:r>
              <w:rPr>
                <w:b w:val="false"/>
                <w:bCs w:val="false"/>
                <w:color w:val="1A1A1A"/>
                <w:sz w:val="16"/>
                <w:szCs w:val="16"/>
              </w:rPr>
              <w:t xml:space="preserve">Institutional knowledge will no longer reside in individual staff members or isolated storage locations. Instead, knowledge will become a strategic organizational asset that is captured, curated, searchable, reusable, and continuously enriched.</w:t>
            </w:r>
          </w:p>
        </w:tc>
      </w:tr>
      <w:tr>
        <w:tc>
          <w:tcPr>
            <w:tcW w:type="dxa" w:w="2621"/>
            <w:tcMar>
              <w:top w:type="dxa" w:w="70"/>
              <w:left w:type="dxa" w:w="110"/>
              <w:bottom w:type="dxa" w:w="70"/>
              <w:right w:type="dxa" w:w="110"/>
            </w:tcMar>
            <w:vAlign w:val="top"/>
          </w:tcPr>
          <w:p>
            <w:r>
              <w:rPr>
                <w:b/>
                <w:bCs/>
                <w:color w:val="1A1A1A"/>
                <w:sz w:val="16"/>
                <w:szCs w:val="16"/>
              </w:rPr>
              <w:t xml:space="preserve">Collaborative Working Environment</w:t>
            </w:r>
          </w:p>
        </w:tc>
        <w:tc>
          <w:tcPr>
            <w:tcW w:type="dxa" w:w="7459"/>
            <w:tcMar>
              <w:top w:type="dxa" w:w="70"/>
              <w:left w:type="dxa" w:w="110"/>
              <w:bottom w:type="dxa" w:w="70"/>
              <w:right w:type="dxa" w:w="110"/>
            </w:tcMar>
            <w:vAlign w:val="top"/>
          </w:tcPr>
          <w:p>
            <w:r>
              <w:rPr>
                <w:b w:val="false"/>
                <w:bCs w:val="false"/>
                <w:color w:val="1A1A1A"/>
                <w:sz w:val="16"/>
                <w:szCs w:val="16"/>
              </w:rPr>
              <w:t xml:space="preserve">Stakeholders across federal institutions, state governments, consultants, implementing partners, and development partners will collaborate within a common digital workspace, reducing communication barriers and improving coordination.</w:t>
            </w:r>
          </w:p>
        </w:tc>
      </w:tr>
      <w:tr>
        <w:tc>
          <w:tcPr>
            <w:tcW w:type="dxa" w:w="2621"/>
            <w:tcMar>
              <w:top w:type="dxa" w:w="70"/>
              <w:left w:type="dxa" w:w="110"/>
              <w:bottom w:type="dxa" w:w="70"/>
              <w:right w:type="dxa" w:w="110"/>
            </w:tcMar>
            <w:vAlign w:val="top"/>
          </w:tcPr>
          <w:p>
            <w:r>
              <w:rPr>
                <w:b/>
                <w:bCs/>
                <w:color w:val="1A1A1A"/>
                <w:sz w:val="16"/>
                <w:szCs w:val="16"/>
              </w:rPr>
              <w:t xml:space="preserve">Data-Informed Decision-Making</w:t>
            </w:r>
          </w:p>
        </w:tc>
        <w:tc>
          <w:tcPr>
            <w:tcW w:type="dxa" w:w="7459"/>
            <w:tcMar>
              <w:top w:type="dxa" w:w="70"/>
              <w:left w:type="dxa" w:w="110"/>
              <w:bottom w:type="dxa" w:w="70"/>
              <w:right w:type="dxa" w:w="110"/>
            </w:tcMar>
            <w:vAlign w:val="top"/>
          </w:tcPr>
          <w:p>
            <w:r>
              <w:rPr>
                <w:b w:val="false"/>
                <w:bCs w:val="false"/>
                <w:color w:val="1A1A1A"/>
                <w:sz w:val="16"/>
                <w:szCs w:val="16"/>
              </w:rPr>
              <w:t xml:space="preserve">Programme leadership will have immediate access to reliable dashboards, reports, KPIs, and performance indicators, enabling proactive management rather than reactive reporting.</w:t>
            </w:r>
          </w:p>
        </w:tc>
      </w:tr>
    </w:tbl>
    <w:p>
      <w:pPr>
        <w:pStyle w:val="Heading1"/>
        <w:pBdr>
          <w:bottom w:val="single" w:color="C6D2E0" w:sz="4" w:space="4"/>
        </w:pBdr>
        <w:spacing w:after="140" w:before="360"/>
      </w:pPr>
      <w:r>
        <w:rPr>
          <w:b/>
          <w:bCs/>
          <w:color w:val="4A6FA5"/>
          <w:sz w:val="26"/>
          <w:szCs w:val="26"/>
        </w:rPr>
        <w:t xml:space="preserve">4.5  </w:t>
      </w:r>
      <w:r>
        <w:rPr>
          <w:b/>
          <w:bCs/>
          <w:color w:val="1F3864"/>
          <w:sz w:val="26"/>
          <w:szCs w:val="26"/>
        </w:rPr>
        <w:t xml:space="preserve">Technology Vision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technology principles the platform is engineered upon.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programme from vendor lock-in and technical obsolescence.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Elaborated fully in Chapter 7, Technology Stack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modern, interoperable, future-ready technology foundation.</w:t>
            </w:r>
          </w:p>
        </w:tc>
      </w:tr>
    </w:tbl>
    <w:p>
      <w:pPr>
        <w:spacing w:after="160"/>
      </w:pPr>
    </w:p>
    <w:p>
      <w:pPr>
        <w:spacing w:after="150" w:line="276"/>
        <w:jc w:val="both"/>
      </w:pPr>
      <w:r>
        <w:t xml:space="preserve">The solution shall be engineered as a modern enterprise platform built upon the following technology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6"/>
                <w:szCs w:val="16"/>
              </w:rPr>
              <w:t xml:space="preserve">API-First Architecture</w:t>
            </w:r>
          </w:p>
        </w:tc>
        <w:tc>
          <w:tcPr>
            <w:tcW w:type="dxa" w:w="7459"/>
            <w:tcMar>
              <w:top w:type="dxa" w:w="70"/>
              <w:left w:type="dxa" w:w="110"/>
              <w:bottom w:type="dxa" w:w="70"/>
              <w:right w:type="dxa" w:w="110"/>
            </w:tcMar>
            <w:vAlign w:val="top"/>
          </w:tcPr>
          <w:p>
            <w:r>
              <w:rPr>
                <w:b w:val="false"/>
                <w:bCs w:val="false"/>
                <w:color w:val="1A1A1A"/>
                <w:sz w:val="16"/>
                <w:szCs w:val="16"/>
              </w:rPr>
              <w:t xml:space="preserve">Every business capability shall be exposed through secure, documented APIs, enabling interoperability with current and future systems.</w:t>
            </w:r>
          </w:p>
        </w:tc>
      </w:tr>
      <w:tr>
        <w:tc>
          <w:tcPr>
            <w:tcW w:type="dxa" w:w="2621"/>
            <w:tcMar>
              <w:top w:type="dxa" w:w="70"/>
              <w:left w:type="dxa" w:w="110"/>
              <w:bottom w:type="dxa" w:w="70"/>
              <w:right w:type="dxa" w:w="110"/>
            </w:tcMar>
            <w:vAlign w:val="top"/>
          </w:tcPr>
          <w:p>
            <w:r>
              <w:rPr>
                <w:b/>
                <w:bCs/>
                <w:color w:val="1A1A1A"/>
                <w:sz w:val="16"/>
                <w:szCs w:val="16"/>
              </w:rPr>
              <w:t xml:space="preserve">Modular Enterprise Architecture</w:t>
            </w:r>
          </w:p>
        </w:tc>
        <w:tc>
          <w:tcPr>
            <w:tcW w:type="dxa" w:w="7459"/>
            <w:tcMar>
              <w:top w:type="dxa" w:w="70"/>
              <w:left w:type="dxa" w:w="110"/>
              <w:bottom w:type="dxa" w:w="70"/>
              <w:right w:type="dxa" w:w="110"/>
            </w:tcMar>
            <w:vAlign w:val="top"/>
          </w:tcPr>
          <w:p>
            <w:r>
              <w:rPr>
                <w:b w:val="false"/>
                <w:bCs w:val="false"/>
                <w:color w:val="1A1A1A"/>
                <w:sz w:val="16"/>
                <w:szCs w:val="16"/>
              </w:rPr>
              <w:t xml:space="preserve">Business capabilities shall be organized into independent yet integrated modules that can evolve without disrupting the overall platform.</w:t>
            </w:r>
          </w:p>
        </w:tc>
      </w:tr>
      <w:tr>
        <w:tc>
          <w:tcPr>
            <w:tcW w:type="dxa" w:w="2621"/>
            <w:tcMar>
              <w:top w:type="dxa" w:w="70"/>
              <w:left w:type="dxa" w:w="110"/>
              <w:bottom w:type="dxa" w:w="70"/>
              <w:right w:type="dxa" w:w="110"/>
            </w:tcMar>
            <w:vAlign w:val="top"/>
          </w:tcPr>
          <w:p>
            <w:r>
              <w:rPr>
                <w:b/>
                <w:bCs/>
                <w:color w:val="1A1A1A"/>
                <w:sz w:val="16"/>
                <w:szCs w:val="16"/>
              </w:rPr>
              <w:t xml:space="preserve">Cloud-Ready Infrastructure</w:t>
            </w:r>
          </w:p>
        </w:tc>
        <w:tc>
          <w:tcPr>
            <w:tcW w:type="dxa" w:w="7459"/>
            <w:tcMar>
              <w:top w:type="dxa" w:w="70"/>
              <w:left w:type="dxa" w:w="110"/>
              <w:bottom w:type="dxa" w:w="70"/>
              <w:right w:type="dxa" w:w="110"/>
            </w:tcMar>
            <w:vAlign w:val="top"/>
          </w:tcPr>
          <w:p>
            <w:r>
              <w:rPr>
                <w:b w:val="false"/>
                <w:bCs w:val="false"/>
                <w:color w:val="1A1A1A"/>
                <w:sz w:val="16"/>
                <w:szCs w:val="16"/>
              </w:rPr>
              <w:t xml:space="preserve">The architecture shall support deployment in on-premises, private cloud, public cloud, or hybrid environments with minimal modification.</w:t>
            </w:r>
          </w:p>
        </w:tc>
      </w:tr>
      <w:tr>
        <w:tc>
          <w:tcPr>
            <w:tcW w:type="dxa" w:w="2621"/>
            <w:tcMar>
              <w:top w:type="dxa" w:w="70"/>
              <w:left w:type="dxa" w:w="110"/>
              <w:bottom w:type="dxa" w:w="70"/>
              <w:right w:type="dxa" w:w="110"/>
            </w:tcMar>
            <w:vAlign w:val="top"/>
          </w:tcPr>
          <w:p>
            <w:r>
              <w:rPr>
                <w:b/>
                <w:bCs/>
                <w:color w:val="1A1A1A"/>
                <w:sz w:val="16"/>
                <w:szCs w:val="16"/>
              </w:rPr>
              <w:t xml:space="preserve">AI-Ready Foundation</w:t>
            </w:r>
          </w:p>
        </w:tc>
        <w:tc>
          <w:tcPr>
            <w:tcW w:type="dxa" w:w="7459"/>
            <w:tcMar>
              <w:top w:type="dxa" w:w="70"/>
              <w:left w:type="dxa" w:w="110"/>
              <w:bottom w:type="dxa" w:w="70"/>
              <w:right w:type="dxa" w:w="110"/>
            </w:tcMar>
            <w:vAlign w:val="top"/>
          </w:tcPr>
          <w:p>
            <w:r>
              <w:rPr>
                <w:b w:val="false"/>
                <w:bCs w:val="false"/>
                <w:color w:val="1A1A1A"/>
                <w:sz w:val="16"/>
                <w:szCs w:val="16"/>
              </w:rPr>
              <w:t xml:space="preserve">While the initial implementation shall remain within contractual scope, the architecture shall support future adoption of intelligent enterprise search, semantic knowledge discovery, AI-powered document summarization, natural language interaction, recommendation engines, predictive analytics, and decision support assistants.</w:t>
            </w:r>
          </w:p>
        </w:tc>
      </w:tr>
      <w:tr>
        <w:tc>
          <w:tcPr>
            <w:tcW w:type="dxa" w:w="2621"/>
            <w:tcMar>
              <w:top w:type="dxa" w:w="70"/>
              <w:left w:type="dxa" w:w="110"/>
              <w:bottom w:type="dxa" w:w="70"/>
              <w:right w:type="dxa" w:w="110"/>
            </w:tcMar>
            <w:vAlign w:val="top"/>
          </w:tcPr>
          <w:p>
            <w:r>
              <w:rPr>
                <w:b/>
                <w:bCs/>
                <w:color w:val="1A1A1A"/>
                <w:sz w:val="16"/>
                <w:szCs w:val="16"/>
              </w:rPr>
              <w:t xml:space="preserve">Open Standards</w:t>
            </w:r>
          </w:p>
        </w:tc>
        <w:tc>
          <w:tcPr>
            <w:tcW w:type="dxa" w:w="7459"/>
            <w:tcMar>
              <w:top w:type="dxa" w:w="70"/>
              <w:left w:type="dxa" w:w="110"/>
              <w:bottom w:type="dxa" w:w="70"/>
              <w:right w:type="dxa" w:w="110"/>
            </w:tcMar>
            <w:vAlign w:val="top"/>
          </w:tcPr>
          <w:p>
            <w:r>
              <w:rPr>
                <w:b w:val="false"/>
                <w:bCs w:val="false"/>
                <w:color w:val="1A1A1A"/>
                <w:sz w:val="16"/>
                <w:szCs w:val="16"/>
              </w:rPr>
              <w:t xml:space="preserve">The platform shall use open standards and well-supported technologies wherever practical to reduce vendor lock-in and facilitate long-term sustainability.</w:t>
            </w:r>
          </w:p>
        </w:tc>
      </w:tr>
    </w:tbl>
    <w:p>
      <w:pPr>
        <w:pStyle w:val="Heading1"/>
        <w:pBdr>
          <w:bottom w:val="single" w:color="C6D2E0" w:sz="4" w:space="4"/>
        </w:pBdr>
        <w:spacing w:after="140" w:before="360"/>
      </w:pPr>
      <w:r>
        <w:rPr>
          <w:b/>
          <w:bCs/>
          <w:color w:val="4A6FA5"/>
          <w:sz w:val="26"/>
          <w:szCs w:val="26"/>
        </w:rPr>
        <w:t xml:space="preserve">4.6  </w:t>
      </w:r>
      <w:r>
        <w:rPr>
          <w:b/>
          <w:bCs/>
          <w:color w:val="1F3864"/>
          <w:sz w:val="26"/>
          <w:szCs w:val="26"/>
        </w:rPr>
        <w:t xml:space="preserve">User Experience Vision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experience quality bar for all stakeholder groups.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Drives adoption — a platform people avoid using delivers no programme value regardless of feature completeness.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Elaborated fully in Chapter 10, Frontend Engineering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that helps users work, rather than requiring them to understand the technology.</w:t>
            </w:r>
          </w:p>
        </w:tc>
      </w:tr>
    </w:tbl>
    <w:p>
      <w:pPr>
        <w:spacing w:after="160"/>
      </w:pPr>
    </w:p>
    <w:p>
      <w:pPr>
        <w:spacing w:after="150" w:line="276"/>
        <w:jc w:val="both"/>
      </w:pPr>
      <w:r>
        <w:t xml:space="preserve">The platform shall provide a consistent, intuitive, and efficient user experience for all stakeholder groups regardless of technical expertise. The engineering team shall strive to create software that is:</w:t>
      </w:r>
    </w:p>
    <w:p>
      <w:pPr>
        <w:pStyle w:val="ListParagraph"/>
        <w:numPr>
          <w:ilvl w:val="0"/>
          <w:numId w:val="1"/>
        </w:numPr>
        <w:spacing w:after="90" w:line="264"/>
      </w:pPr>
      <w:r>
        <w:t xml:space="preserve">Easy to learn.</w:t>
      </w:r>
    </w:p>
    <w:p>
      <w:pPr>
        <w:pStyle w:val="ListParagraph"/>
        <w:numPr>
          <w:ilvl w:val="0"/>
          <w:numId w:val="1"/>
        </w:numPr>
        <w:spacing w:after="90" w:line="264"/>
      </w:pPr>
      <w:r>
        <w:t xml:space="preserve">Efficient to use.</w:t>
      </w:r>
    </w:p>
    <w:p>
      <w:pPr>
        <w:pStyle w:val="ListParagraph"/>
        <w:numPr>
          <w:ilvl w:val="0"/>
          <w:numId w:val="1"/>
        </w:numPr>
        <w:spacing w:after="90" w:line="264"/>
      </w:pPr>
      <w:r>
        <w:t xml:space="preserve">Accessible.</w:t>
      </w:r>
    </w:p>
    <w:p>
      <w:pPr>
        <w:pStyle w:val="ListParagraph"/>
        <w:numPr>
          <w:ilvl w:val="0"/>
          <w:numId w:val="1"/>
        </w:numPr>
        <w:spacing w:after="90" w:line="264"/>
      </w:pPr>
      <w:r>
        <w:t xml:space="preserve">Consistent.</w:t>
      </w:r>
    </w:p>
    <w:p>
      <w:pPr>
        <w:pStyle w:val="ListParagraph"/>
        <w:numPr>
          <w:ilvl w:val="0"/>
          <w:numId w:val="1"/>
        </w:numPr>
        <w:spacing w:after="90" w:line="264"/>
      </w:pPr>
      <w:r>
        <w:t xml:space="preserve">Responsive.</w:t>
      </w:r>
    </w:p>
    <w:p>
      <w:pPr>
        <w:pStyle w:val="ListParagraph"/>
        <w:numPr>
          <w:ilvl w:val="0"/>
          <w:numId w:val="1"/>
        </w:numPr>
        <w:spacing w:after="90" w:line="264"/>
      </w:pPr>
      <w:r>
        <w:t xml:space="preserve">Mobile-friendly.</w:t>
      </w:r>
    </w:p>
    <w:p>
      <w:pPr>
        <w:pStyle w:val="ListParagraph"/>
        <w:numPr>
          <w:ilvl w:val="0"/>
          <w:numId w:val="1"/>
        </w:numPr>
        <w:spacing w:after="90" w:line="264"/>
      </w:pPr>
      <w:r>
        <w:t xml:space="preserve">Inclusive.</w:t>
      </w:r>
    </w:p>
    <w:p>
      <w:pPr>
        <w:pStyle w:val="ListParagraph"/>
        <w:numPr>
          <w:ilvl w:val="0"/>
          <w:numId w:val="1"/>
        </w:numPr>
        <w:spacing w:after="90" w:line="264"/>
      </w:pPr>
      <w:r>
        <w:t xml:space="preserve">Visually clear.</w:t>
      </w:r>
    </w:p>
    <w:p>
      <w:pPr>
        <w:pStyle w:val="ListParagraph"/>
        <w:numPr>
          <w:ilvl w:val="0"/>
          <w:numId w:val="1"/>
        </w:numPr>
        <w:spacing w:after="90" w:line="264"/>
      </w:pPr>
      <w:r>
        <w:t xml:space="preserve">Task-oriented.</w:t>
      </w:r>
    </w:p>
    <w:p>
      <w:pPr>
        <w:spacing w:after="150" w:line="276"/>
        <w:jc w:val="both"/>
      </w:pPr>
      <w:r>
        <w:t xml:space="preserve">Every workflow shall minimize unnecessary clicks, eliminate redundant data entry, and reduce cognitive load.</w:t>
      </w:r>
    </w:p>
    <w:p>
      <w:pPr>
        <w:spacing w:after="150" w:line="276"/>
        <w:jc w:val="both"/>
      </w:pPr>
      <w:r>
        <w:t xml:space="preserve">The platform should help users accomplish their work rather than requiring them to understand the underlying technology.</w:t>
      </w:r>
    </w:p>
    <w:p>
      <w:pPr>
        <w:pStyle w:val="Heading1"/>
        <w:pBdr>
          <w:bottom w:val="single" w:color="C6D2E0" w:sz="4" w:space="4"/>
        </w:pBdr>
        <w:spacing w:after="140" w:before="360"/>
      </w:pPr>
      <w:r>
        <w:rPr>
          <w:b/>
          <w:bCs/>
          <w:color w:val="4A6FA5"/>
          <w:sz w:val="26"/>
          <w:szCs w:val="26"/>
        </w:rPr>
        <w:t xml:space="preserve">4.7  </w:t>
      </w:r>
      <w:r>
        <w:rPr>
          <w:b/>
          <w:bCs/>
          <w:color w:val="1F3864"/>
          <w:sz w:val="26"/>
          <w:szCs w:val="26"/>
        </w:rPr>
        <w:t xml:space="preserve">Knowledge Management Vision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the Central Knowledge Repository must become, not merely what it must store.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Converts knowledge from an individual liability into an organizational asset.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Knowledge management is architected as a core capability, not a bolt-on document store.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living institutional memory embedded in daily operations.</w:t>
            </w:r>
          </w:p>
        </w:tc>
      </w:tr>
    </w:tbl>
    <w:p>
      <w:pPr>
        <w:spacing w:after="160"/>
      </w:pPr>
    </w:p>
    <w:p>
      <w:pPr>
        <w:spacing w:after="150" w:line="276"/>
        <w:jc w:val="both"/>
      </w:pPr>
      <w:r>
        <w:t xml:space="preserve">Knowledge shall become one of the programme's most valuable strategic assets. The Central Knowledge Repository shall evolve into a living institutional memory that:</w:t>
      </w:r>
    </w:p>
    <w:p>
      <w:pPr>
        <w:pStyle w:val="ListParagraph"/>
        <w:numPr>
          <w:ilvl w:val="0"/>
          <w:numId w:val="1"/>
        </w:numPr>
        <w:spacing w:after="90" w:line="264"/>
      </w:pPr>
      <w:r>
        <w:t xml:space="preserve">Preserves programme knowledge.</w:t>
      </w:r>
    </w:p>
    <w:p>
      <w:pPr>
        <w:pStyle w:val="ListParagraph"/>
        <w:numPr>
          <w:ilvl w:val="0"/>
          <w:numId w:val="1"/>
        </w:numPr>
        <w:spacing w:after="90" w:line="264"/>
      </w:pPr>
      <w:r>
        <w:t xml:space="preserve">Captures lessons learned.</w:t>
      </w:r>
    </w:p>
    <w:p>
      <w:pPr>
        <w:pStyle w:val="ListParagraph"/>
        <w:numPr>
          <w:ilvl w:val="0"/>
          <w:numId w:val="1"/>
        </w:numPr>
        <w:spacing w:after="90" w:line="264"/>
      </w:pPr>
      <w:r>
        <w:t xml:space="preserve">Stores technical documentation.</w:t>
      </w:r>
    </w:p>
    <w:p>
      <w:pPr>
        <w:pStyle w:val="ListParagraph"/>
        <w:numPr>
          <w:ilvl w:val="0"/>
          <w:numId w:val="1"/>
        </w:numPr>
        <w:spacing w:after="90" w:line="264"/>
      </w:pPr>
      <w:r>
        <w:t xml:space="preserve">Maintains policies and procedures.</w:t>
      </w:r>
    </w:p>
    <w:p>
      <w:pPr>
        <w:pStyle w:val="ListParagraph"/>
        <w:numPr>
          <w:ilvl w:val="0"/>
          <w:numId w:val="1"/>
        </w:numPr>
        <w:spacing w:after="90" w:line="264"/>
      </w:pPr>
      <w:r>
        <w:t xml:space="preserve">Supports organizational learning.</w:t>
      </w:r>
    </w:p>
    <w:p>
      <w:pPr>
        <w:pStyle w:val="ListParagraph"/>
        <w:numPr>
          <w:ilvl w:val="0"/>
          <w:numId w:val="1"/>
        </w:numPr>
        <w:spacing w:after="90" w:line="264"/>
      </w:pPr>
      <w:r>
        <w:t xml:space="preserve">Facilitates knowledge sharing.</w:t>
      </w:r>
    </w:p>
    <w:p>
      <w:pPr>
        <w:pStyle w:val="ListParagraph"/>
        <w:numPr>
          <w:ilvl w:val="0"/>
          <w:numId w:val="1"/>
        </w:numPr>
        <w:spacing w:after="90" w:line="264"/>
      </w:pPr>
      <w:r>
        <w:t xml:space="preserve">Enables enterprise search.</w:t>
      </w:r>
    </w:p>
    <w:p>
      <w:pPr>
        <w:pStyle w:val="ListParagraph"/>
        <w:numPr>
          <w:ilvl w:val="0"/>
          <w:numId w:val="1"/>
        </w:numPr>
        <w:spacing w:after="90" w:line="264"/>
      </w:pPr>
      <w:r>
        <w:t xml:space="preserve">Encourages continuous improvement.</w:t>
      </w:r>
    </w:p>
    <w:p>
      <w:pPr>
        <w:spacing w:after="150" w:line="276"/>
        <w:jc w:val="both"/>
      </w:pPr>
      <w:r>
        <w:t xml:space="preserve">Knowledge management shall be embedded into daily programme operations rather than functioning as a separate administrative activity.</w:t>
      </w:r>
    </w:p>
    <w:p>
      <w:pPr>
        <w:pStyle w:val="Heading1"/>
        <w:pBdr>
          <w:bottom w:val="single" w:color="C6D2E0" w:sz="4" w:space="4"/>
        </w:pBdr>
        <w:spacing w:after="140" w:before="360"/>
      </w:pPr>
      <w:r>
        <w:rPr>
          <w:b/>
          <w:bCs/>
          <w:color w:val="4A6FA5"/>
          <w:sz w:val="26"/>
          <w:szCs w:val="26"/>
        </w:rPr>
        <w:t xml:space="preserve">4.8  </w:t>
      </w:r>
      <w:r>
        <w:rPr>
          <w:b/>
          <w:bCs/>
          <w:color w:val="1F3864"/>
          <w:sz w:val="26"/>
          <w:szCs w:val="26"/>
        </w:rPr>
        <w:t xml:space="preserve">Data Vision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trust and quality standard programme data must meet.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Makes data a strategic asset the organization can rely on, not a liability to be reconciled manually.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Elaborated fully in Chapter 11, Database Engineering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Trusted, high-quality data supporting evidence-based decision-making.</w:t>
            </w:r>
          </w:p>
        </w:tc>
      </w:tr>
    </w:tbl>
    <w:p>
      <w:pPr>
        <w:spacing w:after="160"/>
      </w:pPr>
    </w:p>
    <w:p>
      <w:pPr>
        <w:spacing w:after="150" w:line="276"/>
        <w:jc w:val="both"/>
      </w:pPr>
      <w:r>
        <w:t xml:space="preserve">The platform shall establish trusted, high-quality programme data that supports operational excellence and evidence-based decision-making. The engineering solution shall promote:</w:t>
      </w:r>
    </w:p>
    <w:p>
      <w:pPr>
        <w:pStyle w:val="ListParagraph"/>
        <w:numPr>
          <w:ilvl w:val="0"/>
          <w:numId w:val="1"/>
        </w:numPr>
        <w:spacing w:after="90" w:line="264"/>
      </w:pPr>
      <w:r>
        <w:t xml:space="preserve">Data integrity.</w:t>
      </w:r>
    </w:p>
    <w:p>
      <w:pPr>
        <w:pStyle w:val="ListParagraph"/>
        <w:numPr>
          <w:ilvl w:val="0"/>
          <w:numId w:val="1"/>
        </w:numPr>
        <w:spacing w:after="90" w:line="264"/>
      </w:pPr>
      <w:r>
        <w:t xml:space="preserve">Data consistency.</w:t>
      </w:r>
    </w:p>
    <w:p>
      <w:pPr>
        <w:pStyle w:val="ListParagraph"/>
        <w:numPr>
          <w:ilvl w:val="0"/>
          <w:numId w:val="1"/>
        </w:numPr>
        <w:spacing w:after="90" w:line="264"/>
      </w:pPr>
      <w:r>
        <w:t xml:space="preserve">Controlled data ownership.</w:t>
      </w:r>
    </w:p>
    <w:p>
      <w:pPr>
        <w:pStyle w:val="ListParagraph"/>
        <w:numPr>
          <w:ilvl w:val="0"/>
          <w:numId w:val="1"/>
        </w:numPr>
        <w:spacing w:after="90" w:line="264"/>
      </w:pPr>
      <w:r>
        <w:t xml:space="preserve">Master data management.</w:t>
      </w:r>
    </w:p>
    <w:p>
      <w:pPr>
        <w:pStyle w:val="ListParagraph"/>
        <w:numPr>
          <w:ilvl w:val="0"/>
          <w:numId w:val="1"/>
        </w:numPr>
        <w:spacing w:after="90" w:line="264"/>
      </w:pPr>
      <w:r>
        <w:t xml:space="preserve">Metadata governance.</w:t>
      </w:r>
    </w:p>
    <w:p>
      <w:pPr>
        <w:pStyle w:val="ListParagraph"/>
        <w:numPr>
          <w:ilvl w:val="0"/>
          <w:numId w:val="1"/>
        </w:numPr>
        <w:spacing w:after="90" w:line="264"/>
      </w:pPr>
      <w:r>
        <w:t xml:space="preserve">Auditability.</w:t>
      </w:r>
    </w:p>
    <w:p>
      <w:pPr>
        <w:pStyle w:val="ListParagraph"/>
        <w:numPr>
          <w:ilvl w:val="0"/>
          <w:numId w:val="1"/>
        </w:numPr>
        <w:spacing w:after="90" w:line="264"/>
      </w:pPr>
      <w:r>
        <w:t xml:space="preserve">Data lineage.</w:t>
      </w:r>
    </w:p>
    <w:p>
      <w:pPr>
        <w:pStyle w:val="ListParagraph"/>
        <w:numPr>
          <w:ilvl w:val="0"/>
          <w:numId w:val="1"/>
        </w:numPr>
        <w:spacing w:after="90" w:line="264"/>
      </w:pPr>
      <w:r>
        <w:t xml:space="preserve">Secure information sharing.</w:t>
      </w:r>
    </w:p>
    <w:p>
      <w:pPr>
        <w:spacing w:after="150" w:line="276"/>
        <w:jc w:val="both"/>
      </w:pPr>
      <w:r>
        <w:t xml:space="preserve">Programme data shall become a strategic organizational asset rather than isolated operational records.</w:t>
      </w:r>
    </w:p>
    <w:p>
      <w:pPr>
        <w:pStyle w:val="Heading1"/>
        <w:pBdr>
          <w:bottom w:val="single" w:color="C6D2E0" w:sz="4" w:space="4"/>
        </w:pBdr>
        <w:spacing w:after="140" w:before="360"/>
      </w:pPr>
      <w:r>
        <w:rPr>
          <w:b/>
          <w:bCs/>
          <w:color w:val="4A6FA5"/>
          <w:sz w:val="26"/>
          <w:szCs w:val="26"/>
        </w:rPr>
        <w:t xml:space="preserve">4.9  </w:t>
      </w:r>
      <w:r>
        <w:rPr>
          <w:b/>
          <w:bCs/>
          <w:color w:val="1F3864"/>
          <w:sz w:val="26"/>
          <w:szCs w:val="26"/>
        </w:rPr>
        <w:t xml:space="preserve">Security Vision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security as a foundational platform characteristic.</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sensitive programme and beneficiary information and the programme's institutional credibility.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Elaborated fully in Chapter 14, Security and Compliance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that is secure by design at every layer, not hardened retroactively.</w:t>
            </w:r>
          </w:p>
        </w:tc>
      </w:tr>
    </w:tbl>
    <w:p>
      <w:pPr>
        <w:spacing w:after="160"/>
      </w:pPr>
    </w:p>
    <w:p>
      <w:pPr>
        <w:spacing w:after="150" w:line="276"/>
        <w:jc w:val="both"/>
      </w:pPr>
      <w:r>
        <w:t xml:space="preserve">Security shall be a foundational characteristic of the platform rather than an afterthought. The engineering solution shall provide:</w:t>
      </w:r>
    </w:p>
    <w:p>
      <w:pPr>
        <w:pStyle w:val="ListParagraph"/>
        <w:numPr>
          <w:ilvl w:val="0"/>
          <w:numId w:val="1"/>
        </w:numPr>
        <w:spacing w:after="90" w:line="264"/>
      </w:pPr>
      <w:r>
        <w:t xml:space="preserve">Identity-first security.</w:t>
      </w:r>
    </w:p>
    <w:p>
      <w:pPr>
        <w:pStyle w:val="ListParagraph"/>
        <w:numPr>
          <w:ilvl w:val="0"/>
          <w:numId w:val="1"/>
        </w:numPr>
        <w:spacing w:after="90" w:line="264"/>
      </w:pPr>
      <w:r>
        <w:t xml:space="preserve">Role-Based Access Control (RBAC).</w:t>
      </w:r>
    </w:p>
    <w:p>
      <w:pPr>
        <w:pStyle w:val="ListParagraph"/>
        <w:numPr>
          <w:ilvl w:val="0"/>
          <w:numId w:val="1"/>
        </w:numPr>
        <w:spacing w:after="90" w:line="264"/>
      </w:pPr>
      <w:r>
        <w:t xml:space="preserve">Multi-factor authentication where appropriate.</w:t>
      </w:r>
    </w:p>
    <w:p>
      <w:pPr>
        <w:pStyle w:val="ListParagraph"/>
        <w:numPr>
          <w:ilvl w:val="0"/>
          <w:numId w:val="1"/>
        </w:numPr>
        <w:spacing w:after="90" w:line="264"/>
      </w:pPr>
      <w:r>
        <w:t xml:space="preserve">Encryption in transit and at rest.</w:t>
      </w:r>
    </w:p>
    <w:p>
      <w:pPr>
        <w:pStyle w:val="ListParagraph"/>
        <w:numPr>
          <w:ilvl w:val="0"/>
          <w:numId w:val="1"/>
        </w:numPr>
        <w:spacing w:after="90" w:line="264"/>
      </w:pPr>
      <w:r>
        <w:t xml:space="preserve">Comprehensive audit trails.</w:t>
      </w:r>
    </w:p>
    <w:p>
      <w:pPr>
        <w:pStyle w:val="ListParagraph"/>
        <w:numPr>
          <w:ilvl w:val="0"/>
          <w:numId w:val="1"/>
        </w:numPr>
        <w:spacing w:after="90" w:line="264"/>
      </w:pPr>
      <w:r>
        <w:t xml:space="preserve">Secure API communication.</w:t>
      </w:r>
    </w:p>
    <w:p>
      <w:pPr>
        <w:pStyle w:val="ListParagraph"/>
        <w:numPr>
          <w:ilvl w:val="0"/>
          <w:numId w:val="1"/>
        </w:numPr>
        <w:spacing w:after="90" w:line="264"/>
      </w:pPr>
      <w:r>
        <w:t xml:space="preserve">Least-privilege access.</w:t>
      </w:r>
    </w:p>
    <w:p>
      <w:pPr>
        <w:pStyle w:val="ListParagraph"/>
        <w:numPr>
          <w:ilvl w:val="0"/>
          <w:numId w:val="1"/>
        </w:numPr>
        <w:spacing w:after="90" w:line="264"/>
      </w:pPr>
      <w:r>
        <w:t xml:space="preserve">Secure configuration management.</w:t>
      </w:r>
    </w:p>
    <w:p>
      <w:pPr>
        <w:pStyle w:val="ListParagraph"/>
        <w:numPr>
          <w:ilvl w:val="0"/>
          <w:numId w:val="1"/>
        </w:numPr>
        <w:spacing w:after="90" w:line="264"/>
      </w:pPr>
      <w:r>
        <w:t xml:space="preserve">Continuous security monitoring.</w:t>
      </w:r>
    </w:p>
    <w:p>
      <w:pPr>
        <w:pStyle w:val="ListParagraph"/>
        <w:numPr>
          <w:ilvl w:val="0"/>
          <w:numId w:val="1"/>
        </w:numPr>
        <w:spacing w:after="90" w:line="264"/>
      </w:pPr>
      <w:r>
        <w:t xml:space="preserve">Compliance with applicable Nigerian data protection requirements and relevant international best practices.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SECURITY CONSIDERATION</w:t>
            </w:r>
          </w:p>
          <w:p>
            <w:pPr>
              <w:spacing w:after="0"/>
            </w:pPr>
            <w:r>
              <w:rPr>
                <w:sz w:val="18"/>
                <w:szCs w:val="18"/>
              </w:rPr>
              <w:t xml:space="preserve">Every engineering component shall be evaluated against secure-by-design principles throughout the development lifecycle — not only at a pre-release security review.</w:t>
            </w:r>
          </w:p>
        </w:tc>
      </w:tr>
    </w:tbl>
    <w:p>
      <w:pPr>
        <w:pStyle w:val="Heading1"/>
        <w:pBdr>
          <w:bottom w:val="single" w:color="C6D2E0" w:sz="4" w:space="4"/>
        </w:pBdr>
        <w:spacing w:after="140" w:before="360"/>
      </w:pPr>
      <w:r>
        <w:rPr>
          <w:b/>
          <w:bCs/>
          <w:color w:val="4A6FA5"/>
          <w:sz w:val="26"/>
          <w:szCs w:val="26"/>
        </w:rPr>
        <w:t xml:space="preserve">4.10  </w:t>
      </w:r>
      <w:r>
        <w:rPr>
          <w:b/>
          <w:bCs/>
          <w:color w:val="1F3864"/>
          <w:sz w:val="26"/>
          <w:szCs w:val="26"/>
        </w:rPr>
        <w:t xml:space="preserve">Integration Vision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platform's role as the programme's central digital hub with controlled external connectivity.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Positions the platform to extend to future systems without re-architecture.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Elaborated fully in Chapter 12, API Engineering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that integrates safely and predictably as programme needs evolve.</w:t>
            </w:r>
          </w:p>
        </w:tc>
      </w:tr>
    </w:tbl>
    <w:p>
      <w:pPr>
        <w:spacing w:after="160"/>
      </w:pPr>
    </w:p>
    <w:p>
      <w:pPr>
        <w:spacing w:after="150" w:line="276"/>
        <w:jc w:val="both"/>
      </w:pPr>
      <w:r>
        <w:t xml:space="preserve">The platform shall function as the central digital hub of the SAPZ Programme while remaining capable of integrating with external systems as programme needs evolve. The architecture should support integration with systems such as:</w:t>
      </w:r>
    </w:p>
    <w:p>
      <w:pPr>
        <w:pStyle w:val="ListParagraph"/>
        <w:numPr>
          <w:ilvl w:val="0"/>
          <w:numId w:val="1"/>
        </w:numPr>
        <w:spacing w:after="90" w:line="264"/>
      </w:pPr>
      <w:r>
        <w:t xml:space="preserve">Email and collaboration platforms.</w:t>
      </w:r>
    </w:p>
    <w:p>
      <w:pPr>
        <w:pStyle w:val="ListParagraph"/>
        <w:numPr>
          <w:ilvl w:val="0"/>
          <w:numId w:val="1"/>
        </w:numPr>
        <w:spacing w:after="90" w:line="264"/>
      </w:pPr>
      <w:r>
        <w:t xml:space="preserve">Identity and authentication providers.</w:t>
      </w:r>
    </w:p>
    <w:p>
      <w:pPr>
        <w:pStyle w:val="ListParagraph"/>
        <w:numPr>
          <w:ilvl w:val="0"/>
          <w:numId w:val="1"/>
        </w:numPr>
        <w:spacing w:after="90" w:line="264"/>
      </w:pPr>
      <w:r>
        <w:t xml:space="preserve">Financial management systems.</w:t>
      </w:r>
    </w:p>
    <w:p>
      <w:pPr>
        <w:pStyle w:val="ListParagraph"/>
        <w:numPr>
          <w:ilvl w:val="0"/>
          <w:numId w:val="1"/>
        </w:numPr>
        <w:spacing w:after="90" w:line="264"/>
      </w:pPr>
      <w:r>
        <w:t xml:space="preserve">Monitoring and Evaluation (M&amp;E) systems.</w:t>
      </w:r>
    </w:p>
    <w:p>
      <w:pPr>
        <w:pStyle w:val="ListParagraph"/>
        <w:numPr>
          <w:ilvl w:val="0"/>
          <w:numId w:val="1"/>
        </w:numPr>
        <w:spacing w:after="90" w:line="264"/>
      </w:pPr>
      <w:r>
        <w:t xml:space="preserve">GIS and spatial information services.</w:t>
      </w:r>
    </w:p>
    <w:p>
      <w:pPr>
        <w:pStyle w:val="ListParagraph"/>
        <w:numPr>
          <w:ilvl w:val="0"/>
          <w:numId w:val="1"/>
        </w:numPr>
        <w:spacing w:after="90" w:line="264"/>
      </w:pPr>
      <w:r>
        <w:t xml:space="preserve">Business Intelligence platforms.</w:t>
      </w:r>
    </w:p>
    <w:p>
      <w:pPr>
        <w:pStyle w:val="ListParagraph"/>
        <w:numPr>
          <w:ilvl w:val="0"/>
          <w:numId w:val="1"/>
        </w:numPr>
        <w:spacing w:after="90" w:line="264"/>
      </w:pPr>
      <w:r>
        <w:t xml:space="preserve">Document management systems.</w:t>
      </w:r>
    </w:p>
    <w:p>
      <w:pPr>
        <w:pStyle w:val="ListParagraph"/>
        <w:numPr>
          <w:ilvl w:val="0"/>
          <w:numId w:val="1"/>
        </w:numPr>
        <w:spacing w:after="90" w:line="264"/>
      </w:pPr>
      <w:r>
        <w:t xml:space="preserve">Government digital services.</w:t>
      </w:r>
    </w:p>
    <w:p>
      <w:pPr>
        <w:pStyle w:val="ListParagraph"/>
        <w:numPr>
          <w:ilvl w:val="0"/>
          <w:numId w:val="1"/>
        </w:numPr>
        <w:spacing w:after="90" w:line="264"/>
      </w:pPr>
      <w:r>
        <w:t xml:space="preserve">Future enterprise applications.</w:t>
      </w:r>
    </w:p>
    <w:p>
      <w:pPr>
        <w:spacing w:after="150" w:line="276"/>
        <w:jc w:val="both"/>
      </w:pPr>
      <w:r>
        <w:t xml:space="preserve">Integration shall rely on secure, standards-based APIs and well-defined interface contracts.</w:t>
      </w:r>
    </w:p>
    <w:p>
      <w:pPr>
        <w:pStyle w:val="Heading1"/>
        <w:pBdr>
          <w:bottom w:val="single" w:color="C6D2E0" w:sz="4" w:space="4"/>
        </w:pBdr>
        <w:spacing w:after="140" w:before="360"/>
      </w:pPr>
      <w:r>
        <w:rPr>
          <w:b/>
          <w:bCs/>
          <w:color w:val="4A6FA5"/>
          <w:sz w:val="26"/>
          <w:szCs w:val="26"/>
        </w:rPr>
        <w:t xml:space="preserve">4.11  </w:t>
      </w:r>
      <w:r>
        <w:rPr>
          <w:b/>
          <w:bCs/>
          <w:color w:val="1F3864"/>
          <w:sz w:val="26"/>
          <w:szCs w:val="26"/>
        </w:rPr>
        <w:t xml:space="preserve">Operational Vision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operational reliability standard the platform must sustain once live.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programme continuity — an unreliable platform undermines the governance it is meant to strengthen.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Elaborated fully in Chapter 15, DevSecOps and Infrastructure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Stable, low-friction day-to-day operations.</w:t>
            </w:r>
          </w:p>
        </w:tc>
      </w:tr>
    </w:tbl>
    <w:p>
      <w:pPr>
        <w:spacing w:after="160"/>
      </w:pPr>
    </w:p>
    <w:p>
      <w:pPr>
        <w:spacing w:after="150" w:line="276"/>
        <w:jc w:val="both"/>
      </w:pPr>
      <w:r>
        <w:t xml:space="preserve">The completed platform shall support stable day-to-day programme operations through:</w:t>
      </w:r>
    </w:p>
    <w:p>
      <w:pPr>
        <w:pStyle w:val="ListParagraph"/>
        <w:numPr>
          <w:ilvl w:val="0"/>
          <w:numId w:val="1"/>
        </w:numPr>
        <w:spacing w:after="90" w:line="264"/>
      </w:pPr>
      <w:r>
        <w:t xml:space="preserve">High availability.</w:t>
      </w:r>
    </w:p>
    <w:p>
      <w:pPr>
        <w:pStyle w:val="ListParagraph"/>
        <w:numPr>
          <w:ilvl w:val="0"/>
          <w:numId w:val="1"/>
        </w:numPr>
        <w:spacing w:after="90" w:line="264"/>
      </w:pPr>
      <w:r>
        <w:t xml:space="preserve">Reliable performance.</w:t>
      </w:r>
    </w:p>
    <w:p>
      <w:pPr>
        <w:pStyle w:val="ListParagraph"/>
        <w:numPr>
          <w:ilvl w:val="0"/>
          <w:numId w:val="1"/>
        </w:numPr>
        <w:spacing w:after="90" w:line="264"/>
      </w:pPr>
      <w:r>
        <w:t xml:space="preserve">Comprehensive monitoring.</w:t>
      </w:r>
    </w:p>
    <w:p>
      <w:pPr>
        <w:pStyle w:val="ListParagraph"/>
        <w:numPr>
          <w:ilvl w:val="0"/>
          <w:numId w:val="1"/>
        </w:numPr>
        <w:spacing w:after="90" w:line="264"/>
      </w:pPr>
      <w:r>
        <w:t xml:space="preserve">Automated alerting.</w:t>
      </w:r>
    </w:p>
    <w:p>
      <w:pPr>
        <w:pStyle w:val="ListParagraph"/>
        <w:numPr>
          <w:ilvl w:val="0"/>
          <w:numId w:val="1"/>
        </w:numPr>
        <w:spacing w:after="90" w:line="264"/>
      </w:pPr>
      <w:r>
        <w:t xml:space="preserve">Structured backup and recovery.</w:t>
      </w:r>
    </w:p>
    <w:p>
      <w:pPr>
        <w:pStyle w:val="ListParagraph"/>
        <w:numPr>
          <w:ilvl w:val="0"/>
          <w:numId w:val="1"/>
        </w:numPr>
        <w:spacing w:after="90" w:line="264"/>
      </w:pPr>
      <w:r>
        <w:t xml:space="preserve">Operational dashboards.</w:t>
      </w:r>
    </w:p>
    <w:p>
      <w:pPr>
        <w:pStyle w:val="ListParagraph"/>
        <w:numPr>
          <w:ilvl w:val="0"/>
          <w:numId w:val="1"/>
        </w:numPr>
        <w:spacing w:after="90" w:line="264"/>
      </w:pPr>
      <w:r>
        <w:t xml:space="preserve">Incident management.</w:t>
      </w:r>
    </w:p>
    <w:p>
      <w:pPr>
        <w:pStyle w:val="ListParagraph"/>
        <w:numPr>
          <w:ilvl w:val="0"/>
          <w:numId w:val="1"/>
        </w:numPr>
        <w:spacing w:after="90" w:line="264"/>
      </w:pPr>
      <w:r>
        <w:t xml:space="preserve">Change management.</w:t>
      </w:r>
    </w:p>
    <w:p>
      <w:pPr>
        <w:pStyle w:val="ListParagraph"/>
        <w:numPr>
          <w:ilvl w:val="0"/>
          <w:numId w:val="1"/>
        </w:numPr>
        <w:spacing w:after="90" w:line="264"/>
      </w:pPr>
      <w:r>
        <w:t xml:space="preserve">Capacity planning.</w:t>
      </w:r>
    </w:p>
    <w:p>
      <w:pPr>
        <w:pStyle w:val="ListParagraph"/>
        <w:numPr>
          <w:ilvl w:val="0"/>
          <w:numId w:val="1"/>
        </w:numPr>
        <w:spacing w:after="90" w:line="264"/>
      </w:pPr>
      <w:r>
        <w:t xml:space="preserve">Preventive maintenance.</w:t>
      </w:r>
    </w:p>
    <w:p>
      <w:pPr>
        <w:spacing w:after="150" w:line="276"/>
        <w:jc w:val="both"/>
      </w:pPr>
      <w:r>
        <w:t xml:space="preserve">The engineering solution shall minimize operational complexity while maximizing reliability.</w:t>
      </w:r>
    </w:p>
    <w:p>
      <w:pPr>
        <w:pStyle w:val="Heading1"/>
        <w:pBdr>
          <w:bottom w:val="single" w:color="C6D2E0" w:sz="4" w:space="4"/>
        </w:pBdr>
        <w:spacing w:after="140" w:before="360"/>
      </w:pPr>
      <w:r>
        <w:rPr>
          <w:b/>
          <w:bCs/>
          <w:color w:val="4A6FA5"/>
          <w:sz w:val="26"/>
          <w:szCs w:val="26"/>
        </w:rPr>
        <w:t xml:space="preserve">4.12  </w:t>
      </w:r>
      <w:r>
        <w:rPr>
          <w:b/>
          <w:bCs/>
          <w:color w:val="1F3864"/>
          <w:sz w:val="26"/>
          <w:szCs w:val="26"/>
        </w:rPr>
        <w:t xml:space="preserve">Future Vision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Identify future capabilities the architecture should accommodate without committing them to Phase 1.</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long-term investment value without inflating current contractual scope.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Architectural accommodation, not implementation — a critical distinction for scope control.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that can grow into these capabilities without fundamental redesign.</w:t>
            </w:r>
          </w:p>
        </w:tc>
      </w:tr>
    </w:tbl>
    <w:p>
      <w:pPr>
        <w:spacing w:after="160"/>
      </w:pPr>
    </w:p>
    <w:p>
      <w:pPr>
        <w:spacing w:after="150" w:line="276"/>
        <w:jc w:val="both"/>
      </w:pPr>
      <w:r>
        <w:t xml:space="preserve">The architecture should remain adaptable to future programme growth and technological advancement. Potential future capabilities include: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1F3864" w:val="clear"/>
            <w:tcMar>
              <w:top w:type="dxa" w:w="70"/>
              <w:left w:type="dxa" w:w="110"/>
              <w:bottom w:type="dxa" w:w="70"/>
              <w:right w:type="dxa" w:w="110"/>
            </w:tcMar>
            <w:vAlign w:val="top"/>
          </w:tcPr>
          <w:p>
            <w:r>
              <w:rPr>
                <w:b/>
                <w:bCs/>
                <w:color w:val="FFFFFF"/>
                <w:sz w:val="17"/>
                <w:szCs w:val="17"/>
              </w:rPr>
              <w:t xml:space="preserve">Category</w:t>
            </w:r>
          </w:p>
        </w:tc>
        <w:tc>
          <w:tcPr>
            <w:tcW w:type="dxa" w:w="7258"/>
            <w:shd w:fill="1F3864" w:val="clear"/>
            <w:tcMar>
              <w:top w:type="dxa" w:w="70"/>
              <w:left w:type="dxa" w:w="110"/>
              <w:bottom w:type="dxa" w:w="70"/>
              <w:right w:type="dxa" w:w="110"/>
            </w:tcMar>
            <w:vAlign w:val="top"/>
          </w:tcPr>
          <w:p>
            <w:r>
              <w:rPr>
                <w:b/>
                <w:bCs/>
                <w:color w:val="FFFFFF"/>
                <w:sz w:val="17"/>
                <w:szCs w:val="17"/>
              </w:rPr>
              <w:t xml:space="preserve">Potential Future Capabilities</w:t>
            </w:r>
          </w:p>
        </w:tc>
      </w:tr>
      <w:tr>
        <w:tc>
          <w:tcPr>
            <w:tcW w:type="dxa" w:w="2822"/>
            <w:tcMar>
              <w:top w:type="dxa" w:w="70"/>
              <w:left w:type="dxa" w:w="110"/>
              <w:bottom w:type="dxa" w:w="70"/>
              <w:right w:type="dxa" w:w="110"/>
            </w:tcMar>
            <w:vAlign w:val="top"/>
          </w:tcPr>
          <w:p>
            <w:r>
              <w:rPr>
                <w:b/>
                <w:bCs/>
                <w:color w:val="1A1A1A"/>
                <w:sz w:val="16"/>
                <w:szCs w:val="16"/>
              </w:rPr>
              <w:t xml:space="preserve">Artificial Intelligence</w:t>
            </w:r>
          </w:p>
        </w:tc>
        <w:tc>
          <w:tcPr>
            <w:tcW w:type="dxa" w:w="7258"/>
            <w:tcMar>
              <w:top w:type="dxa" w:w="70"/>
              <w:left w:type="dxa" w:w="110"/>
              <w:bottom w:type="dxa" w:w="70"/>
              <w:right w:type="dxa" w:w="110"/>
            </w:tcMar>
            <w:vAlign w:val="top"/>
          </w:tcPr>
          <w:p>
            <w:r>
              <w:rPr>
                <w:b w:val="false"/>
                <w:bCs w:val="false"/>
                <w:color w:val="1A1A1A"/>
                <w:sz w:val="16"/>
                <w:szCs w:val="16"/>
              </w:rPr>
              <w:t xml:space="preserve">Intelligent assistants; automated document classification; predictive analytics; decision support; conversational interfaces.</w:t>
            </w:r>
          </w:p>
        </w:tc>
      </w:tr>
      <w:tr>
        <w:tc>
          <w:tcPr>
            <w:tcW w:type="dxa" w:w="2822"/>
            <w:tcMar>
              <w:top w:type="dxa" w:w="70"/>
              <w:left w:type="dxa" w:w="110"/>
              <w:bottom w:type="dxa" w:w="70"/>
              <w:right w:type="dxa" w:w="110"/>
            </w:tcMar>
            <w:vAlign w:val="top"/>
          </w:tcPr>
          <w:p>
            <w:r>
              <w:rPr>
                <w:b/>
                <w:bCs/>
                <w:color w:val="1A1A1A"/>
                <w:sz w:val="16"/>
                <w:szCs w:val="16"/>
              </w:rPr>
              <w:t xml:space="preserve">Advanced Analytics</w:t>
            </w:r>
          </w:p>
        </w:tc>
        <w:tc>
          <w:tcPr>
            <w:tcW w:type="dxa" w:w="7258"/>
            <w:tcMar>
              <w:top w:type="dxa" w:w="70"/>
              <w:left w:type="dxa" w:w="110"/>
              <w:bottom w:type="dxa" w:w="70"/>
              <w:right w:type="dxa" w:w="110"/>
            </w:tcMar>
            <w:vAlign w:val="top"/>
          </w:tcPr>
          <w:p>
            <w:r>
              <w:rPr>
                <w:b w:val="false"/>
                <w:bCs w:val="false"/>
                <w:color w:val="1A1A1A"/>
                <w:sz w:val="16"/>
                <w:szCs w:val="16"/>
              </w:rPr>
              <w:t xml:space="preserve">Executive scorecards; predictive reporting; programme forecasting; outcome analysis; performance optimization.</w:t>
            </w:r>
          </w:p>
        </w:tc>
      </w:tr>
      <w:tr>
        <w:tc>
          <w:tcPr>
            <w:tcW w:type="dxa" w:w="2822"/>
            <w:tcMar>
              <w:top w:type="dxa" w:w="70"/>
              <w:left w:type="dxa" w:w="110"/>
              <w:bottom w:type="dxa" w:w="70"/>
              <w:right w:type="dxa" w:w="110"/>
            </w:tcMar>
            <w:vAlign w:val="top"/>
          </w:tcPr>
          <w:p>
            <w:r>
              <w:rPr>
                <w:b/>
                <w:bCs/>
                <w:color w:val="1A1A1A"/>
                <w:sz w:val="16"/>
                <w:szCs w:val="16"/>
              </w:rPr>
              <w:t xml:space="preserve">Geographic Information Systems (GIS)</w:t>
            </w:r>
          </w:p>
        </w:tc>
        <w:tc>
          <w:tcPr>
            <w:tcW w:type="dxa" w:w="7258"/>
            <w:tcMar>
              <w:top w:type="dxa" w:w="70"/>
              <w:left w:type="dxa" w:w="110"/>
              <w:bottom w:type="dxa" w:w="70"/>
              <w:right w:type="dxa" w:w="110"/>
            </w:tcMar>
            <w:vAlign w:val="top"/>
          </w:tcPr>
          <w:p>
            <w:r>
              <w:rPr>
                <w:b w:val="false"/>
                <w:bCs w:val="false"/>
                <w:color w:val="1A1A1A"/>
                <w:sz w:val="16"/>
                <w:szCs w:val="16"/>
              </w:rPr>
              <w:t xml:space="preserve">Spatial programme visualization; location intelligence; geographic reporting; asset mapping.</w:t>
            </w:r>
          </w:p>
        </w:tc>
      </w:tr>
      <w:tr>
        <w:tc>
          <w:tcPr>
            <w:tcW w:type="dxa" w:w="2822"/>
            <w:tcMar>
              <w:top w:type="dxa" w:w="70"/>
              <w:left w:type="dxa" w:w="110"/>
              <w:bottom w:type="dxa" w:w="70"/>
              <w:right w:type="dxa" w:w="110"/>
            </w:tcMar>
            <w:vAlign w:val="top"/>
          </w:tcPr>
          <w:p>
            <w:r>
              <w:rPr>
                <w:b/>
                <w:bCs/>
                <w:color w:val="1A1A1A"/>
                <w:sz w:val="16"/>
                <w:szCs w:val="16"/>
              </w:rPr>
              <w:t xml:space="preserve">Mobile Ecosystem</w:t>
            </w:r>
          </w:p>
        </w:tc>
        <w:tc>
          <w:tcPr>
            <w:tcW w:type="dxa" w:w="7258"/>
            <w:tcMar>
              <w:top w:type="dxa" w:w="70"/>
              <w:left w:type="dxa" w:w="110"/>
              <w:bottom w:type="dxa" w:w="70"/>
              <w:right w:type="dxa" w:w="110"/>
            </w:tcMar>
            <w:vAlign w:val="top"/>
          </w:tcPr>
          <w:p>
            <w:r>
              <w:rPr>
                <w:b w:val="false"/>
                <w:bCs w:val="false"/>
                <w:color w:val="1A1A1A"/>
                <w:sz w:val="16"/>
                <w:szCs w:val="16"/>
              </w:rPr>
              <w:t xml:space="preserve">Native mobile applications; offline capability; field data collection; mobile approvals; mobile knowledge access.</w:t>
            </w:r>
          </w:p>
        </w:tc>
      </w:tr>
      <w:tr>
        <w:tc>
          <w:tcPr>
            <w:tcW w:type="dxa" w:w="2822"/>
            <w:tcMar>
              <w:top w:type="dxa" w:w="70"/>
              <w:left w:type="dxa" w:w="110"/>
              <w:bottom w:type="dxa" w:w="70"/>
              <w:right w:type="dxa" w:w="110"/>
            </w:tcMar>
            <w:vAlign w:val="top"/>
          </w:tcPr>
          <w:p>
            <w:r>
              <w:rPr>
                <w:b/>
                <w:bCs/>
                <w:color w:val="1A1A1A"/>
                <w:sz w:val="16"/>
                <w:szCs w:val="16"/>
              </w:rPr>
              <w:t xml:space="preserve">Digital Ecosystem Expansion</w:t>
            </w:r>
          </w:p>
        </w:tc>
        <w:tc>
          <w:tcPr>
            <w:tcW w:type="dxa" w:w="7258"/>
            <w:tcMar>
              <w:top w:type="dxa" w:w="70"/>
              <w:left w:type="dxa" w:w="110"/>
              <w:bottom w:type="dxa" w:w="70"/>
              <w:right w:type="dxa" w:w="110"/>
            </w:tcMar>
            <w:vAlign w:val="top"/>
          </w:tcPr>
          <w:p>
            <w:r>
              <w:rPr>
                <w:b w:val="false"/>
                <w:bCs w:val="false"/>
                <w:color w:val="1A1A1A"/>
                <w:sz w:val="16"/>
                <w:szCs w:val="16"/>
              </w:rPr>
              <w:t xml:space="preserve">Additional programme modules; multi-programme support; external partner portals; public information services.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These capabilities are considered part of the long-term roadmap and shall not be assumed as mandatory Phase 1 deliverables unless explicitly required by the approved project documentation.</w:t>
            </w:r>
          </w:p>
        </w:tc>
      </w:tr>
    </w:tbl>
    <w:p>
      <w:pPr>
        <w:pStyle w:val="Heading1"/>
        <w:pBdr>
          <w:bottom w:val="single" w:color="C6D2E0" w:sz="4" w:space="4"/>
        </w:pBdr>
        <w:spacing w:after="140" w:before="360"/>
      </w:pPr>
      <w:r>
        <w:rPr>
          <w:b/>
          <w:bCs/>
          <w:color w:val="4A6FA5"/>
          <w:sz w:val="26"/>
          <w:szCs w:val="26"/>
        </w:rPr>
        <w:t xml:space="preserve">4.13  </w:t>
      </w:r>
      <w:r>
        <w:rPr>
          <w:b/>
          <w:bCs/>
          <w:color w:val="1F3864"/>
          <w:sz w:val="26"/>
          <w:szCs w:val="26"/>
        </w:rPr>
        <w:t xml:space="preserve">Engineering Alignment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Provide a ten-question test for evaluating any engineering decision against the Solution Vision.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engineers a fast, consistent self-check before escalating a design decision.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 'no' to any question is a signal to review and refine, not a hard block.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Engineering decisions that are demonstrably aligned with the vision, not merely technically sound in isolation.</w:t>
            </w:r>
          </w:p>
        </w:tc>
      </w:tr>
    </w:tbl>
    <w:p>
      <w:pPr>
        <w:spacing w:after="160"/>
      </w:pPr>
    </w:p>
    <w:p>
      <w:pPr>
        <w:spacing w:after="150" w:line="276"/>
        <w:jc w:val="both"/>
      </w:pPr>
      <w:r>
        <w:t xml:space="preserve">Every engineering decision shall be evaluated against the Solution Vision using the following questions.</w:t>
      </w:r>
    </w:p>
    <w:p>
      <w:pPr>
        <w:pStyle w:val="ListParagraph"/>
        <w:numPr>
          <w:ilvl w:val="0"/>
          <w:numId w:val="1"/>
        </w:numPr>
        <w:spacing w:after="90" w:line="264"/>
      </w:pPr>
      <w:r>
        <w:t xml:space="preserve">Does this improve programme operations?</w:t>
      </w:r>
    </w:p>
    <w:p>
      <w:pPr>
        <w:pStyle w:val="ListParagraph"/>
        <w:numPr>
          <w:ilvl w:val="0"/>
          <w:numId w:val="1"/>
        </w:numPr>
        <w:spacing w:after="90" w:line="264"/>
      </w:pPr>
      <w:r>
        <w:t xml:space="preserve">Does this strengthen governance?</w:t>
      </w:r>
    </w:p>
    <w:p>
      <w:pPr>
        <w:pStyle w:val="ListParagraph"/>
        <w:numPr>
          <w:ilvl w:val="0"/>
          <w:numId w:val="1"/>
        </w:numPr>
        <w:spacing w:after="90" w:line="264"/>
      </w:pPr>
      <w:r>
        <w:t xml:space="preserve">Does this simplify the user experience?</w:t>
      </w:r>
    </w:p>
    <w:p>
      <w:pPr>
        <w:pStyle w:val="ListParagraph"/>
        <w:numPr>
          <w:ilvl w:val="0"/>
          <w:numId w:val="1"/>
        </w:numPr>
        <w:spacing w:after="90" w:line="264"/>
      </w:pPr>
      <w:r>
        <w:t xml:space="preserve">Does this preserve institutional knowledge?</w:t>
      </w:r>
    </w:p>
    <w:p>
      <w:pPr>
        <w:pStyle w:val="ListParagraph"/>
        <w:numPr>
          <w:ilvl w:val="0"/>
          <w:numId w:val="1"/>
        </w:numPr>
        <w:spacing w:after="90" w:line="264"/>
      </w:pPr>
      <w:r>
        <w:t xml:space="preserve">Does this support scalability?</w:t>
      </w:r>
    </w:p>
    <w:p>
      <w:pPr>
        <w:pStyle w:val="ListParagraph"/>
        <w:numPr>
          <w:ilvl w:val="0"/>
          <w:numId w:val="1"/>
        </w:numPr>
        <w:spacing w:after="90" w:line="264"/>
      </w:pPr>
      <w:r>
        <w:t xml:space="preserve">Does this improve maintainability?</w:t>
      </w:r>
    </w:p>
    <w:p>
      <w:pPr>
        <w:pStyle w:val="ListParagraph"/>
        <w:numPr>
          <w:ilvl w:val="0"/>
          <w:numId w:val="1"/>
        </w:numPr>
        <w:spacing w:after="90" w:line="264"/>
      </w:pPr>
      <w:r>
        <w:t xml:space="preserve">Does this increase security?</w:t>
      </w:r>
    </w:p>
    <w:p>
      <w:pPr>
        <w:pStyle w:val="ListParagraph"/>
        <w:numPr>
          <w:ilvl w:val="0"/>
          <w:numId w:val="1"/>
        </w:numPr>
        <w:spacing w:after="90" w:line="264"/>
      </w:pPr>
      <w:r>
        <w:t xml:space="preserve">Does this enhance collaboration?</w:t>
      </w:r>
    </w:p>
    <w:p>
      <w:pPr>
        <w:pStyle w:val="ListParagraph"/>
        <w:numPr>
          <w:ilvl w:val="0"/>
          <w:numId w:val="1"/>
        </w:numPr>
        <w:spacing w:after="90" w:line="264"/>
      </w:pPr>
      <w:r>
        <w:t xml:space="preserve">Does this align with the approved enterprise architecture?</w:t>
      </w:r>
    </w:p>
    <w:p>
      <w:pPr>
        <w:pStyle w:val="ListParagraph"/>
        <w:numPr>
          <w:ilvl w:val="0"/>
          <w:numId w:val="1"/>
        </w:numPr>
        <w:spacing w:after="90" w:line="264"/>
      </w:pPr>
      <w:r>
        <w:t xml:space="preserve">Does this create long-term value for the SAPZ Programme?</w:t>
      </w:r>
    </w:p>
    <w:p>
      <w:pPr>
        <w:spacing w:after="150" w:line="276"/>
        <w:jc w:val="both"/>
      </w:pPr>
      <w:r>
        <w:t xml:space="preserve">If the answer to any of these questions is negative, the proposed solution should be reviewed and refined before implementation.</w:t>
      </w:r>
    </w:p>
    <w:p>
      <w:pPr>
        <w:pStyle w:val="Heading1"/>
        <w:pBdr>
          <w:bottom w:val="single" w:color="C6D2E0" w:sz="4" w:space="4"/>
        </w:pBdr>
        <w:spacing w:after="140" w:before="360"/>
      </w:pPr>
      <w:r>
        <w:rPr>
          <w:b/>
          <w:bCs/>
          <w:color w:val="4A6FA5"/>
          <w:sz w:val="26"/>
          <w:szCs w:val="26"/>
        </w:rPr>
        <w:t xml:space="preserve">4.14  </w:t>
      </w:r>
      <w:r>
        <w:rPr>
          <w:b/>
          <w:bCs/>
          <w:color w:val="1F3864"/>
          <w:sz w:val="26"/>
          <w:szCs w:val="26"/>
        </w:rPr>
        <w:t xml:space="preserve">Vision 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observable conditions that indicate the Solution Vision has been realized.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programme leadership a concrete, long-horizon measure of platform success beyond go-live.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These criteria are assessed well beyond project closeout, unlike Chapter 1's Definition of Success.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whose long-term success is objectively verifiable, not assumed.</w:t>
            </w:r>
          </w:p>
        </w:tc>
      </w:tr>
    </w:tbl>
    <w:p>
      <w:pPr>
        <w:spacing w:after="160"/>
      </w:pPr>
    </w:p>
    <w:p>
      <w:pPr>
        <w:spacing w:after="150" w:line="276"/>
        <w:jc w:val="both"/>
      </w:pPr>
      <w:r>
        <w:t xml:space="preserve">The Solution Vision will be considered successfully realized when:</w:t>
      </w:r>
    </w:p>
    <w:p>
      <w:pPr>
        <w:pStyle w:val="ListParagraph"/>
        <w:numPr>
          <w:ilvl w:val="0"/>
          <w:numId w:val="1"/>
        </w:numPr>
        <w:spacing w:after="90" w:line="264"/>
      </w:pPr>
      <w:r>
        <w:t xml:space="preserve">The platform serves as the primary digital workspace for SAPZ operations.</w:t>
      </w:r>
    </w:p>
    <w:p>
      <w:pPr>
        <w:pStyle w:val="ListParagraph"/>
        <w:numPr>
          <w:ilvl w:val="0"/>
          <w:numId w:val="1"/>
        </w:numPr>
        <w:spacing w:after="90" w:line="264"/>
      </w:pPr>
      <w:r>
        <w:t xml:space="preserve">Programme information is centralized, trusted, and readily accessible.</w:t>
      </w:r>
    </w:p>
    <w:p>
      <w:pPr>
        <w:pStyle w:val="ListParagraph"/>
        <w:numPr>
          <w:ilvl w:val="0"/>
          <w:numId w:val="1"/>
        </w:numPr>
        <w:spacing w:after="90" w:line="264"/>
      </w:pPr>
      <w:r>
        <w:t xml:space="preserve">Business processes are standardized and efficiently automated.</w:t>
      </w:r>
    </w:p>
    <w:p>
      <w:pPr>
        <w:pStyle w:val="ListParagraph"/>
        <w:numPr>
          <w:ilvl w:val="0"/>
          <w:numId w:val="1"/>
        </w:numPr>
        <w:spacing w:after="90" w:line="264"/>
      </w:pPr>
      <w:r>
        <w:t xml:space="preserve">Knowledge assets are systematically captured, organized, and reused.</w:t>
      </w:r>
    </w:p>
    <w:p>
      <w:pPr>
        <w:pStyle w:val="ListParagraph"/>
        <w:numPr>
          <w:ilvl w:val="0"/>
          <w:numId w:val="1"/>
        </w:numPr>
        <w:spacing w:after="90" w:line="264"/>
      </w:pPr>
      <w:r>
        <w:t xml:space="preserve">Executives rely on real-time dashboards and analytics for strategic decisions.</w:t>
      </w:r>
    </w:p>
    <w:p>
      <w:pPr>
        <w:pStyle w:val="ListParagraph"/>
        <w:numPr>
          <w:ilvl w:val="0"/>
          <w:numId w:val="1"/>
        </w:numPr>
        <w:spacing w:after="90" w:line="264"/>
      </w:pPr>
      <w:r>
        <w:t xml:space="preserve">Collaboration across stakeholders is seamless and secure.</w:t>
      </w:r>
    </w:p>
    <w:p>
      <w:pPr>
        <w:pStyle w:val="ListParagraph"/>
        <w:numPr>
          <w:ilvl w:val="0"/>
          <w:numId w:val="1"/>
        </w:numPr>
        <w:spacing w:after="90" w:line="264"/>
      </w:pPr>
      <w:r>
        <w:t xml:space="preserve">The architecture accommodates future enhancements without significant redesign.</w:t>
      </w:r>
    </w:p>
    <w:p>
      <w:pPr>
        <w:pStyle w:val="ListParagraph"/>
        <w:numPr>
          <w:ilvl w:val="0"/>
          <w:numId w:val="1"/>
        </w:numPr>
        <w:spacing w:after="90" w:line="264"/>
      </w:pPr>
      <w:r>
        <w:t xml:space="preserve">Users demonstrate high adoption and satisfaction.</w:t>
      </w:r>
    </w:p>
    <w:p>
      <w:pPr>
        <w:pStyle w:val="ListParagraph"/>
        <w:numPr>
          <w:ilvl w:val="0"/>
          <w:numId w:val="1"/>
        </w:numPr>
        <w:spacing w:after="90" w:line="264"/>
      </w:pPr>
      <w:r>
        <w:t xml:space="preserve">The platform becomes a sustainable strategic asset that continues to support the SAPZ Programme well beyond the initial implementation period.</w:t>
      </w:r>
    </w:p>
    <w:p>
      <w:pPr>
        <w:pStyle w:val="Heading1"/>
        <w:pBdr>
          <w:bottom w:val="single" w:color="C6D2E0" w:sz="4" w:space="4"/>
        </w:pBdr>
        <w:spacing w:after="140" w:before="360"/>
      </w:pPr>
      <w:r>
        <w:rPr>
          <w:b/>
          <w:bCs/>
          <w:color w:val="4A6FA5"/>
          <w:sz w:val="26"/>
          <w:szCs w:val="26"/>
        </w:rPr>
        <w:t xml:space="preserve">4.15  </w:t>
      </w:r>
      <w:r>
        <w:rPr>
          <w:b/>
          <w:bCs/>
          <w:color w:val="1F3864"/>
          <w:sz w:val="26"/>
          <w:szCs w:val="26"/>
        </w:rPr>
        <w:t xml:space="preserve">Engineering Commitment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State the binding commitment every engineer and Antigravity-produced output makes to this vision.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Converts vision from aspiration into an accountable engineering obligation.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This vision governs architecture, engineering, testing, deployment, operations, and future evolution alike.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 engineering programme that never loses sight of long-term platform value while delivering Phase 1.</w:t>
            </w:r>
          </w:p>
        </w:tc>
      </w:tr>
    </w:tbl>
    <w:p>
      <w:pPr>
        <w:spacing w:after="160"/>
      </w:pPr>
    </w:p>
    <w:p>
      <w:pPr>
        <w:spacing w:after="150" w:line="276"/>
        <w:jc w:val="both"/>
      </w:pPr>
      <w:r>
        <w:t xml:space="preserve">Every member of the engineering team, and every output produced by Antigravity, shall contribute to realizing this Solution Vision.</w:t>
      </w:r>
    </w:p>
    <w:p>
      <w:pPr>
        <w:spacing w:after="150" w:line="276"/>
        <w:jc w:val="both"/>
      </w:pPr>
      <w:r>
        <w:t xml:space="preserve">The objective is not simply to deliver software, but to establish a resilient, secure, and future-ready digital platform that enables the SAPZ Programme to operate more effectively, preserve institutional knowledge, strengthen governance, and deliver measurable value to the Federal Republic of Nigeria and its development partners.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This Solution Vision shall remain the guiding reference for architecture, engineering, testing, deployment, operations, and future evolution of the platform — it does not expire at go-live.</w:t>
            </w:r>
          </w:p>
        </w:tc>
      </w:tr>
    </w:tbl>
    <w:p>
      <w:pPr>
        <w:pStyle w:val="Heading1"/>
        <w:pBdr>
          <w:bottom w:val="single" w:color="C6D2E0" w:sz="4" w:space="4"/>
        </w:pBdr>
        <w:spacing w:after="140" w:before="360"/>
      </w:pPr>
      <w:r>
        <w:rPr>
          <w:b/>
          <w:bCs/>
          <w:color w:val="4A6FA5"/>
          <w:sz w:val="26"/>
          <w:szCs w:val="26"/>
        </w:rPr>
        <w:t xml:space="preserve">4.16  </w:t>
      </w:r>
      <w:r>
        <w:rPr>
          <w:b/>
          <w:bCs/>
          <w:color w:val="1F3864"/>
          <w:sz w:val="26"/>
          <w:szCs w:val="26"/>
        </w:rPr>
        <w:t xml:space="preserve">Chapter Summary</w:t>
      </w:r>
    </w:p>
    <w:p>
      <w:pPr>
        <w:spacing w:after="150" w:line="276"/>
        <w:jc w:val="both"/>
      </w:pPr>
      <w:r>
        <w:t xml:space="preserve">This chapter defined the Solution Vision across strategic, business, technology, user experience, knowledge management, data, security, integration, operational, and future-capability dimensions, and established the Engineering Alignment test and Vision Success Criteria used to evaluate whether the platform is realizing this vision throughout its lifecycle.</w:t>
      </w:r>
    </w:p>
    <w:p>
      <w:pPr>
        <w:pStyle w:val="Heading2"/>
        <w:spacing w:after="110" w:before="260"/>
      </w:pPr>
      <w:r>
        <w:rPr>
          <w:b/>
          <w:bCs/>
          <w:color w:val="4A6FA5"/>
          <w:sz w:val="21"/>
          <w:szCs w:val="21"/>
        </w:rPr>
        <w:t xml:space="preserve">4.16.1  </w:t>
      </w:r>
      <w:r>
        <w:rPr>
          <w:b/>
          <w:bCs/>
          <w:color w:val="1F3864"/>
          <w:sz w:val="21"/>
          <w:szCs w:val="21"/>
        </w:rPr>
        <w:t xml:space="preserve">Key Engineering Principles</w:t>
      </w:r>
    </w:p>
    <w:p>
      <w:pPr>
        <w:pStyle w:val="ListParagraph"/>
        <w:numPr>
          <w:ilvl w:val="0"/>
          <w:numId w:val="1"/>
        </w:numPr>
        <w:spacing w:after="90" w:line="264"/>
      </w:pPr>
      <w:r>
        <w:t xml:space="preserve">The Vision Statement (Section 4.2) is the single reference every architecture review should be measured against.</w:t>
      </w:r>
    </w:p>
    <w:p>
      <w:pPr>
        <w:pStyle w:val="ListParagraph"/>
        <w:numPr>
          <w:ilvl w:val="0"/>
          <w:numId w:val="1"/>
        </w:numPr>
        <w:spacing w:after="90" w:line="264"/>
      </w:pPr>
      <w:r>
        <w:t xml:space="preserve">Future Vision capabilities (Section 4.12) are architectural accommodations, not Phase 1 commitments.</w:t>
      </w:r>
    </w:p>
    <w:p>
      <w:pPr>
        <w:pStyle w:val="ListParagraph"/>
        <w:numPr>
          <w:ilvl w:val="0"/>
          <w:numId w:val="1"/>
        </w:numPr>
        <w:spacing w:after="90" w:line="264"/>
      </w:pPr>
      <w:r>
        <w:t xml:space="preserve">The ten Engineering Alignment questions (Section 4.13) should be applied to any non-trivial design decision.</w:t>
      </w:r>
    </w:p>
    <w:p>
      <w:pPr>
        <w:pStyle w:val="ListParagraph"/>
        <w:numPr>
          <w:ilvl w:val="0"/>
          <w:numId w:val="1"/>
        </w:numPr>
        <w:spacing w:after="90" w:line="264"/>
      </w:pPr>
      <w:r>
        <w:t xml:space="preserve">Vision success (Section 4.14) is measured well beyond go-live, not only at project closeout.</w:t>
      </w:r>
    </w:p>
    <w:p>
      <w:pPr>
        <w:pStyle w:val="Heading2"/>
        <w:spacing w:after="110" w:before="260"/>
      </w:pPr>
      <w:r>
        <w:rPr>
          <w:b/>
          <w:bCs/>
          <w:color w:val="4A6FA5"/>
          <w:sz w:val="21"/>
          <w:szCs w:val="21"/>
        </w:rPr>
        <w:t xml:space="preserve">4.16.2  </w:t>
      </w:r>
      <w:r>
        <w:rPr>
          <w:b/>
          <w:bCs/>
          <w:color w:val="1F3864"/>
          <w:sz w:val="21"/>
          <w:szCs w:val="21"/>
        </w:rPr>
        <w:t xml:space="preserve">Implementation Checklist</w:t>
      </w:r>
    </w:p>
    <w:p>
      <w:pPr>
        <w:pStyle w:val="ListParagraph"/>
        <w:numPr>
          <w:ilvl w:val="0"/>
          <w:numId w:val="1"/>
        </w:numPr>
        <w:spacing w:after="90" w:line="264"/>
      </w:pPr>
      <w:r>
        <w:t xml:space="preserve">☐ Confirm major architecture decisions are documented against the Engineering Alignment questions (Section 4.13).</w:t>
      </w:r>
    </w:p>
    <w:p>
      <w:pPr>
        <w:pStyle w:val="ListParagraph"/>
        <w:numPr>
          <w:ilvl w:val="0"/>
          <w:numId w:val="1"/>
        </w:numPr>
        <w:spacing w:after="90" w:line="264"/>
      </w:pPr>
      <w:r>
        <w:t xml:space="preserve">☐ Confirm Future Vision items (Section 4.12) are flagged as roadmap, not scope, in all planning artifacts.</w:t>
      </w:r>
    </w:p>
    <w:p>
      <w:pPr>
        <w:pStyle w:val="ListParagraph"/>
        <w:numPr>
          <w:ilvl w:val="0"/>
          <w:numId w:val="1"/>
        </w:numPr>
        <w:spacing w:after="90" w:line="264"/>
      </w:pPr>
      <w:r>
        <w:t xml:space="preserve">☐ Confirm Vision Success Criteria (Section 4.14) are reviewed at each programme governance cycle, not only at closeout.</w:t>
      </w:r>
    </w:p>
    <w:p>
      <w:pPr>
        <w:pStyle w:val="Heading2"/>
        <w:spacing w:after="110" w:before="260"/>
      </w:pPr>
      <w:r>
        <w:rPr>
          <w:b/>
          <w:bCs/>
          <w:color w:val="4A6FA5"/>
          <w:sz w:val="21"/>
          <w:szCs w:val="21"/>
        </w:rPr>
        <w:t xml:space="preserve">4.16.3  </w:t>
      </w:r>
      <w:r>
        <w:rPr>
          <w:b/>
          <w:bCs/>
          <w:color w:val="1F3864"/>
          <w:sz w:val="21"/>
          <w:szCs w:val="21"/>
        </w:rPr>
        <w:t xml:space="preserve">Related Chapters</w:t>
      </w:r>
    </w:p>
    <w:p>
      <w:pPr>
        <w:pStyle w:val="ListParagraph"/>
        <w:numPr>
          <w:ilvl w:val="0"/>
          <w:numId w:val="1"/>
        </w:numPr>
        <w:spacing w:after="90" w:line="264"/>
      </w:pPr>
      <w:r>
        <w:t xml:space="preserve">Chapter 1 — Executive Overview</w:t>
      </w:r>
    </w:p>
    <w:p>
      <w:pPr>
        <w:pStyle w:val="ListParagraph"/>
        <w:numPr>
          <w:ilvl w:val="0"/>
          <w:numId w:val="1"/>
        </w:numPr>
        <w:spacing w:after="90" w:line="264"/>
      </w:pPr>
      <w:r>
        <w:t xml:space="preserve">Chapter 6 — Architecture Governance</w:t>
      </w:r>
    </w:p>
    <w:p>
      <w:pPr>
        <w:pStyle w:val="ListParagraph"/>
        <w:numPr>
          <w:ilvl w:val="0"/>
          <w:numId w:val="1"/>
        </w:numPr>
        <w:spacing w:after="90" w:line="264"/>
      </w:pPr>
      <w:r>
        <w:t xml:space="preserve">Chapter 7 — Technology Stack Standards</w:t>
      </w:r>
    </w:p>
    <w:p>
      <w:pPr>
        <w:pStyle w:val="ListParagraph"/>
        <w:numPr>
          <w:ilvl w:val="0"/>
          <w:numId w:val="1"/>
        </w:numPr>
        <w:spacing w:after="90" w:line="264"/>
      </w:pPr>
      <w:r>
        <w:t xml:space="preserve">Chapter 13 — AI and Knowledge Management Standards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2026-07-19T18:42:04.057Z</dcterms:created>
  <dcterms:modified xsi:type="dcterms:W3CDTF">2026-07-19T18:42:04.058Z</dcterms:modified>
</cp:coreProperties>
</file>

<file path=docProps/custom.xml><?xml version="1.0" encoding="utf-8"?>
<Properties xmlns="http://schemas.openxmlformats.org/officeDocument/2006/custom-properties" xmlns:vt="http://schemas.openxmlformats.org/officeDocument/2006/docPropsVTypes"/>
</file>