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5</w:t>
      </w:r>
    </w:p>
    <w:p>
      <w:pPr>
        <w:pBdr>
          <w:bottom w:val="single" w:color="1F3864" w:sz="14" w:space="10"/>
        </w:pBdr>
        <w:spacing w:after="160"/>
        <w:jc w:val="center"/>
      </w:pPr>
      <w:r>
        <w:rPr>
          <w:b/>
          <w:bCs/>
          <w:color w:val="152238"/>
          <w:sz w:val="40"/>
          <w:szCs w:val="40"/>
        </w:rPr>
        <w:t xml:space="preserve">Engineering Principles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The Engineering Constitution</w:t>
      </w:r>
    </w:p>
    <w:p>
      <w:r>
        <w:br w:type="page"/>
      </w:r>
    </w:p>
    <w:p>
      <w:pPr>
        <w:spacing w:after="40"/>
        <w:jc w:val="left"/>
      </w:pPr>
      <w:r>
        <w:rPr>
          <w:b/>
          <w:bCs/>
          <w:caps/>
          <w:color w:val="4A6FA5"/>
          <w:sz w:val="22"/>
          <w:szCs w:val="22"/>
        </w:rPr>
        <w:t xml:space="preserve">CHAPTER 5</w:t>
      </w:r>
    </w:p>
    <w:p>
      <w:pPr>
        <w:pBdr>
          <w:bottom w:val="single" w:color="1F3864" w:sz="12" w:space="8"/>
        </w:pBdr>
        <w:spacing w:after="200"/>
        <w:jc w:val="left"/>
      </w:pPr>
      <w:r>
        <w:rPr>
          <w:b/>
          <w:bCs/>
          <w:color w:val="152238"/>
          <w:sz w:val="44"/>
          <w:szCs w:val="44"/>
        </w:rPr>
        <w:t xml:space="preserve">Engineering Principles</w:t>
      </w:r>
    </w:p>
    <w:p>
      <w:pPr>
        <w:spacing w:after="90" w:before="180"/>
      </w:pPr>
      <w:r>
        <w:rPr>
          <w:b/>
          <w:bCs/>
          <w:color w:val="152238"/>
          <w:sz w:val="19"/>
          <w:szCs w:val="19"/>
        </w:rPr>
        <w:t xml:space="preserve">Chapter Overview</w:t>
      </w:r>
    </w:p>
    <w:p>
      <w:pPr>
        <w:spacing w:after="150" w:line="276"/>
        <w:jc w:val="both"/>
      </w:pPr>
      <w:r>
        <w:t xml:space="preserve">This chapter defines the seventeen non-negotiable Engineering Principles that govern every engineering decision on the SAPZ Enterprise System Management (ESM) Platform and Central Knowledge Repository (CKR) programme, the ten-item Engineering Decision Framework used to resolve competing technical approaches, the mandatory rules Antigravity follows when generating engineering outputs, and the engineering commitment binding the entire team to these standards.</w:t>
      </w:r>
    </w:p>
    <w:p>
      <w:pPr>
        <w:spacing w:after="90" w:before="180"/>
      </w:pPr>
      <w:r>
        <w:rPr>
          <w:b/>
          <w:bCs/>
          <w:color w:val="152238"/>
          <w:sz w:val="19"/>
          <w:szCs w:val="19"/>
        </w:rPr>
        <w:t xml:space="preserve">Purpose</w:t>
      </w:r>
    </w:p>
    <w:p>
      <w:pPr>
        <w:spacing w:after="150" w:line="276"/>
        <w:jc w:val="both"/>
      </w:pPr>
      <w:r>
        <w:t xml:space="preserve">To establish the engineering constitution for the project — how decisions are made, how trade-offs are evaluated, and how quality, security, maintainability, and sustainability are preserved across architecture, software engineering, DevSecOps, data engineering, user experience, quality assurance, artificial intelligence, and operations.</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engineering philosophy that prioritizes business value over technical novelty.</w:t>
      </w:r>
    </w:p>
    <w:p>
      <w:pPr>
        <w:pStyle w:val="ListParagraph"/>
        <w:numPr>
          <w:ilvl w:val="0"/>
          <w:numId w:val="1"/>
        </w:numPr>
        <w:spacing w:after="90" w:line="264"/>
      </w:pPr>
      <w:r>
        <w:t xml:space="preserve">Understand all seventeen Core Engineering Principles and their specific requirements.</w:t>
      </w:r>
    </w:p>
    <w:p>
      <w:pPr>
        <w:pStyle w:val="ListParagraph"/>
        <w:numPr>
          <w:ilvl w:val="0"/>
          <w:numId w:val="1"/>
        </w:numPr>
        <w:spacing w:after="90" w:line="264"/>
      </w:pPr>
      <w:r>
        <w:t xml:space="preserve">Understand the Engineering Decision Framework's order of precedence.</w:t>
      </w:r>
    </w:p>
    <w:p>
      <w:pPr>
        <w:pStyle w:val="ListParagraph"/>
        <w:numPr>
          <w:ilvl w:val="0"/>
          <w:numId w:val="1"/>
        </w:numPr>
        <w:spacing w:after="90" w:line="264"/>
      </w:pPr>
      <w:r>
        <w:t xml:space="preserve">Understand the mandatory rules governing Antigravity-generated engineering output.</w:t>
      </w:r>
    </w:p>
    <w:p>
      <w:pPr>
        <w:pStyle w:val="Heading1"/>
        <w:pBdr>
          <w:bottom w:val="single" w:color="C6D2E0" w:sz="4" w:space="4"/>
        </w:pBdr>
        <w:spacing w:after="140" w:before="360"/>
      </w:pPr>
      <w:r>
        <w:rPr>
          <w:b/>
          <w:bCs/>
          <w:color w:val="4A6FA5"/>
          <w:sz w:val="26"/>
          <w:szCs w:val="26"/>
        </w:rPr>
        <w:t xml:space="preserve">5.1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these principles as binding standards for every engineering discipline on the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Provides a stable, auditable basis for every technical decision made over the programme's lifetime.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Functions as the project's engineering constitution — the highest-authority engineering reference after the approved specifications.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engineering conduct across every contributor, human or AI-assisted.</w:t>
            </w:r>
          </w:p>
        </w:tc>
      </w:tr>
    </w:tbl>
    <w:p>
      <w:pPr>
        <w:spacing w:after="160"/>
      </w:pPr>
    </w:p>
    <w:p>
      <w:pPr>
        <w:spacing w:after="150" w:line="276"/>
        <w:jc w:val="both"/>
      </w:pPr>
      <w:r>
        <w:t xml:space="preserve">The Engineering Principles define the non-negotiable standards that govern every engineering decision throughout the lifecycle of the SAPZ Enterprise System Management (ESM) Platform and Central Knowledge Repository (CKR).</w:t>
      </w:r>
    </w:p>
    <w:p>
      <w:pPr>
        <w:spacing w:after="150" w:line="276"/>
        <w:jc w:val="both"/>
      </w:pPr>
      <w:r>
        <w:t xml:space="preserve">These principles serve as the engineering constitution for the project. They establish how decisions are made, how trade-offs are evaluated, and how quality, security, maintainability, and sustainability are preserved across all disciplines, including architecture, software engineering, DevSecOps, data engineering, user experience, quality assurance, artificial intelligence, and operations.</w:t>
      </w:r>
    </w:p>
    <w:p>
      <w:pPr>
        <w:spacing w:after="150" w:line="276"/>
        <w:jc w:val="both"/>
      </w:pPr>
      <w:r>
        <w:t xml:space="preserve">Every member of the engineering team, including Antigravity, shall adhere to these principles throughout planning, design, implementation, testing, deployment, and operational support.</w:t>
      </w:r>
    </w:p>
    <w:p>
      <w:pPr>
        <w:pStyle w:val="Heading1"/>
        <w:pBdr>
          <w:bottom w:val="single" w:color="C6D2E0" w:sz="4" w:space="4"/>
        </w:pBdr>
        <w:spacing w:after="140" w:before="360"/>
      </w:pPr>
      <w:r>
        <w:rPr>
          <w:b/>
          <w:bCs/>
          <w:color w:val="4A6FA5"/>
          <w:sz w:val="26"/>
          <w:szCs w:val="26"/>
        </w:rPr>
        <w:t xml:space="preserve">5.2  </w:t>
      </w:r>
      <w:r>
        <w:rPr>
          <w:b/>
          <w:bCs/>
          <w:color w:val="1F3864"/>
          <w:sz w:val="26"/>
          <w:szCs w:val="26"/>
        </w:rPr>
        <w:t xml:space="preserve">Engineering Philosophy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State how engineering success is measured and what trade-offs are prioritized by default.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Anchors every trade-off discussion to programme value rather than engineering preference.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This is the tie-breaker philosophy applied whenever two of the seventeen principles pull in different directions.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engineered as a long-term strategic asset, not a short-term deliverable.</w:t>
            </w:r>
          </w:p>
        </w:tc>
      </w:tr>
    </w:tbl>
    <w:p>
      <w:pPr>
        <w:spacing w:after="160"/>
      </w:pPr>
    </w:p>
    <w:p>
      <w:pPr>
        <w:spacing w:after="150" w:line="276"/>
        <w:jc w:val="both"/>
      </w:pPr>
      <w:r>
        <w:t xml:space="preserve">Engineering success is measured not by the amount of code written, but by the value delivered to the SAPZ Programme.</w:t>
      </w:r>
    </w:p>
    <w:p>
      <w:pPr>
        <w:spacing w:after="150" w:line="276"/>
        <w:jc w:val="both"/>
      </w:pPr>
      <w:r>
        <w:t xml:space="preserve">The platform shall be engineered as a long-term strategic asset that improves programme effectiveness, strengthens governance, preserves institutional knowledge, and supports future digital transformation.</w:t>
      </w:r>
    </w:p>
    <w:p>
      <w:pPr>
        <w:spacing w:after="150" w:line="276"/>
        <w:jc w:val="both"/>
      </w:pPr>
      <w:r>
        <w:t xml:space="preserve">The engineering team shall prioritize:</w:t>
      </w:r>
    </w:p>
    <w:p>
      <w:pPr>
        <w:pStyle w:val="ListParagraph"/>
        <w:numPr>
          <w:ilvl w:val="0"/>
          <w:numId w:val="1"/>
        </w:numPr>
        <w:spacing w:after="90" w:line="264"/>
      </w:pPr>
      <w:r>
        <w:t xml:space="preserve">Business value over technical novelty.</w:t>
      </w:r>
    </w:p>
    <w:p>
      <w:pPr>
        <w:pStyle w:val="ListParagraph"/>
        <w:numPr>
          <w:ilvl w:val="0"/>
          <w:numId w:val="1"/>
        </w:numPr>
        <w:spacing w:after="90" w:line="264"/>
      </w:pPr>
      <w:r>
        <w:t xml:space="preserve">Simplicity over unnecessary complexity.</w:t>
      </w:r>
    </w:p>
    <w:p>
      <w:pPr>
        <w:pStyle w:val="ListParagraph"/>
        <w:numPr>
          <w:ilvl w:val="0"/>
          <w:numId w:val="1"/>
        </w:numPr>
        <w:spacing w:after="90" w:line="264"/>
      </w:pPr>
      <w:r>
        <w:t xml:space="preserve">Maintainability over short-term convenience.</w:t>
      </w:r>
    </w:p>
    <w:p>
      <w:pPr>
        <w:pStyle w:val="ListParagraph"/>
        <w:numPr>
          <w:ilvl w:val="0"/>
          <w:numId w:val="1"/>
        </w:numPr>
        <w:spacing w:after="90" w:line="264"/>
      </w:pPr>
      <w:r>
        <w:t xml:space="preserve">Security over speed.</w:t>
      </w:r>
    </w:p>
    <w:p>
      <w:pPr>
        <w:pStyle w:val="ListParagraph"/>
        <w:numPr>
          <w:ilvl w:val="0"/>
          <w:numId w:val="1"/>
        </w:numPr>
        <w:spacing w:after="90" w:line="264"/>
      </w:pPr>
      <w:r>
        <w:t xml:space="preserve">Reliability over feature quantity.</w:t>
      </w:r>
    </w:p>
    <w:p>
      <w:pPr>
        <w:pStyle w:val="ListParagraph"/>
        <w:numPr>
          <w:ilvl w:val="0"/>
          <w:numId w:val="1"/>
        </w:numPr>
        <w:spacing w:after="90" w:line="264"/>
      </w:pPr>
      <w:r>
        <w:t xml:space="preserve">User adoption over feature proliferation.</w:t>
      </w:r>
    </w:p>
    <w:p>
      <w:pPr>
        <w:pStyle w:val="ListParagraph"/>
        <w:numPr>
          <w:ilvl w:val="0"/>
          <w:numId w:val="1"/>
        </w:numPr>
        <w:spacing w:after="90" w:line="264"/>
      </w:pPr>
      <w:r>
        <w:t xml:space="preserve">Sustainability over rapid delivery.</w:t>
      </w:r>
    </w:p>
    <w:p>
      <w:pPr>
        <w:spacing w:after="150" w:line="276"/>
        <w:jc w:val="both"/>
      </w:pPr>
      <w:r>
        <w:t xml:space="preserve">Every architectural and implementation decision must contribute to the long-term success of the SAPZ Programme.</w:t>
      </w:r>
    </w:p>
    <w:p>
      <w:pPr>
        <w:pStyle w:val="Heading1"/>
        <w:pBdr>
          <w:bottom w:val="single" w:color="C6D2E0" w:sz="4" w:space="4"/>
        </w:pBdr>
        <w:spacing w:after="140" w:before="360"/>
      </w:pPr>
      <w:r>
        <w:rPr>
          <w:b/>
          <w:bCs/>
          <w:color w:val="4A6FA5"/>
          <w:sz w:val="26"/>
          <w:szCs w:val="26"/>
        </w:rPr>
        <w:t xml:space="preserve">5.3  </w:t>
      </w:r>
      <w:r>
        <w:rPr>
          <w:b/>
          <w:bCs/>
          <w:color w:val="1F3864"/>
          <w:sz w:val="26"/>
          <w:szCs w:val="26"/>
        </w:rPr>
        <w:t xml:space="preserve">Core Engineering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all seventeen principles governing engineering conduct across every discipline.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auditors and evaluators a complete, itemized standard against which delivered work can be assessed.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principle is independently enforceable — a design or code review can cite a specific principle number.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Uniform engineering discipline across architecture, code, data, security, UX, AI, and operations.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661"/>
            <w:shd w:fill="1F3864" w:val="clear"/>
            <w:tcMar>
              <w:top w:type="dxa" w:w="70"/>
              <w:left w:type="dxa" w:w="110"/>
              <w:bottom w:type="dxa" w:w="70"/>
              <w:right w:type="dxa" w:w="110"/>
            </w:tcMar>
            <w:vAlign w:val="top"/>
          </w:tcPr>
          <w:p>
            <w:r>
              <w:rPr>
                <w:b/>
                <w:bCs/>
                <w:color w:val="FFFFFF"/>
                <w:sz w:val="17"/>
                <w:szCs w:val="17"/>
              </w:rPr>
              <w:t xml:space="preserve">Requirement</w:t>
            </w:r>
          </w:p>
        </w:tc>
      </w:tr>
      <w:tr>
        <w:tc>
          <w:tcPr>
            <w:tcW w:type="dxa" w:w="2419"/>
            <w:tcMar>
              <w:top w:type="dxa" w:w="70"/>
              <w:left w:type="dxa" w:w="110"/>
              <w:bottom w:type="dxa" w:w="70"/>
              <w:right w:type="dxa" w:w="110"/>
            </w:tcMar>
            <w:vAlign w:val="top"/>
          </w:tcPr>
          <w:p>
            <w:r>
              <w:rPr>
                <w:b/>
                <w:bCs/>
                <w:color w:val="1A1A1A"/>
                <w:sz w:val="15"/>
                <w:szCs w:val="15"/>
              </w:rPr>
              <w:t xml:space="preserve">1. Business Value First</w:t>
            </w:r>
          </w:p>
        </w:tc>
        <w:tc>
          <w:tcPr>
            <w:tcW w:type="dxa" w:w="7661"/>
            <w:tcMar>
              <w:top w:type="dxa" w:w="70"/>
              <w:left w:type="dxa" w:w="110"/>
              <w:bottom w:type="dxa" w:w="70"/>
              <w:right w:type="dxa" w:w="110"/>
            </w:tcMar>
            <w:vAlign w:val="top"/>
          </w:tcPr>
          <w:p>
            <w:r>
              <w:rPr>
                <w:b w:val="false"/>
                <w:bCs w:val="false"/>
                <w:color w:val="1A1A1A"/>
                <w:sz w:val="15"/>
                <w:szCs w:val="15"/>
              </w:rPr>
              <w:t xml:space="preserve">Every engineering activity must solve a validated business problem; no feature shall be implemented solely because it is technically interesting. Each implementation must trace to approved business requirements, the SRS, the PDD, the Enterprise Architecture Blueprint, or the Terms of Reference (TOR); untraceable features require formal change-management approval.</w:t>
            </w:r>
          </w:p>
        </w:tc>
      </w:tr>
      <w:tr>
        <w:tc>
          <w:tcPr>
            <w:tcW w:type="dxa" w:w="2419"/>
            <w:tcMar>
              <w:top w:type="dxa" w:w="70"/>
              <w:left w:type="dxa" w:w="110"/>
              <w:bottom w:type="dxa" w:w="70"/>
              <w:right w:type="dxa" w:w="110"/>
            </w:tcMar>
            <w:vAlign w:val="top"/>
          </w:tcPr>
          <w:p>
            <w:r>
              <w:rPr>
                <w:b/>
                <w:bCs/>
                <w:color w:val="1A1A1A"/>
                <w:sz w:val="15"/>
                <w:szCs w:val="15"/>
              </w:rPr>
              <w:t xml:space="preserve">2. Requirements Traceability</w:t>
            </w:r>
          </w:p>
        </w:tc>
        <w:tc>
          <w:tcPr>
            <w:tcW w:type="dxa" w:w="7661"/>
            <w:tcMar>
              <w:top w:type="dxa" w:w="70"/>
              <w:left w:type="dxa" w:w="110"/>
              <w:bottom w:type="dxa" w:w="70"/>
              <w:right w:type="dxa" w:w="110"/>
            </w:tcMar>
            <w:vAlign w:val="top"/>
          </w:tcPr>
          <w:p>
            <w:r>
              <w:rPr>
                <w:b w:val="false"/>
                <w:bCs w:val="false"/>
                <w:color w:val="1A1A1A"/>
                <w:sz w:val="15"/>
                <w:szCs w:val="15"/>
              </w:rPr>
              <w:t xml:space="preserve">Every engineering artifact shall maintain end-to-end traceability: Business Requirement → Functional Requirement → User Story → Architecture → Database → API → Source Code → Test Cases → Deployment → User Documentation. A Requirements Traceability Matrix (RTM) shall be maintained throughout the project lifecycle.</w:t>
            </w:r>
          </w:p>
        </w:tc>
      </w:tr>
      <w:tr>
        <w:tc>
          <w:tcPr>
            <w:tcW w:type="dxa" w:w="2419"/>
            <w:tcMar>
              <w:top w:type="dxa" w:w="70"/>
              <w:left w:type="dxa" w:w="110"/>
              <w:bottom w:type="dxa" w:w="70"/>
              <w:right w:type="dxa" w:w="110"/>
            </w:tcMar>
            <w:vAlign w:val="top"/>
          </w:tcPr>
          <w:p>
            <w:r>
              <w:rPr>
                <w:b/>
                <w:bCs/>
                <w:color w:val="1A1A1A"/>
                <w:sz w:val="15"/>
                <w:szCs w:val="15"/>
              </w:rPr>
              <w:t xml:space="preserve">3. Simplicity Before Complexity</w:t>
            </w:r>
          </w:p>
        </w:tc>
        <w:tc>
          <w:tcPr>
            <w:tcW w:type="dxa" w:w="7661"/>
            <w:tcMar>
              <w:top w:type="dxa" w:w="70"/>
              <w:left w:type="dxa" w:w="110"/>
              <w:bottom w:type="dxa" w:w="70"/>
              <w:right w:type="dxa" w:w="110"/>
            </w:tcMar>
            <w:vAlign w:val="top"/>
          </w:tcPr>
          <w:p>
            <w:r>
              <w:rPr>
                <w:b w:val="false"/>
                <w:bCs w:val="false"/>
                <w:color w:val="1A1A1A"/>
                <w:sz w:val="15"/>
                <w:szCs w:val="15"/>
              </w:rPr>
              <w:t xml:space="preserve">Solutions shall be as simple as possible while satisfying all functional, security, and non-functional requirements. Avoid over-engineering, premature optimization, unnecessary abstraction, excessive customization, and complex dependency chains.</w:t>
            </w:r>
          </w:p>
        </w:tc>
      </w:tr>
      <w:tr>
        <w:tc>
          <w:tcPr>
            <w:tcW w:type="dxa" w:w="2419"/>
            <w:tcMar>
              <w:top w:type="dxa" w:w="70"/>
              <w:left w:type="dxa" w:w="110"/>
              <w:bottom w:type="dxa" w:w="70"/>
              <w:right w:type="dxa" w:w="110"/>
            </w:tcMar>
            <w:vAlign w:val="top"/>
          </w:tcPr>
          <w:p>
            <w:r>
              <w:rPr>
                <w:b/>
                <w:bCs/>
                <w:color w:val="1A1A1A"/>
                <w:sz w:val="15"/>
                <w:szCs w:val="15"/>
              </w:rPr>
              <w:t xml:space="preserve">4. Modular Architecture</w:t>
            </w:r>
          </w:p>
        </w:tc>
        <w:tc>
          <w:tcPr>
            <w:tcW w:type="dxa" w:w="7661"/>
            <w:tcMar>
              <w:top w:type="dxa" w:w="70"/>
              <w:left w:type="dxa" w:w="110"/>
              <w:bottom w:type="dxa" w:w="70"/>
              <w:right w:type="dxa" w:w="110"/>
            </w:tcMar>
            <w:vAlign w:val="top"/>
          </w:tcPr>
          <w:p>
            <w:r>
              <w:rPr>
                <w:b w:val="false"/>
                <w:bCs w:val="false"/>
                <w:color w:val="1A1A1A"/>
                <w:sz w:val="15"/>
                <w:szCs w:val="15"/>
              </w:rPr>
              <w:t xml:space="preserve">The platform shall be organized into cohesive, loosely coupled modules with clearly defined responsibilities — each encapsulating a distinct business capability, exposing well-defined interfaces, minimizing dependencies, and supporting independent testing and reuse.</w:t>
            </w:r>
          </w:p>
        </w:tc>
      </w:tr>
      <w:tr>
        <w:tc>
          <w:tcPr>
            <w:tcW w:type="dxa" w:w="2419"/>
            <w:tcMar>
              <w:top w:type="dxa" w:w="70"/>
              <w:left w:type="dxa" w:w="110"/>
              <w:bottom w:type="dxa" w:w="70"/>
              <w:right w:type="dxa" w:w="110"/>
            </w:tcMar>
            <w:vAlign w:val="top"/>
          </w:tcPr>
          <w:p>
            <w:r>
              <w:rPr>
                <w:b/>
                <w:bCs/>
                <w:color w:val="1A1A1A"/>
                <w:sz w:val="15"/>
                <w:szCs w:val="15"/>
              </w:rPr>
              <w:t xml:space="preserve">5. API-First Engineering</w:t>
            </w:r>
          </w:p>
        </w:tc>
        <w:tc>
          <w:tcPr>
            <w:tcW w:type="dxa" w:w="7661"/>
            <w:tcMar>
              <w:top w:type="dxa" w:w="70"/>
              <w:left w:type="dxa" w:w="110"/>
              <w:bottom w:type="dxa" w:w="70"/>
              <w:right w:type="dxa" w:w="110"/>
            </w:tcMar>
            <w:vAlign w:val="top"/>
          </w:tcPr>
          <w:p>
            <w:r>
              <w:rPr>
                <w:b w:val="false"/>
                <w:bCs w:val="false"/>
                <w:color w:val="1A1A1A"/>
                <w:sz w:val="15"/>
                <w:szCs w:val="15"/>
              </w:rPr>
              <w:t xml:space="preserve">All business capabilities shall be accessible through secure, standards-based APIs — following RESTful principles unless justified otherwise, versioned, documented using OpenAPI/Swagger, returning consistent responses, and supporting secure authentication, authorization, and structured error handling. User interfaces shall consume these APIs rather than bypassing the service layer.</w:t>
            </w:r>
          </w:p>
        </w:tc>
      </w:tr>
      <w:tr>
        <w:tc>
          <w:tcPr>
            <w:tcW w:type="dxa" w:w="2419"/>
            <w:tcMar>
              <w:top w:type="dxa" w:w="70"/>
              <w:left w:type="dxa" w:w="110"/>
              <w:bottom w:type="dxa" w:w="70"/>
              <w:right w:type="dxa" w:w="110"/>
            </w:tcMar>
            <w:vAlign w:val="top"/>
          </w:tcPr>
          <w:p>
            <w:r>
              <w:rPr>
                <w:b/>
                <w:bCs/>
                <w:color w:val="1A1A1A"/>
                <w:sz w:val="15"/>
                <w:szCs w:val="15"/>
              </w:rPr>
              <w:t xml:space="preserve">6. Security by Design</w:t>
            </w:r>
          </w:p>
        </w:tc>
        <w:tc>
          <w:tcPr>
            <w:tcW w:type="dxa" w:w="7661"/>
            <w:tcMar>
              <w:top w:type="dxa" w:w="70"/>
              <w:left w:type="dxa" w:w="110"/>
              <w:bottom w:type="dxa" w:w="70"/>
              <w:right w:type="dxa" w:w="110"/>
            </w:tcMar>
            <w:vAlign w:val="top"/>
          </w:tcPr>
          <w:p>
            <w:r>
              <w:rPr>
                <w:b w:val="false"/>
                <w:bCs w:val="false"/>
                <w:color w:val="1A1A1A"/>
                <w:sz w:val="15"/>
                <w:szCs w:val="15"/>
              </w:rPr>
              <w:t xml:space="preserve">Security shall be integrated into every layer: secure architecture, Identity and Access Management (IAM), Role-Based Access Control (RBAC), encryption in transit and at rest, secure API design, input validation, secure coding practices, audit logging, secrets management, and infrastructure hardening — aligned with the OWASP Top 10 and applicable Nigerian data protection requirements.</w:t>
            </w:r>
          </w:p>
        </w:tc>
      </w:tr>
      <w:tr>
        <w:tc>
          <w:tcPr>
            <w:tcW w:type="dxa" w:w="2419"/>
            <w:tcMar>
              <w:top w:type="dxa" w:w="70"/>
              <w:left w:type="dxa" w:w="110"/>
              <w:bottom w:type="dxa" w:w="70"/>
              <w:right w:type="dxa" w:w="110"/>
            </w:tcMar>
            <w:vAlign w:val="top"/>
          </w:tcPr>
          <w:p>
            <w:r>
              <w:rPr>
                <w:b/>
                <w:bCs/>
                <w:color w:val="1A1A1A"/>
                <w:sz w:val="15"/>
                <w:szCs w:val="15"/>
              </w:rPr>
              <w:t xml:space="preserve">7. Privacy by Design</w:t>
            </w:r>
          </w:p>
        </w:tc>
        <w:tc>
          <w:tcPr>
            <w:tcW w:type="dxa" w:w="7661"/>
            <w:tcMar>
              <w:top w:type="dxa" w:w="70"/>
              <w:left w:type="dxa" w:w="110"/>
              <w:bottom w:type="dxa" w:w="70"/>
              <w:right w:type="dxa" w:w="110"/>
            </w:tcMar>
            <w:vAlign w:val="top"/>
          </w:tcPr>
          <w:p>
            <w:r>
              <w:rPr>
                <w:b w:val="false"/>
                <w:bCs w:val="false"/>
                <w:color w:val="1A1A1A"/>
                <w:sz w:val="15"/>
                <w:szCs w:val="15"/>
              </w:rPr>
              <w:t xml:space="preserve">Personal and sensitive programme information shall be collected, processed, stored, and shared only where necessary and in accordance with approved policies and applicable regulations, implementing data minimization, purpose limitation, secure retention, controlled access, secure deletion, and comprehensive auditability.</w:t>
            </w:r>
          </w:p>
        </w:tc>
      </w:tr>
      <w:tr>
        <w:tc>
          <w:tcPr>
            <w:tcW w:type="dxa" w:w="2419"/>
            <w:tcMar>
              <w:top w:type="dxa" w:w="70"/>
              <w:left w:type="dxa" w:w="110"/>
              <w:bottom w:type="dxa" w:w="70"/>
              <w:right w:type="dxa" w:w="110"/>
            </w:tcMar>
            <w:vAlign w:val="top"/>
          </w:tcPr>
          <w:p>
            <w:r>
              <w:rPr>
                <w:b/>
                <w:bCs/>
                <w:color w:val="1A1A1A"/>
                <w:sz w:val="15"/>
                <w:szCs w:val="15"/>
              </w:rPr>
              <w:t xml:space="preserve">8. Scalability by Design</w:t>
            </w:r>
          </w:p>
        </w:tc>
        <w:tc>
          <w:tcPr>
            <w:tcW w:type="dxa" w:w="7661"/>
            <w:tcMar>
              <w:top w:type="dxa" w:w="70"/>
              <w:left w:type="dxa" w:w="110"/>
              <w:bottom w:type="dxa" w:w="70"/>
              <w:right w:type="dxa" w:w="110"/>
            </w:tcMar>
            <w:vAlign w:val="top"/>
          </w:tcPr>
          <w:p>
            <w:r>
              <w:rPr>
                <w:b w:val="false"/>
                <w:bCs w:val="false"/>
                <w:color w:val="1A1A1A"/>
                <w:sz w:val="15"/>
                <w:szCs w:val="15"/>
              </w:rPr>
              <w:t xml:space="preserve">The architecture shall support growth without fundamental redesign across users, projects, states, documents, knowledge assets, workflows, integrations, reports, and data volumes, anticipating future expansion without adding unnecessary complexity to the initial implementation.</w:t>
            </w:r>
          </w:p>
        </w:tc>
      </w:tr>
      <w:tr>
        <w:tc>
          <w:tcPr>
            <w:tcW w:type="dxa" w:w="2419"/>
            <w:tcMar>
              <w:top w:type="dxa" w:w="70"/>
              <w:left w:type="dxa" w:w="110"/>
              <w:bottom w:type="dxa" w:w="70"/>
              <w:right w:type="dxa" w:w="110"/>
            </w:tcMar>
            <w:vAlign w:val="top"/>
          </w:tcPr>
          <w:p>
            <w:r>
              <w:rPr>
                <w:b/>
                <w:bCs/>
                <w:color w:val="1A1A1A"/>
                <w:sz w:val="15"/>
                <w:szCs w:val="15"/>
              </w:rPr>
              <w:t xml:space="preserve">9. Cloud-Ready Architecture</w:t>
            </w:r>
          </w:p>
        </w:tc>
        <w:tc>
          <w:tcPr>
            <w:tcW w:type="dxa" w:w="7661"/>
            <w:tcMar>
              <w:top w:type="dxa" w:w="70"/>
              <w:left w:type="dxa" w:w="110"/>
              <w:bottom w:type="dxa" w:w="70"/>
              <w:right w:type="dxa" w:w="110"/>
            </w:tcMar>
            <w:vAlign w:val="top"/>
          </w:tcPr>
          <w:p>
            <w:r>
              <w:rPr>
                <w:b w:val="false"/>
                <w:bCs w:val="false"/>
                <w:color w:val="1A1A1A"/>
                <w:sz w:val="15"/>
                <w:szCs w:val="15"/>
              </w:rPr>
              <w:t xml:space="preserve">The solution shall remain deployable across on-premises, private cloud, public cloud, or hybrid infrastructure; deployment choices shall not restrict future migration or infrastructure evolution.</w:t>
            </w:r>
          </w:p>
        </w:tc>
      </w:tr>
      <w:tr>
        <w:tc>
          <w:tcPr>
            <w:tcW w:type="dxa" w:w="2419"/>
            <w:tcMar>
              <w:top w:type="dxa" w:w="70"/>
              <w:left w:type="dxa" w:w="110"/>
              <w:bottom w:type="dxa" w:w="70"/>
              <w:right w:type="dxa" w:w="110"/>
            </w:tcMar>
            <w:vAlign w:val="top"/>
          </w:tcPr>
          <w:p>
            <w:r>
              <w:rPr>
                <w:b/>
                <w:bCs/>
                <w:color w:val="1A1A1A"/>
                <w:sz w:val="15"/>
                <w:szCs w:val="15"/>
              </w:rPr>
              <w:t xml:space="preserve">10. Quality by Default</w:t>
            </w:r>
          </w:p>
        </w:tc>
        <w:tc>
          <w:tcPr>
            <w:tcW w:type="dxa" w:w="7661"/>
            <w:tcMar>
              <w:top w:type="dxa" w:w="70"/>
              <w:left w:type="dxa" w:w="110"/>
              <w:bottom w:type="dxa" w:w="70"/>
              <w:right w:type="dxa" w:w="110"/>
            </w:tcMar>
            <w:vAlign w:val="top"/>
          </w:tcPr>
          <w:p>
            <w:r>
              <w:rPr>
                <w:b w:val="false"/>
                <w:bCs w:val="false"/>
                <w:color w:val="1A1A1A"/>
                <w:sz w:val="15"/>
                <w:szCs w:val="15"/>
              </w:rPr>
              <w:t xml:space="preserve">Quality shall be embedded throughout the software development lifecycle: peer review, static analysis, automated testing, integration testing, security validation, and User Acceptance Testing. Defect prevention is preferred over defect correction.</w:t>
            </w:r>
          </w:p>
        </w:tc>
      </w:tr>
      <w:tr>
        <w:tc>
          <w:tcPr>
            <w:tcW w:type="dxa" w:w="2419"/>
            <w:tcMar>
              <w:top w:type="dxa" w:w="70"/>
              <w:left w:type="dxa" w:w="110"/>
              <w:bottom w:type="dxa" w:w="70"/>
              <w:right w:type="dxa" w:w="110"/>
            </w:tcMar>
            <w:vAlign w:val="top"/>
          </w:tcPr>
          <w:p>
            <w:r>
              <w:rPr>
                <w:b/>
                <w:bCs/>
                <w:color w:val="1A1A1A"/>
                <w:sz w:val="15"/>
                <w:szCs w:val="15"/>
              </w:rPr>
              <w:t xml:space="preserve">11. Automation Wherever Practical</w:t>
            </w:r>
          </w:p>
        </w:tc>
        <w:tc>
          <w:tcPr>
            <w:tcW w:type="dxa" w:w="7661"/>
            <w:tcMar>
              <w:top w:type="dxa" w:w="70"/>
              <w:left w:type="dxa" w:w="110"/>
              <w:bottom w:type="dxa" w:w="70"/>
              <w:right w:type="dxa" w:w="110"/>
            </w:tcMar>
            <w:vAlign w:val="top"/>
          </w:tcPr>
          <w:p>
            <w:r>
              <w:rPr>
                <w:b w:val="false"/>
                <w:bCs w:val="false"/>
                <w:color w:val="1A1A1A"/>
                <w:sz w:val="15"/>
                <w:szCs w:val="15"/>
              </w:rPr>
              <w:t xml:space="preserve">Automate builds, testing, code quality analysis, security scanning, deployments, infrastructure provisioning, monitoring, backup verification, and documentation generation wherever practical, to improve consistency, reduce human error, and accelerate delivery.</w:t>
            </w:r>
          </w:p>
        </w:tc>
      </w:tr>
      <w:tr>
        <w:tc>
          <w:tcPr>
            <w:tcW w:type="dxa" w:w="2419"/>
            <w:tcMar>
              <w:top w:type="dxa" w:w="70"/>
              <w:left w:type="dxa" w:w="110"/>
              <w:bottom w:type="dxa" w:w="70"/>
              <w:right w:type="dxa" w:w="110"/>
            </w:tcMar>
            <w:vAlign w:val="top"/>
          </w:tcPr>
          <w:p>
            <w:r>
              <w:rPr>
                <w:b/>
                <w:bCs/>
                <w:color w:val="1A1A1A"/>
                <w:sz w:val="15"/>
                <w:szCs w:val="15"/>
              </w:rPr>
              <w:t xml:space="preserve">12. Observability by Design</w:t>
            </w:r>
          </w:p>
        </w:tc>
        <w:tc>
          <w:tcPr>
            <w:tcW w:type="dxa" w:w="7661"/>
            <w:tcMar>
              <w:top w:type="dxa" w:w="70"/>
              <w:left w:type="dxa" w:w="110"/>
              <w:bottom w:type="dxa" w:w="70"/>
              <w:right w:type="dxa" w:w="110"/>
            </w:tcMar>
            <w:vAlign w:val="top"/>
          </w:tcPr>
          <w:p>
            <w:r>
              <w:rPr>
                <w:b w:val="false"/>
                <w:bCs w:val="false"/>
                <w:color w:val="1A1A1A"/>
                <w:sz w:val="15"/>
                <w:szCs w:val="15"/>
              </w:rPr>
              <w:t xml:space="preserve">Every component shall produce structured logs, performance metrics, distributed traces (where applicable), health indicators, audit events, and operational alerts, supporting proactive monitoring, troubleshooting, capacity planning, and service improvement.</w:t>
            </w:r>
          </w:p>
        </w:tc>
      </w:tr>
      <w:tr>
        <w:tc>
          <w:tcPr>
            <w:tcW w:type="dxa" w:w="2419"/>
            <w:tcMar>
              <w:top w:type="dxa" w:w="70"/>
              <w:left w:type="dxa" w:w="110"/>
              <w:bottom w:type="dxa" w:w="70"/>
              <w:right w:type="dxa" w:w="110"/>
            </w:tcMar>
            <w:vAlign w:val="top"/>
          </w:tcPr>
          <w:p>
            <w:r>
              <w:rPr>
                <w:b/>
                <w:bCs/>
                <w:color w:val="1A1A1A"/>
                <w:sz w:val="15"/>
                <w:szCs w:val="15"/>
              </w:rPr>
              <w:t xml:space="preserve">13. Documentation as a Deliverable</w:t>
            </w:r>
          </w:p>
        </w:tc>
        <w:tc>
          <w:tcPr>
            <w:tcW w:type="dxa" w:w="7661"/>
            <w:tcMar>
              <w:top w:type="dxa" w:w="70"/>
              <w:left w:type="dxa" w:w="110"/>
              <w:bottom w:type="dxa" w:w="70"/>
              <w:right w:type="dxa" w:w="110"/>
            </w:tcMar>
            <w:vAlign w:val="top"/>
          </w:tcPr>
          <w:p>
            <w:r>
              <w:rPr>
                <w:b w:val="false"/>
                <w:bCs w:val="false"/>
                <w:color w:val="1A1A1A"/>
                <w:sz w:val="15"/>
                <w:szCs w:val="15"/>
              </w:rPr>
              <w:t xml:space="preserve">Documentation is an engineering deliverable, not an afterthought: architecture documentation, API documentation, database documentation, deployment guides, operational procedures, administrator guides, user manuals, configuration references, and Architecture Decision Records (ADRs) — all version-controlled and maintained alongside the solution.</w:t>
            </w:r>
          </w:p>
        </w:tc>
      </w:tr>
      <w:tr>
        <w:tc>
          <w:tcPr>
            <w:tcW w:type="dxa" w:w="2419"/>
            <w:tcMar>
              <w:top w:type="dxa" w:w="70"/>
              <w:left w:type="dxa" w:w="110"/>
              <w:bottom w:type="dxa" w:w="70"/>
              <w:right w:type="dxa" w:w="110"/>
            </w:tcMar>
            <w:vAlign w:val="top"/>
          </w:tcPr>
          <w:p>
            <w:r>
              <w:rPr>
                <w:b/>
                <w:bCs/>
                <w:color w:val="1A1A1A"/>
                <w:sz w:val="15"/>
                <w:szCs w:val="15"/>
              </w:rPr>
              <w:t xml:space="preserve">14. Accessibility and Inclusive Design</w:t>
            </w:r>
          </w:p>
        </w:tc>
        <w:tc>
          <w:tcPr>
            <w:tcW w:type="dxa" w:w="7661"/>
            <w:tcMar>
              <w:top w:type="dxa" w:w="70"/>
              <w:left w:type="dxa" w:w="110"/>
              <w:bottom w:type="dxa" w:w="70"/>
              <w:right w:type="dxa" w:w="110"/>
            </w:tcMar>
            <w:vAlign w:val="top"/>
          </w:tcPr>
          <w:p>
            <w:r>
              <w:rPr>
                <w:b w:val="false"/>
                <w:bCs w:val="false"/>
                <w:color w:val="1A1A1A"/>
                <w:sz w:val="15"/>
                <w:szCs w:val="15"/>
              </w:rPr>
              <w:t xml:space="preserve">The platform shall be designed to support a diverse user community, meeting recognized accessibility standards (such as WCAG 2.1 AA where practical) — keyboard navigation, screen reader compatibility, sufficient color contrast, responsive layouts, clear navigation, and consistent interaction patterns.</w:t>
            </w:r>
          </w:p>
        </w:tc>
      </w:tr>
      <w:tr>
        <w:tc>
          <w:tcPr>
            <w:tcW w:type="dxa" w:w="2419"/>
            <w:tcMar>
              <w:top w:type="dxa" w:w="70"/>
              <w:left w:type="dxa" w:w="110"/>
              <w:bottom w:type="dxa" w:w="70"/>
              <w:right w:type="dxa" w:w="110"/>
            </w:tcMar>
            <w:vAlign w:val="top"/>
          </w:tcPr>
          <w:p>
            <w:r>
              <w:rPr>
                <w:b/>
                <w:bCs/>
                <w:color w:val="1A1A1A"/>
                <w:sz w:val="15"/>
                <w:szCs w:val="15"/>
              </w:rPr>
              <w:t xml:space="preserve">15. Sustainability and Maintainability</w:t>
            </w:r>
          </w:p>
        </w:tc>
        <w:tc>
          <w:tcPr>
            <w:tcW w:type="dxa" w:w="7661"/>
            <w:tcMar>
              <w:top w:type="dxa" w:w="70"/>
              <w:left w:type="dxa" w:w="110"/>
              <w:bottom w:type="dxa" w:w="70"/>
              <w:right w:type="dxa" w:w="110"/>
            </w:tcMar>
            <w:vAlign w:val="top"/>
          </w:tcPr>
          <w:p>
            <w:r>
              <w:rPr>
                <w:b w:val="false"/>
                <w:bCs w:val="false"/>
                <w:color w:val="1A1A1A"/>
                <w:sz w:val="15"/>
                <w:szCs w:val="15"/>
              </w:rPr>
              <w:t xml:space="preserve">Engineering decisions shall prioritize readable code, consistent architecture, low technical debt, reusable components, clear documentation, testability, and ease of enhancement, so the platform remains maintainable by future engineering teams without reliance on undocumented knowledge.</w:t>
            </w:r>
          </w:p>
        </w:tc>
      </w:tr>
      <w:tr>
        <w:tc>
          <w:tcPr>
            <w:tcW w:type="dxa" w:w="2419"/>
            <w:tcMar>
              <w:top w:type="dxa" w:w="70"/>
              <w:left w:type="dxa" w:w="110"/>
              <w:bottom w:type="dxa" w:w="70"/>
              <w:right w:type="dxa" w:w="110"/>
            </w:tcMar>
            <w:vAlign w:val="top"/>
          </w:tcPr>
          <w:p>
            <w:r>
              <w:rPr>
                <w:b/>
                <w:bCs/>
                <w:color w:val="1A1A1A"/>
                <w:sz w:val="15"/>
                <w:szCs w:val="15"/>
              </w:rPr>
              <w:t xml:space="preserve">16. Artificial Intelligence with Responsible Governance</w:t>
            </w:r>
          </w:p>
        </w:tc>
        <w:tc>
          <w:tcPr>
            <w:tcW w:type="dxa" w:w="7661"/>
            <w:tcMar>
              <w:top w:type="dxa" w:w="70"/>
              <w:left w:type="dxa" w:w="110"/>
              <w:bottom w:type="dxa" w:w="70"/>
              <w:right w:type="dxa" w:w="110"/>
            </w:tcMar>
            <w:vAlign w:val="top"/>
          </w:tcPr>
          <w:p>
            <w:r>
              <w:rPr>
                <w:b w:val="false"/>
                <w:bCs w:val="false"/>
                <w:color w:val="1A1A1A"/>
                <w:sz w:val="15"/>
                <w:szCs w:val="15"/>
              </w:rPr>
              <w:t xml:space="preserve">Where AI capabilities are implemented, they shall be transparent, explainable where feasible, secure, subject to human oversight, configurable, and clearly distinguished from deterministic system functionality. AI features proposed for future phases shall not be represented as contractual Phase 1 deliverables unless explicitly required by the approved project scope.</w:t>
            </w:r>
          </w:p>
        </w:tc>
      </w:tr>
      <w:tr>
        <w:tc>
          <w:tcPr>
            <w:tcW w:type="dxa" w:w="2419"/>
            <w:tcMar>
              <w:top w:type="dxa" w:w="70"/>
              <w:left w:type="dxa" w:w="110"/>
              <w:bottom w:type="dxa" w:w="70"/>
              <w:right w:type="dxa" w:w="110"/>
            </w:tcMar>
            <w:vAlign w:val="top"/>
          </w:tcPr>
          <w:p>
            <w:r>
              <w:rPr>
                <w:b/>
                <w:bCs/>
                <w:color w:val="1A1A1A"/>
                <w:sz w:val="15"/>
                <w:szCs w:val="15"/>
              </w:rPr>
              <w:t xml:space="preserve">17. Continuous Improvement</w:t>
            </w:r>
          </w:p>
        </w:tc>
        <w:tc>
          <w:tcPr>
            <w:tcW w:type="dxa" w:w="7661"/>
            <w:tcMar>
              <w:top w:type="dxa" w:w="70"/>
              <w:left w:type="dxa" w:w="110"/>
              <w:bottom w:type="dxa" w:w="70"/>
              <w:right w:type="dxa" w:w="110"/>
            </w:tcMar>
            <w:vAlign w:val="top"/>
          </w:tcPr>
          <w:p>
            <w:r>
              <w:rPr>
                <w:b w:val="false"/>
                <w:bCs w:val="false"/>
                <w:color w:val="1A1A1A"/>
                <w:sz w:val="15"/>
                <w:szCs w:val="15"/>
              </w:rPr>
              <w:t xml:space="preserve">Engineering is an iterative discipline: continuously review performance, improve code quality, refine processes, incorporate stakeholder feedback, address technical debt, and strengthen operational resilience. Lessons learned shall be documented and incorporated into subsequent iterations.</w:t>
            </w:r>
          </w:p>
        </w:tc>
      </w:tr>
    </w:tbl>
    <w:p>
      <w:pPr>
        <w:pStyle w:val="Heading1"/>
        <w:pBdr>
          <w:bottom w:val="single" w:color="C6D2E0" w:sz="4" w:space="4"/>
        </w:pBdr>
        <w:spacing w:after="140" w:before="360"/>
      </w:pPr>
      <w:r>
        <w:rPr>
          <w:b/>
          <w:bCs/>
          <w:color w:val="4A6FA5"/>
          <w:sz w:val="26"/>
          <w:szCs w:val="26"/>
        </w:rPr>
        <w:t xml:space="preserve">5.4  </w:t>
      </w:r>
      <w:r>
        <w:rPr>
          <w:b/>
          <w:bCs/>
          <w:color w:val="1F3864"/>
          <w:sz w:val="26"/>
          <w:szCs w:val="26"/>
        </w:rPr>
        <w:t xml:space="preserve">Engineering Decision Framework</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order of precedence used to resolve competing technical approaches.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technical trade-offs are resolved consistently, not on an ad hoc, individual-engineer basis.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these seventeen principles in a specific, non-negotiable priority order when they conflict.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Defensible, audit-ready technical decisions across the programme.</w:t>
            </w:r>
          </w:p>
        </w:tc>
      </w:tr>
    </w:tbl>
    <w:p>
      <w:pPr>
        <w:spacing w:after="160"/>
      </w:pPr>
    </w:p>
    <w:p>
      <w:pPr>
        <w:spacing w:after="150" w:line="276"/>
        <w:jc w:val="both"/>
      </w:pPr>
      <w:r>
        <w:t xml:space="preserve">When multiple technical approaches are available, engineering decisions shall be evaluated using the following order of precedence.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8669"/>
      </w:tblGrid>
      <w:tr>
        <w:trPr>
          <w:tblHeader/>
        </w:trPr>
        <w:tc>
          <w:tcPr>
            <w:tcW w:type="dxa" w:w="1411"/>
            <w:shd w:fill="1F3864" w:val="clear"/>
            <w:tcMar>
              <w:top w:type="dxa" w:w="70"/>
              <w:left w:type="dxa" w:w="110"/>
              <w:bottom w:type="dxa" w:w="70"/>
              <w:right w:type="dxa" w:w="110"/>
            </w:tcMar>
            <w:vAlign w:val="top"/>
          </w:tcPr>
          <w:p>
            <w:r>
              <w:rPr>
                <w:b/>
                <w:bCs/>
                <w:color w:val="FFFFFF"/>
                <w:sz w:val="17"/>
                <w:szCs w:val="17"/>
              </w:rPr>
              <w:t xml:space="preserve">Priority</w:t>
            </w:r>
          </w:p>
        </w:tc>
        <w:tc>
          <w:tcPr>
            <w:tcW w:type="dxa" w:w="8669"/>
            <w:shd w:fill="1F3864" w:val="clear"/>
            <w:tcMar>
              <w:top w:type="dxa" w:w="70"/>
              <w:left w:type="dxa" w:w="110"/>
              <w:bottom w:type="dxa" w:w="70"/>
              <w:right w:type="dxa" w:w="110"/>
            </w:tcMar>
            <w:vAlign w:val="top"/>
          </w:tcPr>
          <w:p>
            <w:r>
              <w:rPr>
                <w:b/>
                <w:bCs/>
                <w:color w:val="FFFFFF"/>
                <w:sz w:val="17"/>
                <w:szCs w:val="17"/>
              </w:rPr>
              <w:t xml:space="preserve">Decision Criterion</w:t>
            </w:r>
          </w:p>
        </w:tc>
      </w:tr>
      <w:tr>
        <w:tc>
          <w:tcPr>
            <w:tcW w:type="dxa" w:w="1411"/>
            <w:tcMar>
              <w:top w:type="dxa" w:w="70"/>
              <w:left w:type="dxa" w:w="110"/>
              <w:bottom w:type="dxa" w:w="70"/>
              <w:right w:type="dxa" w:w="110"/>
            </w:tcMar>
            <w:vAlign w:val="top"/>
          </w:tcPr>
          <w:p>
            <w:r>
              <w:rPr>
                <w:b/>
                <w:bCs/>
                <w:color w:val="1A1A1A"/>
                <w:sz w:val="17"/>
                <w:szCs w:val="17"/>
              </w:rPr>
              <w:t xml:space="preserve">1</w:t>
            </w:r>
          </w:p>
        </w:tc>
        <w:tc>
          <w:tcPr>
            <w:tcW w:type="dxa" w:w="8669"/>
            <w:tcMar>
              <w:top w:type="dxa" w:w="70"/>
              <w:left w:type="dxa" w:w="110"/>
              <w:bottom w:type="dxa" w:w="70"/>
              <w:right w:type="dxa" w:w="110"/>
            </w:tcMar>
            <w:vAlign w:val="top"/>
          </w:tcPr>
          <w:p>
            <w:r>
              <w:rPr>
                <w:b w:val="false"/>
                <w:bCs w:val="false"/>
                <w:color w:val="1A1A1A"/>
                <w:sz w:val="17"/>
                <w:szCs w:val="17"/>
              </w:rPr>
              <w:t xml:space="preserve">Alignment with approved business objectives.</w:t>
            </w:r>
          </w:p>
        </w:tc>
      </w:tr>
      <w:tr>
        <w:tc>
          <w:tcPr>
            <w:tcW w:type="dxa" w:w="1411"/>
            <w:tcMar>
              <w:top w:type="dxa" w:w="70"/>
              <w:left w:type="dxa" w:w="110"/>
              <w:bottom w:type="dxa" w:w="70"/>
              <w:right w:type="dxa" w:w="110"/>
            </w:tcMar>
            <w:vAlign w:val="top"/>
          </w:tcPr>
          <w:p>
            <w:r>
              <w:rPr>
                <w:b/>
                <w:bCs/>
                <w:color w:val="1A1A1A"/>
                <w:sz w:val="17"/>
                <w:szCs w:val="17"/>
              </w:rPr>
              <w:t xml:space="preserve">2</w:t>
            </w:r>
          </w:p>
        </w:tc>
        <w:tc>
          <w:tcPr>
            <w:tcW w:type="dxa" w:w="8669"/>
            <w:tcMar>
              <w:top w:type="dxa" w:w="70"/>
              <w:left w:type="dxa" w:w="110"/>
              <w:bottom w:type="dxa" w:w="70"/>
              <w:right w:type="dxa" w:w="110"/>
            </w:tcMar>
            <w:vAlign w:val="top"/>
          </w:tcPr>
          <w:p>
            <w:r>
              <w:rPr>
                <w:b w:val="false"/>
                <w:bCs w:val="false"/>
                <w:color w:val="1A1A1A"/>
                <w:sz w:val="17"/>
                <w:szCs w:val="17"/>
              </w:rPr>
              <w:t xml:space="preserve">Compliance with the Enterprise Architecture Blueprint.</w:t>
            </w:r>
          </w:p>
        </w:tc>
      </w:tr>
      <w:tr>
        <w:tc>
          <w:tcPr>
            <w:tcW w:type="dxa" w:w="1411"/>
            <w:tcMar>
              <w:top w:type="dxa" w:w="70"/>
              <w:left w:type="dxa" w:w="110"/>
              <w:bottom w:type="dxa" w:w="70"/>
              <w:right w:type="dxa" w:w="110"/>
            </w:tcMar>
            <w:vAlign w:val="top"/>
          </w:tcPr>
          <w:p>
            <w:r>
              <w:rPr>
                <w:b/>
                <w:bCs/>
                <w:color w:val="1A1A1A"/>
                <w:sz w:val="17"/>
                <w:szCs w:val="17"/>
              </w:rPr>
              <w:t xml:space="preserve">3</w:t>
            </w:r>
          </w:p>
        </w:tc>
        <w:tc>
          <w:tcPr>
            <w:tcW w:type="dxa" w:w="8669"/>
            <w:tcMar>
              <w:top w:type="dxa" w:w="70"/>
              <w:left w:type="dxa" w:w="110"/>
              <w:bottom w:type="dxa" w:w="70"/>
              <w:right w:type="dxa" w:w="110"/>
            </w:tcMar>
            <w:vAlign w:val="top"/>
          </w:tcPr>
          <w:p>
            <w:r>
              <w:rPr>
                <w:b w:val="false"/>
                <w:bCs w:val="false"/>
                <w:color w:val="1A1A1A"/>
                <w:sz w:val="17"/>
                <w:szCs w:val="17"/>
              </w:rPr>
              <w:t xml:space="preserve">Security and privacy implications.</w:t>
            </w:r>
          </w:p>
        </w:tc>
      </w:tr>
      <w:tr>
        <w:tc>
          <w:tcPr>
            <w:tcW w:type="dxa" w:w="1411"/>
            <w:tcMar>
              <w:top w:type="dxa" w:w="70"/>
              <w:left w:type="dxa" w:w="110"/>
              <w:bottom w:type="dxa" w:w="70"/>
              <w:right w:type="dxa" w:w="110"/>
            </w:tcMar>
            <w:vAlign w:val="top"/>
          </w:tcPr>
          <w:p>
            <w:r>
              <w:rPr>
                <w:b/>
                <w:bCs/>
                <w:color w:val="1A1A1A"/>
                <w:sz w:val="17"/>
                <w:szCs w:val="17"/>
              </w:rPr>
              <w:t xml:space="preserve">4</w:t>
            </w:r>
          </w:p>
        </w:tc>
        <w:tc>
          <w:tcPr>
            <w:tcW w:type="dxa" w:w="8669"/>
            <w:tcMar>
              <w:top w:type="dxa" w:w="70"/>
              <w:left w:type="dxa" w:w="110"/>
              <w:bottom w:type="dxa" w:w="70"/>
              <w:right w:type="dxa" w:w="110"/>
            </w:tcMar>
            <w:vAlign w:val="top"/>
          </w:tcPr>
          <w:p>
            <w:r>
              <w:rPr>
                <w:b w:val="false"/>
                <w:bCs w:val="false"/>
                <w:color w:val="1A1A1A"/>
                <w:sz w:val="17"/>
                <w:szCs w:val="17"/>
              </w:rPr>
              <w:t xml:space="preserve">Long-term maintainability.</w:t>
            </w:r>
          </w:p>
        </w:tc>
      </w:tr>
      <w:tr>
        <w:tc>
          <w:tcPr>
            <w:tcW w:type="dxa" w:w="1411"/>
            <w:tcMar>
              <w:top w:type="dxa" w:w="70"/>
              <w:left w:type="dxa" w:w="110"/>
              <w:bottom w:type="dxa" w:w="70"/>
              <w:right w:type="dxa" w:w="110"/>
            </w:tcMar>
            <w:vAlign w:val="top"/>
          </w:tcPr>
          <w:p>
            <w:r>
              <w:rPr>
                <w:b/>
                <w:bCs/>
                <w:color w:val="1A1A1A"/>
                <w:sz w:val="17"/>
                <w:szCs w:val="17"/>
              </w:rPr>
              <w:t xml:space="preserve">5</w:t>
            </w:r>
          </w:p>
        </w:tc>
        <w:tc>
          <w:tcPr>
            <w:tcW w:type="dxa" w:w="8669"/>
            <w:tcMar>
              <w:top w:type="dxa" w:w="70"/>
              <w:left w:type="dxa" w:w="110"/>
              <w:bottom w:type="dxa" w:w="70"/>
              <w:right w:type="dxa" w:w="110"/>
            </w:tcMar>
            <w:vAlign w:val="top"/>
          </w:tcPr>
          <w:p>
            <w:r>
              <w:rPr>
                <w:b w:val="false"/>
                <w:bCs w:val="false"/>
                <w:color w:val="1A1A1A"/>
                <w:sz w:val="17"/>
                <w:szCs w:val="17"/>
              </w:rPr>
              <w:t xml:space="preserve">Scalability and extensibility.</w:t>
            </w:r>
          </w:p>
        </w:tc>
      </w:tr>
      <w:tr>
        <w:tc>
          <w:tcPr>
            <w:tcW w:type="dxa" w:w="1411"/>
            <w:tcMar>
              <w:top w:type="dxa" w:w="70"/>
              <w:left w:type="dxa" w:w="110"/>
              <w:bottom w:type="dxa" w:w="70"/>
              <w:right w:type="dxa" w:w="110"/>
            </w:tcMar>
            <w:vAlign w:val="top"/>
          </w:tcPr>
          <w:p>
            <w:r>
              <w:rPr>
                <w:b/>
                <w:bCs/>
                <w:color w:val="1A1A1A"/>
                <w:sz w:val="17"/>
                <w:szCs w:val="17"/>
              </w:rPr>
              <w:t xml:space="preserve">6</w:t>
            </w:r>
          </w:p>
        </w:tc>
        <w:tc>
          <w:tcPr>
            <w:tcW w:type="dxa" w:w="8669"/>
            <w:tcMar>
              <w:top w:type="dxa" w:w="70"/>
              <w:left w:type="dxa" w:w="110"/>
              <w:bottom w:type="dxa" w:w="70"/>
              <w:right w:type="dxa" w:w="110"/>
            </w:tcMar>
            <w:vAlign w:val="top"/>
          </w:tcPr>
          <w:p>
            <w:r>
              <w:rPr>
                <w:b w:val="false"/>
                <w:bCs w:val="false"/>
                <w:color w:val="1A1A1A"/>
                <w:sz w:val="17"/>
                <w:szCs w:val="17"/>
              </w:rPr>
              <w:t xml:space="preserve">Reliability and operational resilience.</w:t>
            </w:r>
          </w:p>
        </w:tc>
      </w:tr>
      <w:tr>
        <w:tc>
          <w:tcPr>
            <w:tcW w:type="dxa" w:w="1411"/>
            <w:tcMar>
              <w:top w:type="dxa" w:w="70"/>
              <w:left w:type="dxa" w:w="110"/>
              <w:bottom w:type="dxa" w:w="70"/>
              <w:right w:type="dxa" w:w="110"/>
            </w:tcMar>
            <w:vAlign w:val="top"/>
          </w:tcPr>
          <w:p>
            <w:r>
              <w:rPr>
                <w:b/>
                <w:bCs/>
                <w:color w:val="1A1A1A"/>
                <w:sz w:val="17"/>
                <w:szCs w:val="17"/>
              </w:rPr>
              <w:t xml:space="preserve">7</w:t>
            </w:r>
          </w:p>
        </w:tc>
        <w:tc>
          <w:tcPr>
            <w:tcW w:type="dxa" w:w="8669"/>
            <w:tcMar>
              <w:top w:type="dxa" w:w="70"/>
              <w:left w:type="dxa" w:w="110"/>
              <w:bottom w:type="dxa" w:w="70"/>
              <w:right w:type="dxa" w:w="110"/>
            </w:tcMar>
            <w:vAlign w:val="top"/>
          </w:tcPr>
          <w:p>
            <w:r>
              <w:rPr>
                <w:b w:val="false"/>
                <w:bCs w:val="false"/>
                <w:color w:val="1A1A1A"/>
                <w:sz w:val="17"/>
                <w:szCs w:val="17"/>
              </w:rPr>
              <w:t xml:space="preserve">User experience and accessibility.</w:t>
            </w:r>
          </w:p>
        </w:tc>
      </w:tr>
      <w:tr>
        <w:tc>
          <w:tcPr>
            <w:tcW w:type="dxa" w:w="1411"/>
            <w:tcMar>
              <w:top w:type="dxa" w:w="70"/>
              <w:left w:type="dxa" w:w="110"/>
              <w:bottom w:type="dxa" w:w="70"/>
              <w:right w:type="dxa" w:w="110"/>
            </w:tcMar>
            <w:vAlign w:val="top"/>
          </w:tcPr>
          <w:p>
            <w:r>
              <w:rPr>
                <w:b/>
                <w:bCs/>
                <w:color w:val="1A1A1A"/>
                <w:sz w:val="17"/>
                <w:szCs w:val="17"/>
              </w:rPr>
              <w:t xml:space="preserve">8</w:t>
            </w:r>
          </w:p>
        </w:tc>
        <w:tc>
          <w:tcPr>
            <w:tcW w:type="dxa" w:w="8669"/>
            <w:tcMar>
              <w:top w:type="dxa" w:w="70"/>
              <w:left w:type="dxa" w:w="110"/>
              <w:bottom w:type="dxa" w:w="70"/>
              <w:right w:type="dxa" w:w="110"/>
            </w:tcMar>
            <w:vAlign w:val="top"/>
          </w:tcPr>
          <w:p>
            <w:r>
              <w:rPr>
                <w:b w:val="false"/>
                <w:bCs w:val="false"/>
                <w:color w:val="1A1A1A"/>
                <w:sz w:val="17"/>
                <w:szCs w:val="17"/>
              </w:rPr>
              <w:t xml:space="preserve">Performance.</w:t>
            </w:r>
          </w:p>
        </w:tc>
      </w:tr>
      <w:tr>
        <w:tc>
          <w:tcPr>
            <w:tcW w:type="dxa" w:w="1411"/>
            <w:tcMar>
              <w:top w:type="dxa" w:w="70"/>
              <w:left w:type="dxa" w:w="110"/>
              <w:bottom w:type="dxa" w:w="70"/>
              <w:right w:type="dxa" w:w="110"/>
            </w:tcMar>
            <w:vAlign w:val="top"/>
          </w:tcPr>
          <w:p>
            <w:r>
              <w:rPr>
                <w:b/>
                <w:bCs/>
                <w:color w:val="1A1A1A"/>
                <w:sz w:val="17"/>
                <w:szCs w:val="17"/>
              </w:rPr>
              <w:t xml:space="preserve">9</w:t>
            </w:r>
          </w:p>
        </w:tc>
        <w:tc>
          <w:tcPr>
            <w:tcW w:type="dxa" w:w="8669"/>
            <w:tcMar>
              <w:top w:type="dxa" w:w="70"/>
              <w:left w:type="dxa" w:w="110"/>
              <w:bottom w:type="dxa" w:w="70"/>
              <w:right w:type="dxa" w:w="110"/>
            </w:tcMar>
            <w:vAlign w:val="top"/>
          </w:tcPr>
          <w:p>
            <w:r>
              <w:rPr>
                <w:b w:val="false"/>
                <w:bCs w:val="false"/>
                <w:color w:val="1A1A1A"/>
                <w:sz w:val="17"/>
                <w:szCs w:val="17"/>
              </w:rPr>
              <w:t xml:space="preserve">Cost of implementation and ownership.</w:t>
            </w:r>
          </w:p>
        </w:tc>
      </w:tr>
      <w:tr>
        <w:tc>
          <w:tcPr>
            <w:tcW w:type="dxa" w:w="1411"/>
            <w:tcMar>
              <w:top w:type="dxa" w:w="70"/>
              <w:left w:type="dxa" w:w="110"/>
              <w:bottom w:type="dxa" w:w="70"/>
              <w:right w:type="dxa" w:w="110"/>
            </w:tcMar>
            <w:vAlign w:val="top"/>
          </w:tcPr>
          <w:p>
            <w:r>
              <w:rPr>
                <w:b/>
                <w:bCs/>
                <w:color w:val="1A1A1A"/>
                <w:sz w:val="17"/>
                <w:szCs w:val="17"/>
              </w:rPr>
              <w:t xml:space="preserve">10</w:t>
            </w:r>
          </w:p>
        </w:tc>
        <w:tc>
          <w:tcPr>
            <w:tcW w:type="dxa" w:w="8669"/>
            <w:tcMar>
              <w:top w:type="dxa" w:w="70"/>
              <w:left w:type="dxa" w:w="110"/>
              <w:bottom w:type="dxa" w:w="70"/>
              <w:right w:type="dxa" w:w="110"/>
            </w:tcMar>
            <w:vAlign w:val="top"/>
          </w:tcPr>
          <w:p>
            <w:r>
              <w:rPr>
                <w:b w:val="false"/>
                <w:bCs w:val="false"/>
                <w:color w:val="1A1A1A"/>
                <w:sz w:val="17"/>
                <w:szCs w:val="17"/>
              </w:rPr>
              <w:t xml:space="preserve">Ease of support and knowledge transfer.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EF2F7" w:sz="2"/>
              <w:left w:val="single" w:color="4A6FA5" w:sz="24"/>
              <w:bottom w:val="single" w:color="EEF2F7" w:sz="2"/>
              <w:right w:val="single" w:color="EEF2F7" w:sz="2"/>
            </w:tcBorders>
            <w:shd w:fill="EEF2F7" w:val="clear"/>
            <w:tcMar>
              <w:top w:type="dxa" w:w="120"/>
              <w:left w:type="dxa" w:w="180"/>
              <w:bottom w:type="dxa" w:w="120"/>
              <w:right w:type="dxa" w:w="180"/>
            </w:tcMar>
          </w:tcPr>
          <w:p>
            <w:pPr>
              <w:spacing w:after="60"/>
            </w:pPr>
            <w:r>
              <w:rPr>
                <w:b/>
                <w:bCs/>
                <w:color w:val="4A6FA5"/>
                <w:sz w:val="17"/>
                <w:szCs w:val="17"/>
              </w:rPr>
              <w:t xml:space="preserve">NOTE</w:t>
            </w:r>
          </w:p>
          <w:p>
            <w:pPr>
              <w:spacing w:after="0"/>
            </w:pPr>
            <w:r>
              <w:rPr>
                <w:sz w:val="18"/>
                <w:szCs w:val="18"/>
              </w:rPr>
              <w:t xml:space="preserve">Chapter 2, Section 2.6 (Engineering Objectives and Decision Criteria) applies this same evaluative discipline at the strategic-objective level; this Section 5.4 is the detailed engineering-level version applied during architecture and implementation decisions.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1FB" w:sz="2"/>
              <w:left w:val="single" w:color="1F3864" w:sz="24"/>
              <w:bottom w:val="single" w:color="EAF1FB" w:sz="2"/>
              <w:right w:val="single" w:color="EAF1FB" w:sz="2"/>
            </w:tcBorders>
            <w:shd w:fill="EAF1FB" w:val="clear"/>
            <w:tcMar>
              <w:top w:type="dxa" w:w="120"/>
              <w:left w:type="dxa" w:w="180"/>
              <w:bottom w:type="dxa" w:w="120"/>
              <w:right w:type="dxa" w:w="180"/>
            </w:tcMar>
          </w:tcPr>
          <w:p>
            <w:pPr>
              <w:spacing w:after="60"/>
            </w:pPr>
            <w:r>
              <w:rPr>
                <w:b/>
                <w:bCs/>
                <w:color w:val="1F3864"/>
                <w:sz w:val="17"/>
                <w:szCs w:val="17"/>
              </w:rPr>
              <w:t xml:space="preserve">ARCHITECTURE DECISION</w:t>
            </w:r>
          </w:p>
          <w:p>
            <w:pPr>
              <w:spacing w:after="0"/>
            </w:pPr>
            <w:r>
              <w:rPr>
                <w:sz w:val="18"/>
                <w:szCs w:val="18"/>
              </w:rPr>
              <w:t xml:space="preserve">Any deviation from this framework shall be documented through an Architecture Decision Record (ADR) and approved through the project's governance process — see Chapter 22.</w:t>
            </w:r>
          </w:p>
        </w:tc>
      </w:tr>
    </w:tbl>
    <w:p>
      <w:pPr>
        <w:pStyle w:val="Heading1"/>
        <w:pBdr>
          <w:bottom w:val="single" w:color="C6D2E0" w:sz="4" w:space="4"/>
        </w:pBdr>
        <w:spacing w:after="140" w:before="360"/>
      </w:pPr>
      <w:r>
        <w:rPr>
          <w:b/>
          <w:bCs/>
          <w:color w:val="4A6FA5"/>
          <w:sz w:val="26"/>
          <w:szCs w:val="26"/>
        </w:rPr>
        <w:t xml:space="preserve">5.5  </w:t>
      </w:r>
      <w:r>
        <w:rPr>
          <w:b/>
          <w:bCs/>
          <w:color w:val="1F3864"/>
          <w:sz w:val="26"/>
          <w:szCs w:val="26"/>
        </w:rPr>
        <w:t xml:space="preserve">Engineering Rules for Antigravity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rules Antigravity follows when generating engineering outputs.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verifiable, auditable standard for AI-assisted engineering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These rules operationalize the Chapter 1 and Chapter 2 charters into specific generation-time constraints.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Engineering outputs that are traceable, production-ready, and free of invented scope.</w:t>
            </w:r>
          </w:p>
        </w:tc>
      </w:tr>
    </w:tbl>
    <w:p>
      <w:pPr>
        <w:spacing w:after="160"/>
      </w:pPr>
    </w:p>
    <w:p>
      <w:pPr>
        <w:spacing w:after="150" w:line="276"/>
        <w:jc w:val="both"/>
      </w:pPr>
      <w:r>
        <w:t xml:space="preserve">When generating engineering outputs, Antigravity shall adhere to the following mandatory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Rule</w:t>
            </w:r>
          </w:p>
        </w:tc>
        <w:tc>
          <w:tcPr>
            <w:tcW w:type="dxa" w:w="7459"/>
            <w:shd w:fill="1F3864" w:val="clear"/>
            <w:tcMar>
              <w:top w:type="dxa" w:w="70"/>
              <w:left w:type="dxa" w:w="110"/>
              <w:bottom w:type="dxa" w:w="70"/>
              <w:right w:type="dxa" w:w="110"/>
            </w:tcMar>
            <w:vAlign w:val="top"/>
          </w:tcPr>
          <w:p>
            <w:r>
              <w:rPr>
                <w:b/>
                <w:bCs/>
                <w:color w:val="FFFFFF"/>
                <w:sz w:val="17"/>
                <w:szCs w:val="17"/>
              </w:rPr>
              <w:t xml:space="preserve">Requirement</w:t>
            </w:r>
          </w:p>
        </w:tc>
      </w:tr>
      <w:tr>
        <w:tc>
          <w:tcPr>
            <w:tcW w:type="dxa" w:w="2621"/>
            <w:tcMar>
              <w:top w:type="dxa" w:w="70"/>
              <w:left w:type="dxa" w:w="110"/>
              <w:bottom w:type="dxa" w:w="70"/>
              <w:right w:type="dxa" w:w="110"/>
            </w:tcMar>
            <w:vAlign w:val="top"/>
          </w:tcPr>
          <w:p>
            <w:r>
              <w:rPr>
                <w:b/>
                <w:bCs/>
                <w:color w:val="1A1A1A"/>
                <w:sz w:val="16"/>
                <w:szCs w:val="16"/>
              </w:rPr>
              <w:t xml:space="preserve">Do Not Invent Requirements</w:t>
            </w:r>
          </w:p>
        </w:tc>
        <w:tc>
          <w:tcPr>
            <w:tcW w:type="dxa" w:w="7459"/>
            <w:tcMar>
              <w:top w:type="dxa" w:w="70"/>
              <w:left w:type="dxa" w:w="110"/>
              <w:bottom w:type="dxa" w:w="70"/>
              <w:right w:type="dxa" w:w="110"/>
            </w:tcMar>
            <w:vAlign w:val="top"/>
          </w:tcPr>
          <w:p>
            <w:r>
              <w:rPr>
                <w:b w:val="false"/>
                <w:bCs w:val="false"/>
                <w:color w:val="1A1A1A"/>
                <w:sz w:val="16"/>
                <w:szCs w:val="16"/>
              </w:rPr>
              <w:t xml:space="preserve">Implement only what is supported by the approved project documentation.</w:t>
            </w:r>
          </w:p>
        </w:tc>
      </w:tr>
      <w:tr>
        <w:tc>
          <w:tcPr>
            <w:tcW w:type="dxa" w:w="2621"/>
            <w:tcMar>
              <w:top w:type="dxa" w:w="70"/>
              <w:left w:type="dxa" w:w="110"/>
              <w:bottom w:type="dxa" w:w="70"/>
              <w:right w:type="dxa" w:w="110"/>
            </w:tcMar>
            <w:vAlign w:val="top"/>
          </w:tcPr>
          <w:p>
            <w:r>
              <w:rPr>
                <w:b/>
                <w:bCs/>
                <w:color w:val="1A1A1A"/>
                <w:sz w:val="16"/>
                <w:szCs w:val="16"/>
              </w:rPr>
              <w:t xml:space="preserve">Preserve Architectural Integrity</w:t>
            </w:r>
          </w:p>
        </w:tc>
        <w:tc>
          <w:tcPr>
            <w:tcW w:type="dxa" w:w="7459"/>
            <w:tcMar>
              <w:top w:type="dxa" w:w="70"/>
              <w:left w:type="dxa" w:w="110"/>
              <w:bottom w:type="dxa" w:w="70"/>
              <w:right w:type="dxa" w:w="110"/>
            </w:tcMar>
            <w:vAlign w:val="top"/>
          </w:tcPr>
          <w:p>
            <w:r>
              <w:rPr>
                <w:b w:val="false"/>
                <w:bCs w:val="false"/>
                <w:color w:val="1A1A1A"/>
                <w:sz w:val="16"/>
                <w:szCs w:val="16"/>
              </w:rPr>
              <w:t xml:space="preserve">Do not introduce technologies or patterns that conflict with the approved architecture without explicit justification.</w:t>
            </w:r>
          </w:p>
        </w:tc>
      </w:tr>
      <w:tr>
        <w:tc>
          <w:tcPr>
            <w:tcW w:type="dxa" w:w="2621"/>
            <w:tcMar>
              <w:top w:type="dxa" w:w="70"/>
              <w:left w:type="dxa" w:w="110"/>
              <w:bottom w:type="dxa" w:w="70"/>
              <w:right w:type="dxa" w:w="110"/>
            </w:tcMar>
            <w:vAlign w:val="top"/>
          </w:tcPr>
          <w:p>
            <w:r>
              <w:rPr>
                <w:b/>
                <w:bCs/>
                <w:color w:val="1A1A1A"/>
                <w:sz w:val="16"/>
                <w:szCs w:val="16"/>
              </w:rPr>
              <w:t xml:space="preserve">Maintain Traceability</w:t>
            </w:r>
          </w:p>
        </w:tc>
        <w:tc>
          <w:tcPr>
            <w:tcW w:type="dxa" w:w="7459"/>
            <w:tcMar>
              <w:top w:type="dxa" w:w="70"/>
              <w:left w:type="dxa" w:w="110"/>
              <w:bottom w:type="dxa" w:w="70"/>
              <w:right w:type="dxa" w:w="110"/>
            </w:tcMar>
            <w:vAlign w:val="top"/>
          </w:tcPr>
          <w:p>
            <w:r>
              <w:rPr>
                <w:b w:val="false"/>
                <w:bCs w:val="false"/>
                <w:color w:val="1A1A1A"/>
                <w:sz w:val="16"/>
                <w:szCs w:val="16"/>
              </w:rPr>
              <w:t xml:space="preserve">Every feature, API, database object, and workflow must map to a documented requirement.</w:t>
            </w:r>
          </w:p>
        </w:tc>
      </w:tr>
      <w:tr>
        <w:tc>
          <w:tcPr>
            <w:tcW w:type="dxa" w:w="2621"/>
            <w:tcMar>
              <w:top w:type="dxa" w:w="70"/>
              <w:left w:type="dxa" w:w="110"/>
              <w:bottom w:type="dxa" w:w="70"/>
              <w:right w:type="dxa" w:w="110"/>
            </w:tcMar>
            <w:vAlign w:val="top"/>
          </w:tcPr>
          <w:p>
            <w:r>
              <w:rPr>
                <w:b/>
                <w:bCs/>
                <w:color w:val="1A1A1A"/>
                <w:sz w:val="16"/>
                <w:szCs w:val="16"/>
              </w:rPr>
              <w:t xml:space="preserve">Document Assumptions</w:t>
            </w:r>
          </w:p>
        </w:tc>
        <w:tc>
          <w:tcPr>
            <w:tcW w:type="dxa" w:w="7459"/>
            <w:tcMar>
              <w:top w:type="dxa" w:w="70"/>
              <w:left w:type="dxa" w:w="110"/>
              <w:bottom w:type="dxa" w:w="70"/>
              <w:right w:type="dxa" w:w="110"/>
            </w:tcMar>
            <w:vAlign w:val="top"/>
          </w:tcPr>
          <w:p>
            <w:r>
              <w:rPr>
                <w:b w:val="false"/>
                <w:bCs w:val="false"/>
                <w:color w:val="1A1A1A"/>
                <w:sz w:val="16"/>
                <w:szCs w:val="16"/>
              </w:rPr>
              <w:t xml:space="preserve">Where information is incomplete, clearly identify assumptions instead of silently inferring behavior.</w:t>
            </w:r>
          </w:p>
        </w:tc>
      </w:tr>
      <w:tr>
        <w:tc>
          <w:tcPr>
            <w:tcW w:type="dxa" w:w="2621"/>
            <w:tcMar>
              <w:top w:type="dxa" w:w="70"/>
              <w:left w:type="dxa" w:w="110"/>
              <w:bottom w:type="dxa" w:w="70"/>
              <w:right w:type="dxa" w:w="110"/>
            </w:tcMar>
            <w:vAlign w:val="top"/>
          </w:tcPr>
          <w:p>
            <w:r>
              <w:rPr>
                <w:b/>
                <w:bCs/>
                <w:color w:val="1A1A1A"/>
                <w:sz w:val="16"/>
                <w:szCs w:val="16"/>
              </w:rPr>
              <w:t xml:space="preserve">Record Major Decisions</w:t>
            </w:r>
          </w:p>
        </w:tc>
        <w:tc>
          <w:tcPr>
            <w:tcW w:type="dxa" w:w="7459"/>
            <w:tcMar>
              <w:top w:type="dxa" w:w="70"/>
              <w:left w:type="dxa" w:w="110"/>
              <w:bottom w:type="dxa" w:w="70"/>
              <w:right w:type="dxa" w:w="110"/>
            </w:tcMar>
            <w:vAlign w:val="top"/>
          </w:tcPr>
          <w:p>
            <w:r>
              <w:rPr>
                <w:b w:val="false"/>
                <w:bCs w:val="false"/>
                <w:color w:val="1A1A1A"/>
                <w:sz w:val="16"/>
                <w:szCs w:val="16"/>
              </w:rPr>
              <w:t xml:space="preserve">Significant architectural choices must be captured in Architecture Decision Records (ADRs).</w:t>
            </w:r>
          </w:p>
        </w:tc>
      </w:tr>
      <w:tr>
        <w:tc>
          <w:tcPr>
            <w:tcW w:type="dxa" w:w="2621"/>
            <w:tcMar>
              <w:top w:type="dxa" w:w="70"/>
              <w:left w:type="dxa" w:w="110"/>
              <w:bottom w:type="dxa" w:w="70"/>
              <w:right w:type="dxa" w:w="110"/>
            </w:tcMar>
            <w:vAlign w:val="top"/>
          </w:tcPr>
          <w:p>
            <w:r>
              <w:rPr>
                <w:b/>
                <w:bCs/>
                <w:color w:val="1A1A1A"/>
                <w:sz w:val="16"/>
                <w:szCs w:val="16"/>
              </w:rPr>
              <w:t xml:space="preserve">Prioritize Maintainability</w:t>
            </w:r>
          </w:p>
        </w:tc>
        <w:tc>
          <w:tcPr>
            <w:tcW w:type="dxa" w:w="7459"/>
            <w:tcMar>
              <w:top w:type="dxa" w:w="70"/>
              <w:left w:type="dxa" w:w="110"/>
              <w:bottom w:type="dxa" w:w="70"/>
              <w:right w:type="dxa" w:w="110"/>
            </w:tcMar>
            <w:vAlign w:val="top"/>
          </w:tcPr>
          <w:p>
            <w:r>
              <w:rPr>
                <w:b w:val="false"/>
                <w:bCs w:val="false"/>
                <w:color w:val="1A1A1A"/>
                <w:sz w:val="16"/>
                <w:szCs w:val="16"/>
              </w:rPr>
              <w:t xml:space="preserve">Prefer clear, modular, and well-documented solutions over clever but difficult-to-maintain implementations.</w:t>
            </w:r>
          </w:p>
        </w:tc>
      </w:tr>
      <w:tr>
        <w:tc>
          <w:tcPr>
            <w:tcW w:type="dxa" w:w="2621"/>
            <w:tcMar>
              <w:top w:type="dxa" w:w="70"/>
              <w:left w:type="dxa" w:w="110"/>
              <w:bottom w:type="dxa" w:w="70"/>
              <w:right w:type="dxa" w:w="110"/>
            </w:tcMar>
            <w:vAlign w:val="top"/>
          </w:tcPr>
          <w:p>
            <w:r>
              <w:rPr>
                <w:b/>
                <w:bCs/>
                <w:color w:val="1A1A1A"/>
                <w:sz w:val="16"/>
                <w:szCs w:val="16"/>
              </w:rPr>
              <w:t xml:space="preserve">Engineer for Production</w:t>
            </w:r>
          </w:p>
        </w:tc>
        <w:tc>
          <w:tcPr>
            <w:tcW w:type="dxa" w:w="7459"/>
            <w:tcMar>
              <w:top w:type="dxa" w:w="70"/>
              <w:left w:type="dxa" w:w="110"/>
              <w:bottom w:type="dxa" w:w="70"/>
              <w:right w:type="dxa" w:w="110"/>
            </w:tcMar>
            <w:vAlign w:val="top"/>
          </w:tcPr>
          <w:p>
            <w:r>
              <w:rPr>
                <w:b w:val="false"/>
                <w:bCs w:val="false"/>
                <w:color w:val="1A1A1A"/>
                <w:sz w:val="16"/>
                <w:szCs w:val="16"/>
              </w:rPr>
              <w:t xml:space="preserve">Outputs should be suitable for enterprise deployment, monitoring, and long-term support — not merely proof-of-concept demonstrations.</w:t>
            </w:r>
          </w:p>
        </w:tc>
      </w:tr>
      <w:tr>
        <w:tc>
          <w:tcPr>
            <w:tcW w:type="dxa" w:w="2621"/>
            <w:tcMar>
              <w:top w:type="dxa" w:w="70"/>
              <w:left w:type="dxa" w:w="110"/>
              <w:bottom w:type="dxa" w:w="70"/>
              <w:right w:type="dxa" w:w="110"/>
            </w:tcMar>
            <w:vAlign w:val="top"/>
          </w:tcPr>
          <w:p>
            <w:r>
              <w:rPr>
                <w:b/>
                <w:bCs/>
                <w:color w:val="1A1A1A"/>
                <w:sz w:val="16"/>
                <w:szCs w:val="16"/>
              </w:rPr>
              <w:t xml:space="preserve">Respect Scope Boundaries</w:t>
            </w:r>
          </w:p>
        </w:tc>
        <w:tc>
          <w:tcPr>
            <w:tcW w:type="dxa" w:w="7459"/>
            <w:tcMar>
              <w:top w:type="dxa" w:w="70"/>
              <w:left w:type="dxa" w:w="110"/>
              <w:bottom w:type="dxa" w:w="70"/>
              <w:right w:type="dxa" w:w="110"/>
            </w:tcMar>
            <w:vAlign w:val="top"/>
          </w:tcPr>
          <w:p>
            <w:r>
              <w:rPr>
                <w:b w:val="false"/>
                <w:bCs w:val="false"/>
                <w:color w:val="1A1A1A"/>
                <w:sz w:val="16"/>
                <w:szCs w:val="16"/>
              </w:rPr>
              <w:t xml:space="preserve">Clearly separate contractual Phase 1 functionality from future enhancement opportunities.</w:t>
            </w:r>
          </w:p>
        </w:tc>
      </w:tr>
    </w:tbl>
    <w:p>
      <w:pPr>
        <w:pStyle w:val="Heading1"/>
        <w:pBdr>
          <w:bottom w:val="single" w:color="C6D2E0" w:sz="4" w:space="4"/>
        </w:pBdr>
        <w:spacing w:after="140" w:before="360"/>
      </w:pPr>
      <w:r>
        <w:rPr>
          <w:b/>
          <w:bCs/>
          <w:color w:val="4A6FA5"/>
          <w:sz w:val="26"/>
          <w:szCs w:val="26"/>
        </w:rPr>
        <w:t xml:space="preserve">5.6  </w:t>
      </w:r>
      <w:r>
        <w:rPr>
          <w:b/>
          <w:bCs/>
          <w:color w:val="1F3864"/>
          <w:sz w:val="26"/>
          <w:szCs w:val="26"/>
        </w:rPr>
        <w:t xml:space="preserve">Engineering Commitment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Bind the entire engineering team to these principles for the duration of the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engineering discipline is not discretionary or contributor-dependent.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Exceptions require formal governance approval, not informal team agreement.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aligned, secure, scalable, maintainable, reliable, user-centred, transparent, and sustainable by construction.</w:t>
            </w:r>
          </w:p>
        </w:tc>
      </w:tr>
    </w:tbl>
    <w:p>
      <w:pPr>
        <w:spacing w:after="160"/>
      </w:pPr>
    </w:p>
    <w:p>
      <w:pPr>
        <w:spacing w:after="150" w:line="276"/>
        <w:jc w:val="both"/>
      </w:pPr>
      <w:r>
        <w:t xml:space="preserve">These Engineering Principles are mandatory throughout the project lifecycle.</w:t>
      </w:r>
    </w:p>
    <w:p>
      <w:pPr>
        <w:spacing w:after="150" w:line="276"/>
        <w:jc w:val="both"/>
      </w:pPr>
      <w:r>
        <w:t xml:space="preserve">Any proposed exception shall be formally documented, reviewed, and approved through the project's governance process.</w:t>
      </w:r>
    </w:p>
    <w:p>
      <w:pPr>
        <w:spacing w:after="150" w:line="276"/>
        <w:jc w:val="both"/>
      </w:pPr>
      <w:r>
        <w:t xml:space="preserve">By adhering to these principles, the engineering team will deliver a platform that is:</w:t>
      </w:r>
    </w:p>
    <w:p>
      <w:pPr>
        <w:pStyle w:val="ListParagraph"/>
        <w:numPr>
          <w:ilvl w:val="0"/>
          <w:numId w:val="1"/>
        </w:numPr>
        <w:spacing w:after="90" w:line="264"/>
      </w:pPr>
      <w:r>
        <w:t xml:space="preserve">Aligned with SAPZ's strategic objectives.</w:t>
      </w:r>
    </w:p>
    <w:p>
      <w:pPr>
        <w:pStyle w:val="ListParagraph"/>
        <w:numPr>
          <w:ilvl w:val="0"/>
          <w:numId w:val="1"/>
        </w:numPr>
        <w:spacing w:after="90" w:line="264"/>
      </w:pPr>
      <w:r>
        <w:t xml:space="preserve">Secure and compliant.</w:t>
      </w:r>
    </w:p>
    <w:p>
      <w:pPr>
        <w:pStyle w:val="ListParagraph"/>
        <w:numPr>
          <w:ilvl w:val="0"/>
          <w:numId w:val="1"/>
        </w:numPr>
        <w:spacing w:after="90" w:line="264"/>
      </w:pPr>
      <w:r>
        <w:t xml:space="preserve">Scalable for future growth.</w:t>
      </w:r>
    </w:p>
    <w:p>
      <w:pPr>
        <w:pStyle w:val="ListParagraph"/>
        <w:numPr>
          <w:ilvl w:val="0"/>
          <w:numId w:val="1"/>
        </w:numPr>
        <w:spacing w:after="90" w:line="264"/>
      </w:pPr>
      <w:r>
        <w:t xml:space="preserve">Maintainable over the long term.</w:t>
      </w:r>
    </w:p>
    <w:p>
      <w:pPr>
        <w:pStyle w:val="ListParagraph"/>
        <w:numPr>
          <w:ilvl w:val="0"/>
          <w:numId w:val="1"/>
        </w:numPr>
        <w:spacing w:after="90" w:line="264"/>
      </w:pPr>
      <w:r>
        <w:t xml:space="preserve">Reliable in production.</w:t>
      </w:r>
    </w:p>
    <w:p>
      <w:pPr>
        <w:pStyle w:val="ListParagraph"/>
        <w:numPr>
          <w:ilvl w:val="0"/>
          <w:numId w:val="1"/>
        </w:numPr>
        <w:spacing w:after="90" w:line="264"/>
      </w:pPr>
      <w:r>
        <w:t xml:space="preserve">User-centred and accessible.</w:t>
      </w:r>
    </w:p>
    <w:p>
      <w:pPr>
        <w:pStyle w:val="ListParagraph"/>
        <w:numPr>
          <w:ilvl w:val="0"/>
          <w:numId w:val="1"/>
        </w:numPr>
        <w:spacing w:after="90" w:line="264"/>
      </w:pPr>
      <w:r>
        <w:t xml:space="preserve">Transparent in governance.</w:t>
      </w:r>
    </w:p>
    <w:p>
      <w:pPr>
        <w:pStyle w:val="ListParagraph"/>
        <w:numPr>
          <w:ilvl w:val="0"/>
          <w:numId w:val="1"/>
        </w:numPr>
        <w:spacing w:after="90" w:line="264"/>
      </w:pPr>
      <w:r>
        <w:t xml:space="preserve">Sustainable as a national digital asset.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These principles shall serve as the foundation for every architecture decision, line of code, deployment activity, and operational procedure undertaken during the delivery of the SAPZ Enterprise System Management Platform and Central Knowledge Repository.</w:t>
            </w:r>
          </w:p>
        </w:tc>
      </w:tr>
    </w:tbl>
    <w:p>
      <w:pPr>
        <w:pStyle w:val="Heading1"/>
        <w:pBdr>
          <w:bottom w:val="single" w:color="C6D2E0" w:sz="4" w:space="4"/>
        </w:pBdr>
        <w:spacing w:after="140" w:before="360"/>
      </w:pPr>
      <w:r>
        <w:rPr>
          <w:b/>
          <w:bCs/>
          <w:color w:val="4A6FA5"/>
          <w:sz w:val="26"/>
          <w:szCs w:val="26"/>
        </w:rPr>
        <w:t xml:space="preserve">5.7  </w:t>
      </w:r>
      <w:r>
        <w:rPr>
          <w:b/>
          <w:bCs/>
          <w:color w:val="1F3864"/>
          <w:sz w:val="26"/>
          <w:szCs w:val="26"/>
        </w:rPr>
        <w:t xml:space="preserve">Chapter Summary</w:t>
      </w:r>
    </w:p>
    <w:p>
      <w:pPr>
        <w:spacing w:after="150" w:line="276"/>
        <w:jc w:val="both"/>
      </w:pPr>
      <w:r>
        <w:t xml:space="preserve">This chapter established the seventeen Core Engineering Principles governing every engineering discipline on the programme, the ten-item Engineering Decision Framework used to resolve competing technical approaches, the eight mandatory rules governing Antigravity-generated engineering output, and the binding engineering commitment that makes exceptions to these principles a formal governance matter, not an individual judgment call.</w:t>
      </w:r>
    </w:p>
    <w:p>
      <w:pPr>
        <w:pStyle w:val="Heading2"/>
        <w:spacing w:after="110" w:before="260"/>
      </w:pPr>
      <w:r>
        <w:rPr>
          <w:b/>
          <w:bCs/>
          <w:color w:val="4A6FA5"/>
          <w:sz w:val="21"/>
          <w:szCs w:val="21"/>
        </w:rPr>
        <w:t xml:space="preserve">5.7.1  </w:t>
      </w:r>
      <w:r>
        <w:rPr>
          <w:b/>
          <w:bCs/>
          <w:color w:val="1F3864"/>
          <w:sz w:val="21"/>
          <w:szCs w:val="21"/>
        </w:rPr>
        <w:t xml:space="preserve">Key Engineering Principles</w:t>
      </w:r>
    </w:p>
    <w:p>
      <w:pPr>
        <w:pStyle w:val="ListParagraph"/>
        <w:numPr>
          <w:ilvl w:val="0"/>
          <w:numId w:val="1"/>
        </w:numPr>
        <w:spacing w:after="90" w:line="264"/>
      </w:pPr>
      <w:r>
        <w:t xml:space="preserve">Business Value First (Principle 1) and Security by Design (Principle 6) anchor every other principle.</w:t>
      </w:r>
    </w:p>
    <w:p>
      <w:pPr>
        <w:pStyle w:val="ListParagraph"/>
        <w:numPr>
          <w:ilvl w:val="0"/>
          <w:numId w:val="1"/>
        </w:numPr>
        <w:spacing w:after="90" w:line="264"/>
      </w:pPr>
      <w:r>
        <w:t xml:space="preserve">The Engineering Decision Framework's priority order (Section 5.4) is applied whenever principles conflict.</w:t>
      </w:r>
    </w:p>
    <w:p>
      <w:pPr>
        <w:pStyle w:val="ListParagraph"/>
        <w:numPr>
          <w:ilvl w:val="0"/>
          <w:numId w:val="1"/>
        </w:numPr>
        <w:spacing w:after="90" w:line="264"/>
      </w:pPr>
      <w:r>
        <w:t xml:space="preserve">Antigravity must never invent requirements or represent Phase 2 capability as Phase 1 scope.</w:t>
      </w:r>
    </w:p>
    <w:p>
      <w:pPr>
        <w:pStyle w:val="ListParagraph"/>
        <w:numPr>
          <w:ilvl w:val="0"/>
          <w:numId w:val="1"/>
        </w:numPr>
        <w:spacing w:after="90" w:line="264"/>
      </w:pPr>
      <w:r>
        <w:t xml:space="preserve">Any exception to these principles requires a documented, approved Architecture Decision Record (ADR).</w:t>
      </w:r>
    </w:p>
    <w:p>
      <w:pPr>
        <w:pStyle w:val="Heading2"/>
        <w:spacing w:after="110" w:before="260"/>
      </w:pPr>
      <w:r>
        <w:rPr>
          <w:b/>
          <w:bCs/>
          <w:color w:val="4A6FA5"/>
          <w:sz w:val="21"/>
          <w:szCs w:val="21"/>
        </w:rPr>
        <w:t xml:space="preserve">5.7.2  </w:t>
      </w:r>
      <w:r>
        <w:rPr>
          <w:b/>
          <w:bCs/>
          <w:color w:val="1F3864"/>
          <w:sz w:val="21"/>
          <w:szCs w:val="21"/>
        </w:rPr>
        <w:t xml:space="preserve">Implementation Checklist</w:t>
      </w:r>
    </w:p>
    <w:p>
      <w:pPr>
        <w:pStyle w:val="ListParagraph"/>
        <w:numPr>
          <w:ilvl w:val="0"/>
          <w:numId w:val="1"/>
        </w:numPr>
        <w:spacing w:after="90" w:line="264"/>
      </w:pPr>
      <w:r>
        <w:t xml:space="preserve">☐ Confirm each of the seventeen principles (Section 5.3) is referenced in code review and design review templates.</w:t>
      </w:r>
    </w:p>
    <w:p>
      <w:pPr>
        <w:pStyle w:val="ListParagraph"/>
        <w:numPr>
          <w:ilvl w:val="0"/>
          <w:numId w:val="1"/>
        </w:numPr>
        <w:spacing w:after="90" w:line="264"/>
      </w:pPr>
      <w:r>
        <w:t xml:space="preserve">☐ Confirm the Requirements Traceability Matrix (Principle 2) is maintained and current.</w:t>
      </w:r>
    </w:p>
    <w:p>
      <w:pPr>
        <w:pStyle w:val="ListParagraph"/>
        <w:numPr>
          <w:ilvl w:val="0"/>
          <w:numId w:val="1"/>
        </w:numPr>
        <w:spacing w:after="90" w:line="264"/>
      </w:pPr>
      <w:r>
        <w:t xml:space="preserve">☐ Confirm Antigravity Engineering Rules (Section 5.5) are embedded in the engineering onboarding process.</w:t>
      </w:r>
    </w:p>
    <w:p>
      <w:pPr>
        <w:pStyle w:val="ListParagraph"/>
        <w:numPr>
          <w:ilvl w:val="0"/>
          <w:numId w:val="1"/>
        </w:numPr>
        <w:spacing w:after="90" w:line="264"/>
      </w:pPr>
      <w:r>
        <w:t xml:space="preserve">☐ Confirm any exception to these principles is logged as an ADR (Chapter 22), never applied informally.</w:t>
      </w:r>
    </w:p>
    <w:p>
      <w:pPr>
        <w:pStyle w:val="Heading2"/>
        <w:spacing w:after="110" w:before="260"/>
      </w:pPr>
      <w:r>
        <w:rPr>
          <w:b/>
          <w:bCs/>
          <w:color w:val="4A6FA5"/>
          <w:sz w:val="21"/>
          <w:szCs w:val="21"/>
        </w:rPr>
        <w:t xml:space="preserve">5.7.3  </w:t>
      </w:r>
      <w:r>
        <w:rPr>
          <w:b/>
          <w:bCs/>
          <w:color w:val="1F3864"/>
          <w:sz w:val="21"/>
          <w:szCs w:val="21"/>
        </w:rPr>
        <w:t xml:space="preserve">Related Chapters</w:t>
      </w:r>
    </w:p>
    <w:p>
      <w:pPr>
        <w:pStyle w:val="ListParagraph"/>
        <w:numPr>
          <w:ilvl w:val="0"/>
          <w:numId w:val="1"/>
        </w:numPr>
        <w:spacing w:after="90" w:line="264"/>
      </w:pPr>
      <w:r>
        <w:t xml:space="preserve">Chapter 1 — Executive Overview</w:t>
      </w:r>
    </w:p>
    <w:p>
      <w:pPr>
        <w:pStyle w:val="ListParagraph"/>
        <w:numPr>
          <w:ilvl w:val="0"/>
          <w:numId w:val="1"/>
        </w:numPr>
        <w:spacing w:after="90" w:line="264"/>
      </w:pPr>
      <w:r>
        <w:t xml:space="preserve">Chapter 2 — Engineering Mission and Objectives</w:t>
      </w:r>
    </w:p>
    <w:p>
      <w:pPr>
        <w:pStyle w:val="ListParagraph"/>
        <w:numPr>
          <w:ilvl w:val="0"/>
          <w:numId w:val="1"/>
        </w:numPr>
        <w:spacing w:after="90" w:line="264"/>
      </w:pPr>
      <w:r>
        <w:t xml:space="preserve">Chapter 6 — Architecture Governance</w:t>
      </w:r>
    </w:p>
    <w:p>
      <w:pPr>
        <w:pStyle w:val="ListParagraph"/>
        <w:numPr>
          <w:ilvl w:val="0"/>
          <w:numId w:val="1"/>
        </w:numPr>
        <w:spacing w:after="90" w:line="264"/>
      </w:pPr>
      <w:r>
        <w:t xml:space="preserve">Chapter 18 — Code Review and Pull Request Policy</w:t>
      </w:r>
    </w:p>
    <w:p>
      <w:pPr>
        <w:pStyle w:val="ListParagraph"/>
        <w:numPr>
          <w:ilvl w:val="0"/>
          <w:numId w:val="1"/>
        </w:numPr>
        <w:spacing w:after="90" w:line="264"/>
      </w:pPr>
      <w:r>
        <w:t xml:space="preserve">Chapter 22 — Engineering Decision Log / Architecture Decision Record (ADR) Process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2026-07-19T18:48:31.179Z</dcterms:created>
  <dcterms:modified xsi:type="dcterms:W3CDTF">2026-07-19T18:48:31.179Z</dcterms:modified>
</cp:coreProperties>
</file>

<file path=docProps/custom.xml><?xml version="1.0" encoding="utf-8"?>
<Properties xmlns="http://schemas.openxmlformats.org/officeDocument/2006/custom-properties" xmlns:vt="http://schemas.openxmlformats.org/officeDocument/2006/docPropsVTypes"/>
</file>