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6</w:t>
      </w:r>
    </w:p>
    <w:p>
      <w:pPr>
        <w:pBdr>
          <w:bottom w:val="single" w:color="1F3864" w:sz="14" w:space="10"/>
        </w:pBdr>
        <w:spacing w:after="160"/>
        <w:jc w:val="center"/>
      </w:pPr>
      <w:r>
        <w:rPr>
          <w:b/>
          <w:bCs/>
          <w:color w:val="152238"/>
          <w:sz w:val="40"/>
          <w:szCs w:val="40"/>
        </w:rPr>
        <w:t xml:space="preserve">Architecture Governance</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Enterprise Architecture Governance Framework</w:t>
      </w:r>
    </w:p>
    <w:p>
      <w:r>
        <w:br w:type="page"/>
      </w:r>
    </w:p>
    <w:p>
      <w:pPr>
        <w:spacing w:after="40"/>
        <w:jc w:val="left"/>
      </w:pPr>
      <w:r>
        <w:rPr>
          <w:b/>
          <w:bCs/>
          <w:caps/>
          <w:color w:val="4A6FA5"/>
          <w:sz w:val="22"/>
          <w:szCs w:val="22"/>
        </w:rPr>
        <w:t xml:space="preserve">CHAPTER 6</w:t>
      </w:r>
    </w:p>
    <w:p>
      <w:pPr>
        <w:pBdr>
          <w:bottom w:val="single" w:color="1F3864" w:sz="12" w:space="8"/>
        </w:pBdr>
        <w:spacing w:after="200"/>
        <w:jc w:val="left"/>
      </w:pPr>
      <w:r>
        <w:rPr>
          <w:b/>
          <w:bCs/>
          <w:color w:val="152238"/>
          <w:sz w:val="44"/>
          <w:szCs w:val="44"/>
        </w:rPr>
        <w:t xml:space="preserve">Architecture Governance</w:t>
      </w:r>
    </w:p>
    <w:p>
      <w:pPr>
        <w:spacing w:after="90" w:before="180"/>
      </w:pPr>
      <w:r>
        <w:rPr>
          <w:b/>
          <w:bCs/>
          <w:color w:val="152238"/>
          <w:sz w:val="19"/>
          <w:szCs w:val="19"/>
        </w:rPr>
        <w:t xml:space="preserve">Chapter Overview</w:t>
      </w:r>
    </w:p>
    <w:p>
      <w:pPr>
        <w:spacing w:after="150" w:line="276"/>
        <w:jc w:val="both"/>
      </w:pPr>
      <w:r>
        <w:t xml:space="preserve">This chapter defines the Architecture Governance framework for the Enterprise System Management (ESM) Platform and Central Knowledge Repository (CKR): governance principles, governance bodies, the Decision Authority Matrix, the Architecture Decision Record (ADR) process, the Architecture Review Process, compliance monitoring, change control, technology governance, governance metrics, and the governance instructions binding Antigravity's engineering output.</w:t>
      </w:r>
    </w:p>
    <w:p>
      <w:pPr>
        <w:spacing w:after="90" w:before="180"/>
      </w:pPr>
      <w:r>
        <w:rPr>
          <w:b/>
          <w:bCs/>
          <w:color w:val="152238"/>
          <w:sz w:val="19"/>
          <w:szCs w:val="19"/>
        </w:rPr>
        <w:t xml:space="preserve">Purpose</w:t>
      </w:r>
    </w:p>
    <w:p>
      <w:pPr>
        <w:spacing w:after="150" w:line="276"/>
        <w:jc w:val="both"/>
      </w:pPr>
      <w:r>
        <w:t xml:space="preserve">To ensure the platform is designed, developed, deployed, and maintained in a consistent, secure, scalable, and sustainable manner throughout the project lifecycle, through defined policies, decision-making structures, standards, review mechanisms, and approval processes.</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governance bodies and their decision authority.</w:t>
      </w:r>
    </w:p>
    <w:p>
      <w:pPr>
        <w:pStyle w:val="ListParagraph"/>
        <w:numPr>
          <w:ilvl w:val="0"/>
          <w:numId w:val="1"/>
        </w:numPr>
        <w:spacing w:after="90" w:line="264"/>
      </w:pPr>
      <w:r>
        <w:t xml:space="preserve">Understand the Architecture Decision Record (ADR) process.</w:t>
      </w:r>
    </w:p>
    <w:p>
      <w:pPr>
        <w:pStyle w:val="ListParagraph"/>
        <w:numPr>
          <w:ilvl w:val="0"/>
          <w:numId w:val="1"/>
        </w:numPr>
        <w:spacing w:after="90" w:line="264"/>
      </w:pPr>
      <w:r>
        <w:t xml:space="preserve">Understand the Architecture Review Process and its five steps.</w:t>
      </w:r>
    </w:p>
    <w:p>
      <w:pPr>
        <w:pStyle w:val="ListParagraph"/>
        <w:numPr>
          <w:ilvl w:val="0"/>
          <w:numId w:val="1"/>
        </w:numPr>
        <w:spacing w:after="90" w:line="264"/>
      </w:pPr>
      <w:r>
        <w:t xml:space="preserve">Understand the change control workflow and technology governance priorities.</w:t>
      </w:r>
    </w:p>
    <w:p>
      <w:pPr>
        <w:pStyle w:val="Heading1"/>
        <w:pBdr>
          <w:bottom w:val="single" w:color="C6D2E0" w:sz="4" w:space="4"/>
        </w:pBdr>
        <w:spacing w:after="140" w:before="360"/>
      </w:pPr>
      <w:r>
        <w:rPr>
          <w:b/>
          <w:bCs/>
          <w:color w:val="4A6FA5"/>
          <w:sz w:val="26"/>
          <w:szCs w:val="26"/>
        </w:rPr>
        <w:t xml:space="preserve">6.1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the policies, structures, standards, and processes that guide all technical decisions.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client's investment by preventing uncontrolled, undocumented technical change.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engineering artifact produced on the programme must comply with this framework.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whose architecture evolves through controlled, evidence-based decisions.</w:t>
            </w:r>
          </w:p>
        </w:tc>
      </w:tr>
    </w:tbl>
    <w:p>
      <w:pPr>
        <w:spacing w:after="160"/>
      </w:pPr>
    </w:p>
    <w:p>
      <w:pPr>
        <w:spacing w:after="150" w:line="276"/>
        <w:jc w:val="both"/>
      </w:pPr>
      <w:r>
        <w:t xml:space="preserve">The purpose of the Architecture Governance framework is to ensure that the Enterprise System Management (ESM) Platform and Central Knowledge Repository (CKR) are designed, developed, deployed, and maintained in a consistent, secure, scalable, and sustainable manner throughout the project lifecycle.</w:t>
      </w:r>
    </w:p>
    <w:p>
      <w:pPr>
        <w:spacing w:after="150" w:line="276"/>
        <w:jc w:val="both"/>
      </w:pPr>
      <w:r>
        <w:t xml:space="preserve">Architecture Governance establishes the policies, decision-making structures, standards, review mechanisms, and approval processes that guide all technical decisions. Its objectives are to:</w:t>
      </w:r>
    </w:p>
    <w:p>
      <w:pPr>
        <w:pStyle w:val="ListParagraph"/>
        <w:numPr>
          <w:ilvl w:val="0"/>
          <w:numId w:val="1"/>
        </w:numPr>
        <w:spacing w:after="90" w:line="264"/>
      </w:pPr>
      <w:r>
        <w:t xml:space="preserve">Preserve architectural integrity.</w:t>
      </w:r>
    </w:p>
    <w:p>
      <w:pPr>
        <w:pStyle w:val="ListParagraph"/>
        <w:numPr>
          <w:ilvl w:val="0"/>
          <w:numId w:val="1"/>
        </w:numPr>
        <w:spacing w:after="90" w:line="264"/>
      </w:pPr>
      <w:r>
        <w:t xml:space="preserve">Prevent uncontrolled technical changes.</w:t>
      </w:r>
    </w:p>
    <w:p>
      <w:pPr>
        <w:pStyle w:val="ListParagraph"/>
        <w:numPr>
          <w:ilvl w:val="0"/>
          <w:numId w:val="1"/>
        </w:numPr>
        <w:spacing w:after="90" w:line="264"/>
      </w:pPr>
      <w:r>
        <w:t xml:space="preserve">Ensure consistency across all engineering outputs.</w:t>
      </w:r>
    </w:p>
    <w:p>
      <w:pPr>
        <w:pStyle w:val="ListParagraph"/>
        <w:numPr>
          <w:ilvl w:val="0"/>
          <w:numId w:val="1"/>
        </w:numPr>
        <w:spacing w:after="90" w:line="264"/>
      </w:pPr>
      <w:r>
        <w:t xml:space="preserve">Maintain traceability to approved requirements.</w:t>
      </w:r>
    </w:p>
    <w:p>
      <w:pPr>
        <w:pStyle w:val="ListParagraph"/>
        <w:numPr>
          <w:ilvl w:val="0"/>
          <w:numId w:val="1"/>
        </w:numPr>
        <w:spacing w:after="90" w:line="264"/>
      </w:pPr>
      <w:r>
        <w:t xml:space="preserve">Manage technical risk.</w:t>
      </w:r>
    </w:p>
    <w:p>
      <w:pPr>
        <w:pStyle w:val="ListParagraph"/>
        <w:numPr>
          <w:ilvl w:val="0"/>
          <w:numId w:val="1"/>
        </w:numPr>
        <w:spacing w:after="90" w:line="264"/>
      </w:pPr>
      <w:r>
        <w:t xml:space="preserve">Promote long-term maintainability.</w:t>
      </w:r>
    </w:p>
    <w:p>
      <w:pPr>
        <w:pStyle w:val="ListParagraph"/>
        <w:numPr>
          <w:ilvl w:val="0"/>
          <w:numId w:val="1"/>
        </w:numPr>
        <w:spacing w:after="90" w:line="264"/>
      </w:pPr>
      <w:r>
        <w:t xml:space="preserve">Support enterprise-wide interoperability.</w:t>
      </w:r>
    </w:p>
    <w:p>
      <w:pPr>
        <w:pStyle w:val="ListParagraph"/>
        <w:numPr>
          <w:ilvl w:val="0"/>
          <w:numId w:val="1"/>
        </w:numPr>
        <w:spacing w:after="90" w:line="264"/>
      </w:pPr>
      <w:r>
        <w:t xml:space="preserve">Enable controlled evolution of the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Every engineering artifact produced on this programme shall comply with this governance framework, without exception.</w:t>
            </w:r>
          </w:p>
        </w:tc>
      </w:tr>
    </w:tbl>
    <w:p>
      <w:pPr>
        <w:pStyle w:val="Heading1"/>
        <w:pBdr>
          <w:bottom w:val="single" w:color="C6D2E0" w:sz="4" w:space="4"/>
        </w:pBdr>
        <w:spacing w:after="140" w:before="360"/>
      </w:pPr>
      <w:r>
        <w:rPr>
          <w:b/>
          <w:bCs/>
          <w:color w:val="4A6FA5"/>
          <w:sz w:val="26"/>
          <w:szCs w:val="26"/>
        </w:rPr>
        <w:t xml:space="preserve">6.2  </w:t>
      </w:r>
      <w:r>
        <w:rPr>
          <w:b/>
          <w:bCs/>
          <w:color w:val="1F3864"/>
          <w:sz w:val="26"/>
          <w:szCs w:val="26"/>
        </w:rPr>
        <w:t xml:space="preserve">Governance Objectives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measurable outcomes the governance model must guarantee.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Architecture Review Board a concrete standard against which to evaluate every decision.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These objectives are the acceptance criteria for the governance model itself.</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Architecture that stays aligned, secure, and transparent as the platform evolves.</w:t>
            </w:r>
          </w:p>
        </w:tc>
      </w:tr>
    </w:tbl>
    <w:p>
      <w:pPr>
        <w:spacing w:after="160"/>
      </w:pPr>
    </w:p>
    <w:p>
      <w:pPr>
        <w:spacing w:after="150" w:line="276"/>
        <w:jc w:val="both"/>
      </w:pPr>
      <w:r>
        <w:t xml:space="preserve">The Architecture Governance Model shall ensure that:</w:t>
      </w:r>
    </w:p>
    <w:p>
      <w:pPr>
        <w:pStyle w:val="ListParagraph"/>
        <w:numPr>
          <w:ilvl w:val="0"/>
          <w:numId w:val="1"/>
        </w:numPr>
        <w:spacing w:after="90" w:line="264"/>
      </w:pPr>
      <w:r>
        <w:t xml:space="preserve">Every architectural decision aligns with the approved Enterprise Architecture Blueprint.</w:t>
      </w:r>
    </w:p>
    <w:p>
      <w:pPr>
        <w:pStyle w:val="ListParagraph"/>
        <w:numPr>
          <w:ilvl w:val="0"/>
          <w:numId w:val="1"/>
        </w:numPr>
        <w:spacing w:after="90" w:line="264"/>
      </w:pPr>
      <w:r>
        <w:t xml:space="preserve">All engineering activities support the business objectives of the SAPZ Programme.</w:t>
      </w:r>
    </w:p>
    <w:p>
      <w:pPr>
        <w:pStyle w:val="ListParagraph"/>
        <w:numPr>
          <w:ilvl w:val="0"/>
          <w:numId w:val="1"/>
        </w:numPr>
        <w:spacing w:after="90" w:line="264"/>
      </w:pPr>
      <w:r>
        <w:t xml:space="preserve">Technology choices remain consistent across the solution.</w:t>
      </w:r>
    </w:p>
    <w:p>
      <w:pPr>
        <w:pStyle w:val="ListParagraph"/>
        <w:numPr>
          <w:ilvl w:val="0"/>
          <w:numId w:val="1"/>
        </w:numPr>
        <w:spacing w:after="90" w:line="264"/>
      </w:pPr>
      <w:r>
        <w:t xml:space="preserve">Technical debt is actively managed.</w:t>
      </w:r>
    </w:p>
    <w:p>
      <w:pPr>
        <w:pStyle w:val="ListParagraph"/>
        <w:numPr>
          <w:ilvl w:val="0"/>
          <w:numId w:val="1"/>
        </w:numPr>
        <w:spacing w:after="90" w:line="264"/>
      </w:pPr>
      <w:r>
        <w:t xml:space="preserve">Security and compliance are embedded into every architectural decision.</w:t>
      </w:r>
    </w:p>
    <w:p>
      <w:pPr>
        <w:pStyle w:val="ListParagraph"/>
        <w:numPr>
          <w:ilvl w:val="0"/>
          <w:numId w:val="1"/>
        </w:numPr>
        <w:spacing w:after="90" w:line="264"/>
      </w:pPr>
      <w:r>
        <w:t xml:space="preserve">New functionality does not compromise existing capabilities.</w:t>
      </w:r>
    </w:p>
    <w:p>
      <w:pPr>
        <w:pStyle w:val="ListParagraph"/>
        <w:numPr>
          <w:ilvl w:val="0"/>
          <w:numId w:val="1"/>
        </w:numPr>
        <w:spacing w:after="90" w:line="264"/>
      </w:pPr>
      <w:r>
        <w:t xml:space="preserve">Future enhancements can be introduced without destabilizing the platform.</w:t>
      </w:r>
    </w:p>
    <w:p>
      <w:pPr>
        <w:pStyle w:val="ListParagraph"/>
        <w:numPr>
          <w:ilvl w:val="0"/>
          <w:numId w:val="1"/>
        </w:numPr>
        <w:spacing w:after="90" w:line="264"/>
      </w:pPr>
      <w:r>
        <w:t xml:space="preserve">Engineering decisions remain transparent and fully documented.</w:t>
      </w:r>
    </w:p>
    <w:p>
      <w:pPr>
        <w:pStyle w:val="Heading1"/>
        <w:pBdr>
          <w:bottom w:val="single" w:color="C6D2E0" w:sz="4" w:space="4"/>
        </w:pBdr>
        <w:spacing w:after="140" w:before="360"/>
      </w:pPr>
      <w:r>
        <w:rPr>
          <w:b/>
          <w:bCs/>
          <w:color w:val="4A6FA5"/>
          <w:sz w:val="26"/>
          <w:szCs w:val="26"/>
        </w:rPr>
        <w:t xml:space="preserve">6.3  </w:t>
      </w:r>
      <w:r>
        <w:rPr>
          <w:b/>
          <w:bCs/>
          <w:color w:val="1F3864"/>
          <w:sz w:val="26"/>
          <w:szCs w:val="26"/>
        </w:rPr>
        <w:t xml:space="preserve">Architecture Governance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five principles guiding every governance decision.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governance decisions are made on consistent, documented grounds rather than individual preference.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These principles are cited directly in Architecture Review Board deliberations.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governance process that is predictable, defensible, and consistently applied.</w:t>
            </w:r>
          </w:p>
        </w:tc>
      </w:tr>
    </w:tbl>
    <w:p>
      <w:pPr>
        <w:spacing w:after="160"/>
      </w:pPr>
    </w:p>
    <w:p>
      <w:pPr>
        <w:spacing w:after="150" w:line="276"/>
        <w:jc w:val="both"/>
      </w:pPr>
      <w:r>
        <w:t xml:space="preserve">The governance process shall be guided by the following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862"/>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218"/>
            <w:tcMar>
              <w:top w:type="dxa" w:w="70"/>
              <w:left w:type="dxa" w:w="110"/>
              <w:bottom w:type="dxa" w:w="70"/>
              <w:right w:type="dxa" w:w="110"/>
            </w:tcMar>
            <w:vAlign w:val="top"/>
          </w:tcPr>
          <w:p>
            <w:r>
              <w:rPr>
                <w:b/>
                <w:bCs/>
                <w:color w:val="1A1A1A"/>
                <w:sz w:val="16"/>
                <w:szCs w:val="16"/>
              </w:rPr>
              <w:t xml:space="preserve">Business Alignment</w:t>
            </w:r>
          </w:p>
        </w:tc>
        <w:tc>
          <w:tcPr>
            <w:tcW w:type="dxa" w:w="7862"/>
            <w:tcMar>
              <w:top w:type="dxa" w:w="70"/>
              <w:left w:type="dxa" w:w="110"/>
              <w:bottom w:type="dxa" w:w="70"/>
              <w:right w:type="dxa" w:w="110"/>
            </w:tcMar>
            <w:vAlign w:val="top"/>
          </w:tcPr>
          <w:p>
            <w:r>
              <w:rPr>
                <w:b w:val="false"/>
                <w:bCs w:val="false"/>
                <w:color w:val="1A1A1A"/>
                <w:sz w:val="16"/>
                <w:szCs w:val="16"/>
              </w:rPr>
              <w:t xml:space="preserve">Architecture exists to enable business capabilities. No architectural decision shall be made solely on technical preference; every design decision must demonstrate measurable business value.</w:t>
            </w:r>
          </w:p>
        </w:tc>
      </w:tr>
      <w:tr>
        <w:tc>
          <w:tcPr>
            <w:tcW w:type="dxa" w:w="2218"/>
            <w:tcMar>
              <w:top w:type="dxa" w:w="70"/>
              <w:left w:type="dxa" w:w="110"/>
              <w:bottom w:type="dxa" w:w="70"/>
              <w:right w:type="dxa" w:w="110"/>
            </w:tcMar>
            <w:vAlign w:val="top"/>
          </w:tcPr>
          <w:p>
            <w:r>
              <w:rPr>
                <w:b/>
                <w:bCs/>
                <w:color w:val="1A1A1A"/>
                <w:sz w:val="16"/>
                <w:szCs w:val="16"/>
              </w:rPr>
              <w:t xml:space="preserve">Enterprise Consistency</w:t>
            </w:r>
          </w:p>
        </w:tc>
        <w:tc>
          <w:tcPr>
            <w:tcW w:type="dxa" w:w="7862"/>
            <w:tcMar>
              <w:top w:type="dxa" w:w="70"/>
              <w:left w:type="dxa" w:w="110"/>
              <w:bottom w:type="dxa" w:w="70"/>
              <w:right w:type="dxa" w:w="110"/>
            </w:tcMar>
            <w:vAlign w:val="top"/>
          </w:tcPr>
          <w:p>
            <w:r>
              <w:rPr>
                <w:b w:val="false"/>
                <w:bCs w:val="false"/>
                <w:color w:val="1A1A1A"/>
                <w:sz w:val="16"/>
                <w:szCs w:val="16"/>
              </w:rPr>
              <w:t xml:space="preserve">The platform shall maintain a consistent architecture across user interfaces, APIs, services, database, security, deployment, integration, monitoring, and AI components. All modules shall follow the same engineering conventions.</w:t>
            </w:r>
          </w:p>
        </w:tc>
      </w:tr>
      <w:tr>
        <w:tc>
          <w:tcPr>
            <w:tcW w:type="dxa" w:w="2218"/>
            <w:tcMar>
              <w:top w:type="dxa" w:w="70"/>
              <w:left w:type="dxa" w:w="110"/>
              <w:bottom w:type="dxa" w:w="70"/>
              <w:right w:type="dxa" w:w="110"/>
            </w:tcMar>
            <w:vAlign w:val="top"/>
          </w:tcPr>
          <w:p>
            <w:r>
              <w:rPr>
                <w:b/>
                <w:bCs/>
                <w:color w:val="1A1A1A"/>
                <w:sz w:val="16"/>
                <w:szCs w:val="16"/>
              </w:rPr>
              <w:t xml:space="preserve">Standards First</w:t>
            </w:r>
          </w:p>
        </w:tc>
        <w:tc>
          <w:tcPr>
            <w:tcW w:type="dxa" w:w="7862"/>
            <w:tcMar>
              <w:top w:type="dxa" w:w="70"/>
              <w:left w:type="dxa" w:w="110"/>
              <w:bottom w:type="dxa" w:w="70"/>
              <w:right w:type="dxa" w:w="110"/>
            </w:tcMar>
            <w:vAlign w:val="top"/>
          </w:tcPr>
          <w:p>
            <w:r>
              <w:rPr>
                <w:b w:val="false"/>
                <w:bCs w:val="false"/>
                <w:color w:val="1A1A1A"/>
                <w:sz w:val="16"/>
                <w:szCs w:val="16"/>
              </w:rPr>
              <w:t xml:space="preserve">Whenever an accepted industry standard exists, it shall be preferred over proprietary or custom solutions — for example, REST APIs, OAuth 2.0 / OpenID Connect, JWT, the OpenAPI Specification, JSON, HTTPS/TLS, WCAG, OWASP, Docker, Kubernetes, Git, and CI/CD best practices.</w:t>
            </w:r>
          </w:p>
        </w:tc>
      </w:tr>
      <w:tr>
        <w:tc>
          <w:tcPr>
            <w:tcW w:type="dxa" w:w="2218"/>
            <w:tcMar>
              <w:top w:type="dxa" w:w="70"/>
              <w:left w:type="dxa" w:w="110"/>
              <w:bottom w:type="dxa" w:w="70"/>
              <w:right w:type="dxa" w:w="110"/>
            </w:tcMar>
            <w:vAlign w:val="top"/>
          </w:tcPr>
          <w:p>
            <w:r>
              <w:rPr>
                <w:b/>
                <w:bCs/>
                <w:color w:val="1A1A1A"/>
                <w:sz w:val="16"/>
                <w:szCs w:val="16"/>
              </w:rPr>
              <w:t xml:space="preserve">Controlled Change</w:t>
            </w:r>
          </w:p>
        </w:tc>
        <w:tc>
          <w:tcPr>
            <w:tcW w:type="dxa" w:w="7862"/>
            <w:tcMar>
              <w:top w:type="dxa" w:w="70"/>
              <w:left w:type="dxa" w:w="110"/>
              <w:bottom w:type="dxa" w:w="70"/>
              <w:right w:type="dxa" w:w="110"/>
            </w:tcMar>
            <w:vAlign w:val="top"/>
          </w:tcPr>
          <w:p>
            <w:r>
              <w:rPr>
                <w:b w:val="false"/>
                <w:bCs w:val="false"/>
                <w:color w:val="1A1A1A"/>
                <w:sz w:val="16"/>
                <w:szCs w:val="16"/>
              </w:rPr>
              <w:t xml:space="preserve">Architecture changes shall only occur after formal review and approval. No engineer shall introduce new frameworks, new databases, new infrastructure, new architectural patterns, or new authentication models without documented approval.</w:t>
            </w:r>
          </w:p>
        </w:tc>
      </w:tr>
      <w:tr>
        <w:tc>
          <w:tcPr>
            <w:tcW w:type="dxa" w:w="2218"/>
            <w:tcMar>
              <w:top w:type="dxa" w:w="70"/>
              <w:left w:type="dxa" w:w="110"/>
              <w:bottom w:type="dxa" w:w="70"/>
              <w:right w:type="dxa" w:w="110"/>
            </w:tcMar>
            <w:vAlign w:val="top"/>
          </w:tcPr>
          <w:p>
            <w:r>
              <w:rPr>
                <w:b/>
                <w:bCs/>
                <w:color w:val="1A1A1A"/>
                <w:sz w:val="16"/>
                <w:szCs w:val="16"/>
              </w:rPr>
              <w:t xml:space="preserve">Long-Term Sustainability</w:t>
            </w:r>
          </w:p>
        </w:tc>
        <w:tc>
          <w:tcPr>
            <w:tcW w:type="dxa" w:w="7862"/>
            <w:tcMar>
              <w:top w:type="dxa" w:w="70"/>
              <w:left w:type="dxa" w:w="110"/>
              <w:bottom w:type="dxa" w:w="70"/>
              <w:right w:type="dxa" w:w="110"/>
            </w:tcMar>
            <w:vAlign w:val="top"/>
          </w:tcPr>
          <w:p>
            <w:r>
              <w:rPr>
                <w:b w:val="false"/>
                <w:bCs w:val="false"/>
                <w:color w:val="1A1A1A"/>
                <w:sz w:val="16"/>
                <w:szCs w:val="16"/>
              </w:rPr>
              <w:t xml:space="preserve">Architecture decisions shall prioritize maintainability, scalability, extensibility, operational simplicity, and knowledge transfer. Short-term convenience shall never compromise long-term sustainability.</w:t>
            </w:r>
          </w:p>
        </w:tc>
      </w:tr>
    </w:tbl>
    <w:p>
      <w:pPr>
        <w:pStyle w:val="Heading1"/>
        <w:pBdr>
          <w:bottom w:val="single" w:color="C6D2E0" w:sz="4" w:space="4"/>
        </w:pBdr>
        <w:spacing w:after="140" w:before="360"/>
      </w:pPr>
      <w:r>
        <w:rPr>
          <w:b/>
          <w:bCs/>
          <w:color w:val="4A6FA5"/>
          <w:sz w:val="26"/>
          <w:szCs w:val="26"/>
        </w:rPr>
        <w:t xml:space="preserve">6.4  </w:t>
      </w:r>
      <w:r>
        <w:rPr>
          <w:b/>
          <w:bCs/>
          <w:color w:val="1F3864"/>
          <w:sz w:val="26"/>
          <w:szCs w:val="26"/>
        </w:rPr>
        <w:t xml:space="preserve">Architecture Governance Structure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governance bodies responsible for enterprise architecture decisions.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stakeholders a clear escalation path for technical and strategic decisions.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Architecture Review Board (ARB) is the primary technical decision-making body; no major technical decision proceeds without its approval.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Clear, non-overlapping decision authority across strategic, delivery, technical, security, data, and infrastructure domains.</w:t>
            </w:r>
          </w:p>
        </w:tc>
      </w:tr>
    </w:tbl>
    <w:p>
      <w:pPr>
        <w:spacing w:after="160"/>
      </w:pPr>
    </w:p>
    <w:p>
      <w:pPr>
        <w:spacing w:after="150" w:line="276"/>
        <w:jc w:val="both"/>
      </w:pPr>
      <w:r>
        <w:t xml:space="preserve">The project shall establish the following governance bodies.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Governance Body</w:t>
            </w:r>
          </w:p>
        </w:tc>
        <w:tc>
          <w:tcPr>
            <w:tcW w:type="dxa" w:w="7459"/>
            <w:shd w:fill="1F3864" w:val="clear"/>
            <w:tcMar>
              <w:top w:type="dxa" w:w="70"/>
              <w:left w:type="dxa" w:w="110"/>
              <w:bottom w:type="dxa" w:w="70"/>
              <w:right w:type="dxa" w:w="110"/>
            </w:tcMar>
            <w:vAlign w:val="top"/>
          </w:tcPr>
          <w:p>
            <w:r>
              <w:rPr>
                <w:b/>
                <w:bCs/>
                <w:color w:val="FFFFFF"/>
                <w:sz w:val="17"/>
                <w:szCs w:val="17"/>
              </w:rPr>
              <w:t xml:space="preserve">Responsibilities</w:t>
            </w:r>
          </w:p>
        </w:tc>
      </w:tr>
      <w:tr>
        <w:tc>
          <w:tcPr>
            <w:tcW w:type="dxa" w:w="2621"/>
            <w:tcMar>
              <w:top w:type="dxa" w:w="70"/>
              <w:left w:type="dxa" w:w="110"/>
              <w:bottom w:type="dxa" w:w="70"/>
              <w:right w:type="dxa" w:w="110"/>
            </w:tcMar>
            <w:vAlign w:val="top"/>
          </w:tcPr>
          <w:p>
            <w:r>
              <w:rPr>
                <w:b/>
                <w:bCs/>
                <w:color w:val="1A1A1A"/>
                <w:sz w:val="15"/>
                <w:szCs w:val="15"/>
              </w:rPr>
              <w:t xml:space="preserve">Executive Steering Committee</w:t>
            </w:r>
          </w:p>
        </w:tc>
        <w:tc>
          <w:tcPr>
            <w:tcW w:type="dxa" w:w="7459"/>
            <w:tcMar>
              <w:top w:type="dxa" w:w="70"/>
              <w:left w:type="dxa" w:w="110"/>
              <w:bottom w:type="dxa" w:w="70"/>
              <w:right w:type="dxa" w:w="110"/>
            </w:tcMar>
            <w:vAlign w:val="top"/>
          </w:tcPr>
          <w:p>
            <w:r>
              <w:rPr>
                <w:b w:val="false"/>
                <w:bCs w:val="false"/>
                <w:color w:val="1A1A1A"/>
                <w:sz w:val="15"/>
                <w:szCs w:val="15"/>
              </w:rPr>
              <w:t xml:space="preserve">Strategic oversight, approval of major programme decisions, budget oversight, resolution of executive-level issues, and programme alignment. Decision authority: strategic.</w:t>
            </w:r>
          </w:p>
        </w:tc>
      </w:tr>
      <w:tr>
        <w:tc>
          <w:tcPr>
            <w:tcW w:type="dxa" w:w="2621"/>
            <w:tcMar>
              <w:top w:type="dxa" w:w="70"/>
              <w:left w:type="dxa" w:w="110"/>
              <w:bottom w:type="dxa" w:w="70"/>
              <w:right w:type="dxa" w:w="110"/>
            </w:tcMar>
            <w:vAlign w:val="top"/>
          </w:tcPr>
          <w:p>
            <w:r>
              <w:rPr>
                <w:b/>
                <w:bCs/>
                <w:color w:val="1A1A1A"/>
                <w:sz w:val="15"/>
                <w:szCs w:val="15"/>
              </w:rPr>
              <w:t xml:space="preserve">Project Management Office (PMO)</w:t>
            </w:r>
          </w:p>
        </w:tc>
        <w:tc>
          <w:tcPr>
            <w:tcW w:type="dxa" w:w="7459"/>
            <w:tcMar>
              <w:top w:type="dxa" w:w="70"/>
              <w:left w:type="dxa" w:w="110"/>
              <w:bottom w:type="dxa" w:w="70"/>
              <w:right w:type="dxa" w:w="110"/>
            </w:tcMar>
            <w:vAlign w:val="top"/>
          </w:tcPr>
          <w:p>
            <w:r>
              <w:rPr>
                <w:b w:val="false"/>
                <w:bCs w:val="false"/>
                <w:color w:val="1A1A1A"/>
                <w:sz w:val="15"/>
                <w:szCs w:val="15"/>
              </w:rPr>
              <w:t xml:space="preserve">Delivery governance, schedule management, scope management, resource coordination, change control, and reporting. Decision authority: project delivery.</w:t>
            </w:r>
          </w:p>
        </w:tc>
      </w:tr>
      <w:tr>
        <w:tc>
          <w:tcPr>
            <w:tcW w:type="dxa" w:w="2621"/>
            <w:tcMar>
              <w:top w:type="dxa" w:w="70"/>
              <w:left w:type="dxa" w:w="110"/>
              <w:bottom w:type="dxa" w:w="70"/>
              <w:right w:type="dxa" w:w="110"/>
            </w:tcMar>
            <w:vAlign w:val="top"/>
          </w:tcPr>
          <w:p>
            <w:r>
              <w:rPr>
                <w:b/>
                <w:bCs/>
                <w:color w:val="1A1A1A"/>
                <w:sz w:val="15"/>
                <w:szCs w:val="15"/>
              </w:rPr>
              <w:t xml:space="preserve">Architecture Review Board (ARB)</w:t>
            </w:r>
          </w:p>
        </w:tc>
        <w:tc>
          <w:tcPr>
            <w:tcW w:type="dxa" w:w="7459"/>
            <w:tcMar>
              <w:top w:type="dxa" w:w="70"/>
              <w:left w:type="dxa" w:w="110"/>
              <w:bottom w:type="dxa" w:w="70"/>
              <w:right w:type="dxa" w:w="110"/>
            </w:tcMar>
            <w:vAlign w:val="top"/>
          </w:tcPr>
          <w:p>
            <w:r>
              <w:rPr>
                <w:b w:val="false"/>
                <w:bCs w:val="false"/>
                <w:color w:val="1A1A1A"/>
                <w:sz w:val="15"/>
                <w:szCs w:val="15"/>
              </w:rPr>
              <w:t xml:space="preserve">The primary technical decision-making body: reviews architecture, approves technical standards, validates design decisions, and reviews integrations, security implications, scalability, and maintainability. No major technical decision may proceed without ARB approval.</w:t>
            </w:r>
          </w:p>
        </w:tc>
      </w:tr>
      <w:tr>
        <w:tc>
          <w:tcPr>
            <w:tcW w:type="dxa" w:w="2621"/>
            <w:tcMar>
              <w:top w:type="dxa" w:w="70"/>
              <w:left w:type="dxa" w:w="110"/>
              <w:bottom w:type="dxa" w:w="70"/>
              <w:right w:type="dxa" w:w="110"/>
            </w:tcMar>
            <w:vAlign w:val="top"/>
          </w:tcPr>
          <w:p>
            <w:r>
              <w:rPr>
                <w:b/>
                <w:bCs/>
                <w:color w:val="1A1A1A"/>
                <w:sz w:val="15"/>
                <w:szCs w:val="15"/>
              </w:rPr>
              <w:t xml:space="preserve">Security Review Committee</w:t>
            </w:r>
          </w:p>
        </w:tc>
        <w:tc>
          <w:tcPr>
            <w:tcW w:type="dxa" w:w="7459"/>
            <w:tcMar>
              <w:top w:type="dxa" w:w="70"/>
              <w:left w:type="dxa" w:w="110"/>
              <w:bottom w:type="dxa" w:w="70"/>
              <w:right w:type="dxa" w:w="110"/>
            </w:tcMar>
            <w:vAlign w:val="top"/>
          </w:tcPr>
          <w:p>
            <w:r>
              <w:rPr>
                <w:b w:val="false"/>
                <w:bCs w:val="false"/>
                <w:color w:val="1A1A1A"/>
                <w:sz w:val="15"/>
                <w:szCs w:val="15"/>
              </w:rPr>
              <w:t xml:space="preserve">Security architecture, authentication, authorization, encryption, secure APIs, vulnerability management, penetration testing, and compliance review.</w:t>
            </w:r>
          </w:p>
        </w:tc>
      </w:tr>
      <w:tr>
        <w:tc>
          <w:tcPr>
            <w:tcW w:type="dxa" w:w="2621"/>
            <w:tcMar>
              <w:top w:type="dxa" w:w="70"/>
              <w:left w:type="dxa" w:w="110"/>
              <w:bottom w:type="dxa" w:w="70"/>
              <w:right w:type="dxa" w:w="110"/>
            </w:tcMar>
            <w:vAlign w:val="top"/>
          </w:tcPr>
          <w:p>
            <w:r>
              <w:rPr>
                <w:b/>
                <w:bCs/>
                <w:color w:val="1A1A1A"/>
                <w:sz w:val="15"/>
                <w:szCs w:val="15"/>
              </w:rPr>
              <w:t xml:space="preserve">Data Governance Committee</w:t>
            </w:r>
          </w:p>
        </w:tc>
        <w:tc>
          <w:tcPr>
            <w:tcW w:type="dxa" w:w="7459"/>
            <w:tcMar>
              <w:top w:type="dxa" w:w="70"/>
              <w:left w:type="dxa" w:w="110"/>
              <w:bottom w:type="dxa" w:w="70"/>
              <w:right w:type="dxa" w:w="110"/>
            </w:tcMar>
            <w:vAlign w:val="top"/>
          </w:tcPr>
          <w:p>
            <w:r>
              <w:rPr>
                <w:b w:val="false"/>
                <w:bCs w:val="false"/>
                <w:color w:val="1A1A1A"/>
                <w:sz w:val="15"/>
                <w:szCs w:val="15"/>
              </w:rPr>
              <w:t xml:space="preserve">Data ownership, master data, metadata, data quality, retention policies, information classification, privacy, and knowledge taxonomy.</w:t>
            </w:r>
          </w:p>
        </w:tc>
      </w:tr>
      <w:tr>
        <w:tc>
          <w:tcPr>
            <w:tcW w:type="dxa" w:w="2621"/>
            <w:tcMar>
              <w:top w:type="dxa" w:w="70"/>
              <w:left w:type="dxa" w:w="110"/>
              <w:bottom w:type="dxa" w:w="70"/>
              <w:right w:type="dxa" w:w="110"/>
            </w:tcMar>
            <w:vAlign w:val="top"/>
          </w:tcPr>
          <w:p>
            <w:r>
              <w:rPr>
                <w:b/>
                <w:bCs/>
                <w:color w:val="1A1A1A"/>
                <w:sz w:val="15"/>
                <w:szCs w:val="15"/>
              </w:rPr>
              <w:t xml:space="preserve">DevSecOps Governance Team</w:t>
            </w:r>
          </w:p>
        </w:tc>
        <w:tc>
          <w:tcPr>
            <w:tcW w:type="dxa" w:w="7459"/>
            <w:tcMar>
              <w:top w:type="dxa" w:w="70"/>
              <w:left w:type="dxa" w:w="110"/>
              <w:bottom w:type="dxa" w:w="70"/>
              <w:right w:type="dxa" w:w="110"/>
            </w:tcMar>
            <w:vAlign w:val="top"/>
          </w:tcPr>
          <w:p>
            <w:r>
              <w:rPr>
                <w:b w:val="false"/>
                <w:bCs w:val="false"/>
                <w:color w:val="1A1A1A"/>
                <w:sz w:val="15"/>
                <w:szCs w:val="15"/>
              </w:rPr>
              <w:t xml:space="preserve">CI/CD, infrastructure, monitoring, logging, deployment, backup, disaster recovery, and infrastructure security.</w:t>
            </w:r>
          </w:p>
        </w:tc>
      </w:tr>
    </w:tbl>
    <w:p>
      <w:pPr>
        <w:pStyle w:val="Heading1"/>
        <w:pBdr>
          <w:bottom w:val="single" w:color="C6D2E0" w:sz="4" w:space="4"/>
        </w:pBdr>
        <w:spacing w:after="140" w:before="360"/>
      </w:pPr>
      <w:r>
        <w:rPr>
          <w:b/>
          <w:bCs/>
          <w:color w:val="4A6FA5"/>
          <w:sz w:val="26"/>
          <w:szCs w:val="26"/>
        </w:rPr>
        <w:t xml:space="preserve">6.5  </w:t>
      </w:r>
      <w:r>
        <w:rPr>
          <w:b/>
          <w:bCs/>
          <w:color w:val="1F3864"/>
          <w:sz w:val="26"/>
          <w:szCs w:val="26"/>
        </w:rPr>
        <w:t xml:space="preserve">Decision Authority Matrix</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Assign a single, unambiguous approval authority to each category of decision.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Eliminates ambiguity about who signs off on a given decision, reducing delivery delays.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Referenced directly during change requests to route approval to the correct body.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decision category has exactly one accountable approval authority.</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70"/>
              <w:left w:type="dxa" w:w="110"/>
              <w:bottom w:type="dxa" w:w="70"/>
              <w:right w:type="dxa" w:w="110"/>
            </w:tcMar>
            <w:vAlign w:val="top"/>
          </w:tcPr>
          <w:p>
            <w:r>
              <w:rPr>
                <w:b/>
                <w:bCs/>
                <w:color w:val="FFFFFF"/>
                <w:sz w:val="17"/>
                <w:szCs w:val="17"/>
              </w:rPr>
              <w:t xml:space="preserve">Decision</w:t>
            </w:r>
          </w:p>
        </w:tc>
        <w:tc>
          <w:tcPr>
            <w:tcW w:type="dxa" w:w="5040"/>
            <w:shd w:fill="1F3864" w:val="clear"/>
            <w:tcMar>
              <w:top w:type="dxa" w:w="70"/>
              <w:left w:type="dxa" w:w="110"/>
              <w:bottom w:type="dxa" w:w="70"/>
              <w:right w:type="dxa" w:w="110"/>
            </w:tcMar>
            <w:vAlign w:val="top"/>
          </w:tcPr>
          <w:p>
            <w:r>
              <w:rPr>
                <w:b/>
                <w:bCs/>
                <w:color w:val="FFFFFF"/>
                <w:sz w:val="17"/>
                <w:szCs w:val="17"/>
              </w:rPr>
              <w:t xml:space="preserve">Approval Authority</w:t>
            </w:r>
          </w:p>
        </w:tc>
      </w:tr>
      <w:tr>
        <w:tc>
          <w:tcPr>
            <w:tcW w:type="dxa" w:w="5040"/>
            <w:tcMar>
              <w:top w:type="dxa" w:w="70"/>
              <w:left w:type="dxa" w:w="110"/>
              <w:bottom w:type="dxa" w:w="70"/>
              <w:right w:type="dxa" w:w="110"/>
            </w:tcMar>
            <w:vAlign w:val="top"/>
          </w:tcPr>
          <w:p>
            <w:r>
              <w:rPr>
                <w:b/>
                <w:bCs/>
                <w:color w:val="1A1A1A"/>
                <w:sz w:val="17"/>
                <w:szCs w:val="17"/>
              </w:rPr>
              <w:t xml:space="preserve">Business Requirements</w:t>
            </w:r>
          </w:p>
        </w:tc>
        <w:tc>
          <w:tcPr>
            <w:tcW w:type="dxa" w:w="5040"/>
            <w:tcMar>
              <w:top w:type="dxa" w:w="70"/>
              <w:left w:type="dxa" w:w="110"/>
              <w:bottom w:type="dxa" w:w="70"/>
              <w:right w:type="dxa" w:w="110"/>
            </w:tcMar>
            <w:vAlign w:val="top"/>
          </w:tcPr>
          <w:p>
            <w:r>
              <w:rPr>
                <w:b w:val="false"/>
                <w:bCs w:val="false"/>
                <w:color w:val="1A1A1A"/>
                <w:sz w:val="17"/>
                <w:szCs w:val="17"/>
              </w:rPr>
              <w:t xml:space="preserve">Steering Committee</w:t>
            </w:r>
          </w:p>
        </w:tc>
      </w:tr>
      <w:tr>
        <w:tc>
          <w:tcPr>
            <w:tcW w:type="dxa" w:w="5040"/>
            <w:tcMar>
              <w:top w:type="dxa" w:w="70"/>
              <w:left w:type="dxa" w:w="110"/>
              <w:bottom w:type="dxa" w:w="70"/>
              <w:right w:type="dxa" w:w="110"/>
            </w:tcMar>
            <w:vAlign w:val="top"/>
          </w:tcPr>
          <w:p>
            <w:r>
              <w:rPr>
                <w:b/>
                <w:bCs/>
                <w:color w:val="1A1A1A"/>
                <w:sz w:val="17"/>
                <w:szCs w:val="17"/>
              </w:rPr>
              <w:t xml:space="preserve">Functional Scope</w:t>
            </w:r>
          </w:p>
        </w:tc>
        <w:tc>
          <w:tcPr>
            <w:tcW w:type="dxa" w:w="5040"/>
            <w:tcMar>
              <w:top w:type="dxa" w:w="70"/>
              <w:left w:type="dxa" w:w="110"/>
              <w:bottom w:type="dxa" w:w="70"/>
              <w:right w:type="dxa" w:w="110"/>
            </w:tcMar>
            <w:vAlign w:val="top"/>
          </w:tcPr>
          <w:p>
            <w:r>
              <w:rPr>
                <w:b w:val="false"/>
                <w:bCs w:val="false"/>
                <w:color w:val="1A1A1A"/>
                <w:sz w:val="17"/>
                <w:szCs w:val="17"/>
              </w:rPr>
              <w:t xml:space="preserve">PMO</w:t>
            </w:r>
          </w:p>
        </w:tc>
      </w:tr>
      <w:tr>
        <w:tc>
          <w:tcPr>
            <w:tcW w:type="dxa" w:w="5040"/>
            <w:tcMar>
              <w:top w:type="dxa" w:w="70"/>
              <w:left w:type="dxa" w:w="110"/>
              <w:bottom w:type="dxa" w:w="70"/>
              <w:right w:type="dxa" w:w="110"/>
            </w:tcMar>
            <w:vAlign w:val="top"/>
          </w:tcPr>
          <w:p>
            <w:r>
              <w:rPr>
                <w:b/>
                <w:bCs/>
                <w:color w:val="1A1A1A"/>
                <w:sz w:val="17"/>
                <w:szCs w:val="17"/>
              </w:rPr>
              <w:t xml:space="preserve">Architecture</w:t>
            </w:r>
          </w:p>
        </w:tc>
        <w:tc>
          <w:tcPr>
            <w:tcW w:type="dxa" w:w="5040"/>
            <w:tcMar>
              <w:top w:type="dxa" w:w="70"/>
              <w:left w:type="dxa" w:w="110"/>
              <w:bottom w:type="dxa" w:w="70"/>
              <w:right w:type="dxa" w:w="110"/>
            </w:tcMar>
            <w:vAlign w:val="top"/>
          </w:tcPr>
          <w:p>
            <w:r>
              <w:rPr>
                <w:b w:val="false"/>
                <w:bCs w:val="false"/>
                <w:color w:val="1A1A1A"/>
                <w:sz w:val="17"/>
                <w:szCs w:val="17"/>
              </w:rPr>
              <w:t xml:space="preserve">Architecture Review Board</w:t>
            </w:r>
          </w:p>
        </w:tc>
      </w:tr>
      <w:tr>
        <w:tc>
          <w:tcPr>
            <w:tcW w:type="dxa" w:w="5040"/>
            <w:tcMar>
              <w:top w:type="dxa" w:w="70"/>
              <w:left w:type="dxa" w:w="110"/>
              <w:bottom w:type="dxa" w:w="70"/>
              <w:right w:type="dxa" w:w="110"/>
            </w:tcMar>
            <w:vAlign w:val="top"/>
          </w:tcPr>
          <w:p>
            <w:r>
              <w:rPr>
                <w:b/>
                <w:bCs/>
                <w:color w:val="1A1A1A"/>
                <w:sz w:val="17"/>
                <w:szCs w:val="17"/>
              </w:rPr>
              <w:t xml:space="preserve">Database Design</w:t>
            </w:r>
          </w:p>
        </w:tc>
        <w:tc>
          <w:tcPr>
            <w:tcW w:type="dxa" w:w="5040"/>
            <w:tcMar>
              <w:top w:type="dxa" w:w="70"/>
              <w:left w:type="dxa" w:w="110"/>
              <w:bottom w:type="dxa" w:w="70"/>
              <w:right w:type="dxa" w:w="110"/>
            </w:tcMar>
            <w:vAlign w:val="top"/>
          </w:tcPr>
          <w:p>
            <w:r>
              <w:rPr>
                <w:b w:val="false"/>
                <w:bCs w:val="false"/>
                <w:color w:val="1A1A1A"/>
                <w:sz w:val="17"/>
                <w:szCs w:val="17"/>
              </w:rPr>
              <w:t xml:space="preserve">Architecture Review Board</w:t>
            </w:r>
          </w:p>
        </w:tc>
      </w:tr>
      <w:tr>
        <w:tc>
          <w:tcPr>
            <w:tcW w:type="dxa" w:w="5040"/>
            <w:tcMar>
              <w:top w:type="dxa" w:w="70"/>
              <w:left w:type="dxa" w:w="110"/>
              <w:bottom w:type="dxa" w:w="70"/>
              <w:right w:type="dxa" w:w="110"/>
            </w:tcMar>
            <w:vAlign w:val="top"/>
          </w:tcPr>
          <w:p>
            <w:r>
              <w:rPr>
                <w:b/>
                <w:bCs/>
                <w:color w:val="1A1A1A"/>
                <w:sz w:val="17"/>
                <w:szCs w:val="17"/>
              </w:rPr>
              <w:t xml:space="preserve">API Standards</w:t>
            </w:r>
          </w:p>
        </w:tc>
        <w:tc>
          <w:tcPr>
            <w:tcW w:type="dxa" w:w="5040"/>
            <w:tcMar>
              <w:top w:type="dxa" w:w="70"/>
              <w:left w:type="dxa" w:w="110"/>
              <w:bottom w:type="dxa" w:w="70"/>
              <w:right w:type="dxa" w:w="110"/>
            </w:tcMar>
            <w:vAlign w:val="top"/>
          </w:tcPr>
          <w:p>
            <w:r>
              <w:rPr>
                <w:b w:val="false"/>
                <w:bCs w:val="false"/>
                <w:color w:val="1A1A1A"/>
                <w:sz w:val="17"/>
                <w:szCs w:val="17"/>
              </w:rPr>
              <w:t xml:space="preserve">Architecture Review Board</w:t>
            </w:r>
          </w:p>
        </w:tc>
      </w:tr>
      <w:tr>
        <w:tc>
          <w:tcPr>
            <w:tcW w:type="dxa" w:w="5040"/>
            <w:tcMar>
              <w:top w:type="dxa" w:w="70"/>
              <w:left w:type="dxa" w:w="110"/>
              <w:bottom w:type="dxa" w:w="70"/>
              <w:right w:type="dxa" w:w="110"/>
            </w:tcMar>
            <w:vAlign w:val="top"/>
          </w:tcPr>
          <w:p>
            <w:r>
              <w:rPr>
                <w:b/>
                <w:bCs/>
                <w:color w:val="1A1A1A"/>
                <w:sz w:val="17"/>
                <w:szCs w:val="17"/>
              </w:rPr>
              <w:t xml:space="preserve">Security Controls</w:t>
            </w:r>
          </w:p>
        </w:tc>
        <w:tc>
          <w:tcPr>
            <w:tcW w:type="dxa" w:w="5040"/>
            <w:tcMar>
              <w:top w:type="dxa" w:w="70"/>
              <w:left w:type="dxa" w:w="110"/>
              <w:bottom w:type="dxa" w:w="70"/>
              <w:right w:type="dxa" w:w="110"/>
            </w:tcMar>
            <w:vAlign w:val="top"/>
          </w:tcPr>
          <w:p>
            <w:r>
              <w:rPr>
                <w:b w:val="false"/>
                <w:bCs w:val="false"/>
                <w:color w:val="1A1A1A"/>
                <w:sz w:val="17"/>
                <w:szCs w:val="17"/>
              </w:rPr>
              <w:t xml:space="preserve">Security Committee</w:t>
            </w:r>
          </w:p>
        </w:tc>
      </w:tr>
      <w:tr>
        <w:tc>
          <w:tcPr>
            <w:tcW w:type="dxa" w:w="5040"/>
            <w:tcMar>
              <w:top w:type="dxa" w:w="70"/>
              <w:left w:type="dxa" w:w="110"/>
              <w:bottom w:type="dxa" w:w="70"/>
              <w:right w:type="dxa" w:w="110"/>
            </w:tcMar>
            <w:vAlign w:val="top"/>
          </w:tcPr>
          <w:p>
            <w:r>
              <w:rPr>
                <w:b/>
                <w:bCs/>
                <w:color w:val="1A1A1A"/>
                <w:sz w:val="17"/>
                <w:szCs w:val="17"/>
              </w:rPr>
              <w:t xml:space="preserve">Infrastructure</w:t>
            </w:r>
          </w:p>
        </w:tc>
        <w:tc>
          <w:tcPr>
            <w:tcW w:type="dxa" w:w="5040"/>
            <w:tcMar>
              <w:top w:type="dxa" w:w="70"/>
              <w:left w:type="dxa" w:w="110"/>
              <w:bottom w:type="dxa" w:w="70"/>
              <w:right w:type="dxa" w:w="110"/>
            </w:tcMar>
            <w:vAlign w:val="top"/>
          </w:tcPr>
          <w:p>
            <w:r>
              <w:rPr>
                <w:b w:val="false"/>
                <w:bCs w:val="false"/>
                <w:color w:val="1A1A1A"/>
                <w:sz w:val="17"/>
                <w:szCs w:val="17"/>
              </w:rPr>
              <w:t xml:space="preserve">DevSecOps Team</w:t>
            </w:r>
          </w:p>
        </w:tc>
      </w:tr>
      <w:tr>
        <w:tc>
          <w:tcPr>
            <w:tcW w:type="dxa" w:w="5040"/>
            <w:tcMar>
              <w:top w:type="dxa" w:w="70"/>
              <w:left w:type="dxa" w:w="110"/>
              <w:bottom w:type="dxa" w:w="70"/>
              <w:right w:type="dxa" w:w="110"/>
            </w:tcMar>
            <w:vAlign w:val="top"/>
          </w:tcPr>
          <w:p>
            <w:r>
              <w:rPr>
                <w:b/>
                <w:bCs/>
                <w:color w:val="1A1A1A"/>
                <w:sz w:val="17"/>
                <w:szCs w:val="17"/>
              </w:rPr>
              <w:t xml:space="preserve">AI Components</w:t>
            </w:r>
          </w:p>
        </w:tc>
        <w:tc>
          <w:tcPr>
            <w:tcW w:type="dxa" w:w="5040"/>
            <w:tcMar>
              <w:top w:type="dxa" w:w="70"/>
              <w:left w:type="dxa" w:w="110"/>
              <w:bottom w:type="dxa" w:w="70"/>
              <w:right w:type="dxa" w:w="110"/>
            </w:tcMar>
            <w:vAlign w:val="top"/>
          </w:tcPr>
          <w:p>
            <w:r>
              <w:rPr>
                <w:b w:val="false"/>
                <w:bCs w:val="false"/>
                <w:color w:val="1A1A1A"/>
                <w:sz w:val="17"/>
                <w:szCs w:val="17"/>
              </w:rPr>
              <w:t xml:space="preserve">Architecture Review Board</w:t>
            </w:r>
          </w:p>
        </w:tc>
      </w:tr>
      <w:tr>
        <w:tc>
          <w:tcPr>
            <w:tcW w:type="dxa" w:w="5040"/>
            <w:tcMar>
              <w:top w:type="dxa" w:w="70"/>
              <w:left w:type="dxa" w:w="110"/>
              <w:bottom w:type="dxa" w:w="70"/>
              <w:right w:type="dxa" w:w="110"/>
            </w:tcMar>
            <w:vAlign w:val="top"/>
          </w:tcPr>
          <w:p>
            <w:r>
              <w:rPr>
                <w:b/>
                <w:bCs/>
                <w:color w:val="1A1A1A"/>
                <w:sz w:val="17"/>
                <w:szCs w:val="17"/>
              </w:rPr>
              <w:t xml:space="preserve">External Integrations</w:t>
            </w:r>
          </w:p>
        </w:tc>
        <w:tc>
          <w:tcPr>
            <w:tcW w:type="dxa" w:w="5040"/>
            <w:tcMar>
              <w:top w:type="dxa" w:w="70"/>
              <w:left w:type="dxa" w:w="110"/>
              <w:bottom w:type="dxa" w:w="70"/>
              <w:right w:type="dxa" w:w="110"/>
            </w:tcMar>
            <w:vAlign w:val="top"/>
          </w:tcPr>
          <w:p>
            <w:r>
              <w:rPr>
                <w:b w:val="false"/>
                <w:bCs w:val="false"/>
                <w:color w:val="1A1A1A"/>
                <w:sz w:val="17"/>
                <w:szCs w:val="17"/>
              </w:rPr>
              <w:t xml:space="preserve">Architecture Review Board</w:t>
            </w:r>
          </w:p>
        </w:tc>
      </w:tr>
      <w:tr>
        <w:tc>
          <w:tcPr>
            <w:tcW w:type="dxa" w:w="5040"/>
            <w:tcMar>
              <w:top w:type="dxa" w:w="70"/>
              <w:left w:type="dxa" w:w="110"/>
              <w:bottom w:type="dxa" w:w="70"/>
              <w:right w:type="dxa" w:w="110"/>
            </w:tcMar>
            <w:vAlign w:val="top"/>
          </w:tcPr>
          <w:p>
            <w:r>
              <w:rPr>
                <w:b/>
                <w:bCs/>
                <w:color w:val="1A1A1A"/>
                <w:sz w:val="17"/>
                <w:szCs w:val="17"/>
              </w:rPr>
              <w:t xml:space="preserve">Production Release</w:t>
            </w:r>
          </w:p>
        </w:tc>
        <w:tc>
          <w:tcPr>
            <w:tcW w:type="dxa" w:w="5040"/>
            <w:tcMar>
              <w:top w:type="dxa" w:w="70"/>
              <w:left w:type="dxa" w:w="110"/>
              <w:bottom w:type="dxa" w:w="70"/>
              <w:right w:type="dxa" w:w="110"/>
            </w:tcMar>
            <w:vAlign w:val="top"/>
          </w:tcPr>
          <w:p>
            <w:r>
              <w:rPr>
                <w:b w:val="false"/>
                <w:bCs w:val="false"/>
                <w:color w:val="1A1A1A"/>
                <w:sz w:val="17"/>
                <w:szCs w:val="17"/>
              </w:rPr>
              <w:t xml:space="preserve">PMO + ARB</w:t>
            </w:r>
          </w:p>
        </w:tc>
      </w:tr>
    </w:tbl>
    <w:p>
      <w:pPr>
        <w:pStyle w:val="Heading1"/>
        <w:pBdr>
          <w:bottom w:val="single" w:color="C6D2E0" w:sz="4" w:space="4"/>
        </w:pBdr>
        <w:spacing w:after="140" w:before="360"/>
      </w:pPr>
      <w:r>
        <w:rPr>
          <w:b/>
          <w:bCs/>
          <w:color w:val="4A6FA5"/>
          <w:sz w:val="26"/>
          <w:szCs w:val="26"/>
        </w:rPr>
        <w:t xml:space="preserve">6.6  </w:t>
      </w:r>
      <w:r>
        <w:rPr>
          <w:b/>
          <w:bCs/>
          <w:color w:val="1F3864"/>
          <w:sz w:val="26"/>
          <w:szCs w:val="26"/>
        </w:rPr>
        <w:t xml:space="preserve">Architecture Decision Records (ADR)</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how architectural decisions are documented and preserved.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future maintainers and auditors a permanent record of why a decision was made.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significant architectural decision shall be documented using an ADR — see Chapter 22.</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complete, traceable decision history for the platform's entire lifecycle.</w:t>
            </w:r>
          </w:p>
        </w:tc>
      </w:tr>
    </w:tbl>
    <w:p>
      <w:pPr>
        <w:spacing w:after="160"/>
      </w:pPr>
    </w:p>
    <w:p>
      <w:pPr>
        <w:spacing w:after="150" w:line="276"/>
        <w:jc w:val="both"/>
      </w:pPr>
      <w:r>
        <w:t xml:space="preserve">Every significant architectural decision shall be documented using an Architecture Decision Record (ADR). Each ADR shall contain:</w:t>
      </w:r>
    </w:p>
    <w:p>
      <w:pPr>
        <w:pStyle w:val="ListParagraph"/>
        <w:numPr>
          <w:ilvl w:val="0"/>
          <w:numId w:val="1"/>
        </w:numPr>
        <w:spacing w:after="90" w:line="264"/>
      </w:pPr>
      <w:r>
        <w:t xml:space="preserve">ADR Number</w:t>
      </w:r>
    </w:p>
    <w:p>
      <w:pPr>
        <w:pStyle w:val="ListParagraph"/>
        <w:numPr>
          <w:ilvl w:val="0"/>
          <w:numId w:val="1"/>
        </w:numPr>
        <w:spacing w:after="90" w:line="264"/>
      </w:pPr>
      <w:r>
        <w:t xml:space="preserve">Title</w:t>
      </w:r>
    </w:p>
    <w:p>
      <w:pPr>
        <w:pStyle w:val="ListParagraph"/>
        <w:numPr>
          <w:ilvl w:val="0"/>
          <w:numId w:val="1"/>
        </w:numPr>
        <w:spacing w:after="90" w:line="264"/>
      </w:pPr>
      <w:r>
        <w:t xml:space="preserve">Date</w:t>
      </w:r>
    </w:p>
    <w:p>
      <w:pPr>
        <w:pStyle w:val="ListParagraph"/>
        <w:numPr>
          <w:ilvl w:val="0"/>
          <w:numId w:val="1"/>
        </w:numPr>
        <w:spacing w:after="90" w:line="264"/>
      </w:pPr>
      <w:r>
        <w:t xml:space="preserve">Status</w:t>
      </w:r>
    </w:p>
    <w:p>
      <w:pPr>
        <w:pStyle w:val="ListParagraph"/>
        <w:numPr>
          <w:ilvl w:val="0"/>
          <w:numId w:val="1"/>
        </w:numPr>
        <w:spacing w:after="90" w:line="264"/>
      </w:pPr>
      <w:r>
        <w:t xml:space="preserve">Context</w:t>
      </w:r>
    </w:p>
    <w:p>
      <w:pPr>
        <w:pStyle w:val="ListParagraph"/>
        <w:numPr>
          <w:ilvl w:val="0"/>
          <w:numId w:val="1"/>
        </w:numPr>
        <w:spacing w:after="90" w:line="264"/>
      </w:pPr>
      <w:r>
        <w:t xml:space="preserve">Problem Statement</w:t>
      </w:r>
    </w:p>
    <w:p>
      <w:pPr>
        <w:pStyle w:val="ListParagraph"/>
        <w:numPr>
          <w:ilvl w:val="0"/>
          <w:numId w:val="1"/>
        </w:numPr>
        <w:spacing w:after="90" w:line="264"/>
      </w:pPr>
      <w:r>
        <w:t xml:space="preserve">Alternatives Considered</w:t>
      </w:r>
    </w:p>
    <w:p>
      <w:pPr>
        <w:pStyle w:val="ListParagraph"/>
        <w:numPr>
          <w:ilvl w:val="0"/>
          <w:numId w:val="1"/>
        </w:numPr>
        <w:spacing w:after="90" w:line="264"/>
      </w:pPr>
      <w:r>
        <w:t xml:space="preserve">Selected Option</w:t>
      </w:r>
    </w:p>
    <w:p>
      <w:pPr>
        <w:pStyle w:val="ListParagraph"/>
        <w:numPr>
          <w:ilvl w:val="0"/>
          <w:numId w:val="1"/>
        </w:numPr>
        <w:spacing w:after="90" w:line="264"/>
      </w:pPr>
      <w:r>
        <w:t xml:space="preserve">Justification</w:t>
      </w:r>
    </w:p>
    <w:p>
      <w:pPr>
        <w:pStyle w:val="ListParagraph"/>
        <w:numPr>
          <w:ilvl w:val="0"/>
          <w:numId w:val="1"/>
        </w:numPr>
        <w:spacing w:after="90" w:line="264"/>
      </w:pPr>
      <w:r>
        <w:t xml:space="preserve">Trade-offs</w:t>
      </w:r>
    </w:p>
    <w:p>
      <w:pPr>
        <w:pStyle w:val="ListParagraph"/>
        <w:numPr>
          <w:ilvl w:val="0"/>
          <w:numId w:val="1"/>
        </w:numPr>
        <w:spacing w:after="90" w:line="264"/>
      </w:pPr>
      <w:r>
        <w:t xml:space="preserve">Risks</w:t>
      </w:r>
    </w:p>
    <w:p>
      <w:pPr>
        <w:pStyle w:val="ListParagraph"/>
        <w:numPr>
          <w:ilvl w:val="0"/>
          <w:numId w:val="1"/>
        </w:numPr>
        <w:spacing w:after="90" w:line="264"/>
      </w:pPr>
      <w:r>
        <w:t xml:space="preserve">Impact</w:t>
      </w:r>
    </w:p>
    <w:p>
      <w:pPr>
        <w:pStyle w:val="ListParagraph"/>
        <w:numPr>
          <w:ilvl w:val="0"/>
          <w:numId w:val="1"/>
        </w:numPr>
        <w:spacing w:after="90" w:line="264"/>
      </w:pPr>
      <w:r>
        <w:t xml:space="preserve">Dependencies</w:t>
      </w:r>
    </w:p>
    <w:p>
      <w:pPr>
        <w:pStyle w:val="ListParagraph"/>
        <w:numPr>
          <w:ilvl w:val="0"/>
          <w:numId w:val="1"/>
        </w:numPr>
        <w:spacing w:after="90" w:line="264"/>
      </w:pPr>
      <w:r>
        <w:t xml:space="preserve">Reviewer</w:t>
      </w:r>
    </w:p>
    <w:p>
      <w:pPr>
        <w:pStyle w:val="ListParagraph"/>
        <w:numPr>
          <w:ilvl w:val="0"/>
          <w:numId w:val="1"/>
        </w:numPr>
        <w:spacing w:after="90" w:line="264"/>
      </w:pPr>
      <w:r>
        <w:t xml:space="preserve">Approval Date</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1F3864" w:val="clear"/>
            <w:tcMar>
              <w:top w:type="dxa" w:w="70"/>
              <w:left w:type="dxa" w:w="110"/>
              <w:bottom w:type="dxa" w:w="70"/>
              <w:right w:type="dxa" w:w="110"/>
            </w:tcMar>
            <w:vAlign w:val="top"/>
          </w:tcPr>
          <w:p>
            <w:r>
              <w:rPr>
                <w:b/>
                <w:bCs/>
                <w:color w:val="FFFFFF"/>
                <w:sz w:val="17"/>
                <w:szCs w:val="17"/>
              </w:rPr>
              <w:t xml:space="preserve">ADR Number</w:t>
            </w:r>
          </w:p>
        </w:tc>
        <w:tc>
          <w:tcPr>
            <w:tcW w:type="dxa" w:w="7661"/>
            <w:shd w:fill="1F3864" w:val="clear"/>
            <w:tcMar>
              <w:top w:type="dxa" w:w="70"/>
              <w:left w:type="dxa" w:w="110"/>
              <w:bottom w:type="dxa" w:w="70"/>
              <w:right w:type="dxa" w:w="110"/>
            </w:tcMar>
            <w:vAlign w:val="top"/>
          </w:tcPr>
          <w:p>
            <w:r>
              <w:rPr>
                <w:b/>
                <w:bCs/>
                <w:color w:val="FFFFFF"/>
                <w:sz w:val="17"/>
                <w:szCs w:val="17"/>
              </w:rPr>
              <w:t xml:space="preserve">Title</w:t>
            </w:r>
          </w:p>
        </w:tc>
      </w:tr>
      <w:tr>
        <w:tc>
          <w:tcPr>
            <w:tcW w:type="dxa" w:w="2419"/>
            <w:tcMar>
              <w:top w:type="dxa" w:w="70"/>
              <w:left w:type="dxa" w:w="110"/>
              <w:bottom w:type="dxa" w:w="70"/>
              <w:right w:type="dxa" w:w="110"/>
            </w:tcMar>
            <w:vAlign w:val="top"/>
          </w:tcPr>
          <w:p>
            <w:r>
              <w:rPr>
                <w:b/>
                <w:bCs/>
                <w:color w:val="1A1A1A"/>
                <w:sz w:val="16"/>
                <w:szCs w:val="16"/>
              </w:rPr>
              <w:t xml:space="preserve">ADR-001</w:t>
            </w:r>
          </w:p>
        </w:tc>
        <w:tc>
          <w:tcPr>
            <w:tcW w:type="dxa" w:w="7661"/>
            <w:tcMar>
              <w:top w:type="dxa" w:w="70"/>
              <w:left w:type="dxa" w:w="110"/>
              <w:bottom w:type="dxa" w:w="70"/>
              <w:right w:type="dxa" w:w="110"/>
            </w:tcMar>
            <w:vAlign w:val="top"/>
          </w:tcPr>
          <w:p>
            <w:r>
              <w:rPr>
                <w:b w:val="false"/>
                <w:bCs w:val="false"/>
                <w:color w:val="1A1A1A"/>
                <w:sz w:val="16"/>
                <w:szCs w:val="16"/>
              </w:rPr>
              <w:t xml:space="preserve">Technology Stack Selection</w:t>
            </w:r>
          </w:p>
        </w:tc>
      </w:tr>
      <w:tr>
        <w:tc>
          <w:tcPr>
            <w:tcW w:type="dxa" w:w="2419"/>
            <w:tcMar>
              <w:top w:type="dxa" w:w="70"/>
              <w:left w:type="dxa" w:w="110"/>
              <w:bottom w:type="dxa" w:w="70"/>
              <w:right w:type="dxa" w:w="110"/>
            </w:tcMar>
            <w:vAlign w:val="top"/>
          </w:tcPr>
          <w:p>
            <w:r>
              <w:rPr>
                <w:b/>
                <w:bCs/>
                <w:color w:val="1A1A1A"/>
                <w:sz w:val="16"/>
                <w:szCs w:val="16"/>
              </w:rPr>
              <w:t xml:space="preserve">ADR-002</w:t>
            </w:r>
          </w:p>
        </w:tc>
        <w:tc>
          <w:tcPr>
            <w:tcW w:type="dxa" w:w="7661"/>
            <w:tcMar>
              <w:top w:type="dxa" w:w="70"/>
              <w:left w:type="dxa" w:w="110"/>
              <w:bottom w:type="dxa" w:w="70"/>
              <w:right w:type="dxa" w:w="110"/>
            </w:tcMar>
            <w:vAlign w:val="top"/>
          </w:tcPr>
          <w:p>
            <w:r>
              <w:rPr>
                <w:b w:val="false"/>
                <w:bCs w:val="false"/>
                <w:color w:val="1A1A1A"/>
                <w:sz w:val="16"/>
                <w:szCs w:val="16"/>
              </w:rPr>
              <w:t xml:space="preserve">Authentication Strategy</w:t>
            </w:r>
          </w:p>
        </w:tc>
      </w:tr>
      <w:tr>
        <w:tc>
          <w:tcPr>
            <w:tcW w:type="dxa" w:w="2419"/>
            <w:tcMar>
              <w:top w:type="dxa" w:w="70"/>
              <w:left w:type="dxa" w:w="110"/>
              <w:bottom w:type="dxa" w:w="70"/>
              <w:right w:type="dxa" w:w="110"/>
            </w:tcMar>
            <w:vAlign w:val="top"/>
          </w:tcPr>
          <w:p>
            <w:r>
              <w:rPr>
                <w:b/>
                <w:bCs/>
                <w:color w:val="1A1A1A"/>
                <w:sz w:val="16"/>
                <w:szCs w:val="16"/>
              </w:rPr>
              <w:t xml:space="preserve">ADR-003</w:t>
            </w:r>
          </w:p>
        </w:tc>
        <w:tc>
          <w:tcPr>
            <w:tcW w:type="dxa" w:w="7661"/>
            <w:tcMar>
              <w:top w:type="dxa" w:w="70"/>
              <w:left w:type="dxa" w:w="110"/>
              <w:bottom w:type="dxa" w:w="70"/>
              <w:right w:type="dxa" w:w="110"/>
            </w:tcMar>
            <w:vAlign w:val="top"/>
          </w:tcPr>
          <w:p>
            <w:r>
              <w:rPr>
                <w:b w:val="false"/>
                <w:bCs w:val="false"/>
                <w:color w:val="1A1A1A"/>
                <w:sz w:val="16"/>
                <w:szCs w:val="16"/>
              </w:rPr>
              <w:t xml:space="preserve">Database Platform</w:t>
            </w:r>
          </w:p>
        </w:tc>
      </w:tr>
      <w:tr>
        <w:tc>
          <w:tcPr>
            <w:tcW w:type="dxa" w:w="2419"/>
            <w:tcMar>
              <w:top w:type="dxa" w:w="70"/>
              <w:left w:type="dxa" w:w="110"/>
              <w:bottom w:type="dxa" w:w="70"/>
              <w:right w:type="dxa" w:w="110"/>
            </w:tcMar>
            <w:vAlign w:val="top"/>
          </w:tcPr>
          <w:p>
            <w:r>
              <w:rPr>
                <w:b/>
                <w:bCs/>
                <w:color w:val="1A1A1A"/>
                <w:sz w:val="16"/>
                <w:szCs w:val="16"/>
              </w:rPr>
              <w:t xml:space="preserve">ADR-004</w:t>
            </w:r>
          </w:p>
        </w:tc>
        <w:tc>
          <w:tcPr>
            <w:tcW w:type="dxa" w:w="7661"/>
            <w:tcMar>
              <w:top w:type="dxa" w:w="70"/>
              <w:left w:type="dxa" w:w="110"/>
              <w:bottom w:type="dxa" w:w="70"/>
              <w:right w:type="dxa" w:w="110"/>
            </w:tcMar>
            <w:vAlign w:val="top"/>
          </w:tcPr>
          <w:p>
            <w:r>
              <w:rPr>
                <w:b w:val="false"/>
                <w:bCs w:val="false"/>
                <w:color w:val="1A1A1A"/>
                <w:sz w:val="16"/>
                <w:szCs w:val="16"/>
              </w:rPr>
              <w:t xml:space="preserve">Search Engine</w:t>
            </w:r>
          </w:p>
        </w:tc>
      </w:tr>
      <w:tr>
        <w:tc>
          <w:tcPr>
            <w:tcW w:type="dxa" w:w="2419"/>
            <w:tcMar>
              <w:top w:type="dxa" w:w="70"/>
              <w:left w:type="dxa" w:w="110"/>
              <w:bottom w:type="dxa" w:w="70"/>
              <w:right w:type="dxa" w:w="110"/>
            </w:tcMar>
            <w:vAlign w:val="top"/>
          </w:tcPr>
          <w:p>
            <w:r>
              <w:rPr>
                <w:b/>
                <w:bCs/>
                <w:color w:val="1A1A1A"/>
                <w:sz w:val="16"/>
                <w:szCs w:val="16"/>
              </w:rPr>
              <w:t xml:space="preserve">ADR-005</w:t>
            </w:r>
          </w:p>
        </w:tc>
        <w:tc>
          <w:tcPr>
            <w:tcW w:type="dxa" w:w="7661"/>
            <w:tcMar>
              <w:top w:type="dxa" w:w="70"/>
              <w:left w:type="dxa" w:w="110"/>
              <w:bottom w:type="dxa" w:w="70"/>
              <w:right w:type="dxa" w:w="110"/>
            </w:tcMar>
            <w:vAlign w:val="top"/>
          </w:tcPr>
          <w:p>
            <w:r>
              <w:rPr>
                <w:b w:val="false"/>
                <w:bCs w:val="false"/>
                <w:color w:val="1A1A1A"/>
                <w:sz w:val="16"/>
                <w:szCs w:val="16"/>
              </w:rPr>
              <w:t xml:space="preserve">Hosting Architecture</w:t>
            </w:r>
          </w:p>
        </w:tc>
      </w:tr>
      <w:tr>
        <w:tc>
          <w:tcPr>
            <w:tcW w:type="dxa" w:w="2419"/>
            <w:tcMar>
              <w:top w:type="dxa" w:w="70"/>
              <w:left w:type="dxa" w:w="110"/>
              <w:bottom w:type="dxa" w:w="70"/>
              <w:right w:type="dxa" w:w="110"/>
            </w:tcMar>
            <w:vAlign w:val="top"/>
          </w:tcPr>
          <w:p>
            <w:r>
              <w:rPr>
                <w:b/>
                <w:bCs/>
                <w:color w:val="1A1A1A"/>
                <w:sz w:val="16"/>
                <w:szCs w:val="16"/>
              </w:rPr>
              <w:t xml:space="preserve">ADR-006</w:t>
            </w:r>
          </w:p>
        </w:tc>
        <w:tc>
          <w:tcPr>
            <w:tcW w:type="dxa" w:w="7661"/>
            <w:tcMar>
              <w:top w:type="dxa" w:w="70"/>
              <w:left w:type="dxa" w:w="110"/>
              <w:bottom w:type="dxa" w:w="70"/>
              <w:right w:type="dxa" w:w="110"/>
            </w:tcMar>
            <w:vAlign w:val="top"/>
          </w:tcPr>
          <w:p>
            <w:r>
              <w:rPr>
                <w:b w:val="false"/>
                <w:bCs w:val="false"/>
                <w:color w:val="1A1A1A"/>
                <w:sz w:val="16"/>
                <w:szCs w:val="16"/>
              </w:rPr>
              <w:t xml:space="preserve">AI Integration Approach</w:t>
            </w:r>
          </w:p>
        </w:tc>
      </w:tr>
      <w:tr>
        <w:tc>
          <w:tcPr>
            <w:tcW w:type="dxa" w:w="2419"/>
            <w:tcMar>
              <w:top w:type="dxa" w:w="70"/>
              <w:left w:type="dxa" w:w="110"/>
              <w:bottom w:type="dxa" w:w="70"/>
              <w:right w:type="dxa" w:w="110"/>
            </w:tcMar>
            <w:vAlign w:val="top"/>
          </w:tcPr>
          <w:p>
            <w:r>
              <w:rPr>
                <w:b/>
                <w:bCs/>
                <w:color w:val="1A1A1A"/>
                <w:sz w:val="16"/>
                <w:szCs w:val="16"/>
              </w:rPr>
              <w:t xml:space="preserve">ADR-007</w:t>
            </w:r>
          </w:p>
        </w:tc>
        <w:tc>
          <w:tcPr>
            <w:tcW w:type="dxa" w:w="7661"/>
            <w:tcMar>
              <w:top w:type="dxa" w:w="70"/>
              <w:left w:type="dxa" w:w="110"/>
              <w:bottom w:type="dxa" w:w="70"/>
              <w:right w:type="dxa" w:w="110"/>
            </w:tcMar>
            <w:vAlign w:val="top"/>
          </w:tcPr>
          <w:p>
            <w:r>
              <w:rPr>
                <w:b w:val="false"/>
                <w:bCs w:val="false"/>
                <w:color w:val="1A1A1A"/>
                <w:sz w:val="16"/>
                <w:szCs w:val="16"/>
              </w:rPr>
              <w:t xml:space="preserve">API Versioning Strategy</w:t>
            </w:r>
          </w:p>
        </w:tc>
      </w:tr>
      <w:tr>
        <w:tc>
          <w:tcPr>
            <w:tcW w:type="dxa" w:w="2419"/>
            <w:tcMar>
              <w:top w:type="dxa" w:w="70"/>
              <w:left w:type="dxa" w:w="110"/>
              <w:bottom w:type="dxa" w:w="70"/>
              <w:right w:type="dxa" w:w="110"/>
            </w:tcMar>
            <w:vAlign w:val="top"/>
          </w:tcPr>
          <w:p>
            <w:r>
              <w:rPr>
                <w:b/>
                <w:bCs/>
                <w:color w:val="1A1A1A"/>
                <w:sz w:val="16"/>
                <w:szCs w:val="16"/>
              </w:rPr>
              <w:t xml:space="preserve">ADR-008</w:t>
            </w:r>
          </w:p>
        </w:tc>
        <w:tc>
          <w:tcPr>
            <w:tcW w:type="dxa" w:w="7661"/>
            <w:tcMar>
              <w:top w:type="dxa" w:w="70"/>
              <w:left w:type="dxa" w:w="110"/>
              <w:bottom w:type="dxa" w:w="70"/>
              <w:right w:type="dxa" w:w="110"/>
            </w:tcMar>
            <w:vAlign w:val="top"/>
          </w:tcPr>
          <w:p>
            <w:r>
              <w:rPr>
                <w:b w:val="false"/>
                <w:bCs w:val="false"/>
                <w:color w:val="1A1A1A"/>
                <w:sz w:val="16"/>
                <w:szCs w:val="16"/>
              </w:rPr>
              <w:t xml:space="preserve">Logging Framework</w:t>
            </w:r>
          </w:p>
        </w:tc>
      </w:tr>
    </w:tbl>
    <w:p>
      <w:pPr>
        <w:pStyle w:val="Heading1"/>
        <w:pBdr>
          <w:bottom w:val="single" w:color="C6D2E0" w:sz="4" w:space="4"/>
        </w:pBdr>
        <w:spacing w:after="140" w:before="360"/>
      </w:pPr>
      <w:r>
        <w:rPr>
          <w:b/>
          <w:bCs/>
          <w:color w:val="4A6FA5"/>
          <w:sz w:val="26"/>
          <w:szCs w:val="26"/>
        </w:rPr>
        <w:t xml:space="preserve">6.7  </w:t>
      </w:r>
      <w:r>
        <w:rPr>
          <w:b/>
          <w:bCs/>
          <w:color w:val="1F3864"/>
          <w:sz w:val="26"/>
          <w:szCs w:val="26"/>
        </w:rPr>
        <w:t xml:space="preserve">Architecture Review Process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five-step review process every major engineering deliverable must pass through.</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Catches architectural risk before implementation, avoiding costly rework.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major engineering deliverable shall pass through this review before implementation.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approved decision generates a traceable ADR.</w:t>
            </w:r>
          </w:p>
        </w:tc>
      </w:tr>
    </w:tbl>
    <w:p>
      <w:pPr>
        <w:spacing w:after="160"/>
      </w:pPr>
    </w:p>
    <w:p>
      <w:pPr>
        <w:pStyle w:val="Heading2"/>
        <w:spacing w:after="110" w:before="260"/>
      </w:pPr>
      <w:r>
        <w:rPr>
          <w:b/>
          <w:bCs/>
          <w:color w:val="4A6FA5"/>
          <w:sz w:val="21"/>
          <w:szCs w:val="21"/>
        </w:rPr>
        <w:t xml:space="preserve">6.7.1  </w:t>
      </w:r>
      <w:r>
        <w:rPr>
          <w:b/>
          <w:bCs/>
          <w:color w:val="1F3864"/>
          <w:sz w:val="21"/>
          <w:szCs w:val="21"/>
        </w:rPr>
        <w:t xml:space="preserve">Step 1 — Proposal Submission</w:t>
      </w:r>
    </w:p>
    <w:p>
      <w:pPr>
        <w:spacing w:after="150" w:line="276"/>
        <w:jc w:val="both"/>
      </w:pPr>
      <w:r>
        <w:t xml:space="preserve">The engineering team submits:</w:t>
      </w:r>
    </w:p>
    <w:p>
      <w:pPr>
        <w:pStyle w:val="ListParagraph"/>
        <w:numPr>
          <w:ilvl w:val="0"/>
          <w:numId w:val="1"/>
        </w:numPr>
        <w:spacing w:after="90" w:line="264"/>
      </w:pPr>
      <w:r>
        <w:t xml:space="preserve">Design</w:t>
      </w:r>
    </w:p>
    <w:p>
      <w:pPr>
        <w:pStyle w:val="ListParagraph"/>
        <w:numPr>
          <w:ilvl w:val="0"/>
          <w:numId w:val="1"/>
        </w:numPr>
        <w:spacing w:after="90" w:line="264"/>
      </w:pPr>
      <w:r>
        <w:t xml:space="preserve">Diagrams</w:t>
      </w:r>
    </w:p>
    <w:p>
      <w:pPr>
        <w:pStyle w:val="ListParagraph"/>
        <w:numPr>
          <w:ilvl w:val="0"/>
          <w:numId w:val="1"/>
        </w:numPr>
        <w:spacing w:after="90" w:line="264"/>
      </w:pPr>
      <w:r>
        <w:t xml:space="preserve">Assumptions</w:t>
      </w:r>
    </w:p>
    <w:p>
      <w:pPr>
        <w:pStyle w:val="ListParagraph"/>
        <w:numPr>
          <w:ilvl w:val="0"/>
          <w:numId w:val="1"/>
        </w:numPr>
        <w:spacing w:after="90" w:line="264"/>
      </w:pPr>
      <w:r>
        <w:t xml:space="preserve">Risks</w:t>
      </w:r>
    </w:p>
    <w:p>
      <w:pPr>
        <w:pStyle w:val="ListParagraph"/>
        <w:numPr>
          <w:ilvl w:val="0"/>
          <w:numId w:val="1"/>
        </w:numPr>
        <w:spacing w:after="90" w:line="264"/>
      </w:pPr>
      <w:r>
        <w:t xml:space="preserve">Dependencies</w:t>
      </w:r>
    </w:p>
    <w:p>
      <w:pPr>
        <w:pStyle w:val="Heading2"/>
        <w:spacing w:after="110" w:before="260"/>
      </w:pPr>
      <w:r>
        <w:rPr>
          <w:b/>
          <w:bCs/>
          <w:color w:val="4A6FA5"/>
          <w:sz w:val="21"/>
          <w:szCs w:val="21"/>
        </w:rPr>
        <w:t xml:space="preserve">6.7.2  </w:t>
      </w:r>
      <w:r>
        <w:rPr>
          <w:b/>
          <w:bCs/>
          <w:color w:val="1F3864"/>
          <w:sz w:val="21"/>
          <w:szCs w:val="21"/>
        </w:rPr>
        <w:t xml:space="preserve">Step 2 — Architecture Assessment</w:t>
      </w:r>
    </w:p>
    <w:p>
      <w:pPr>
        <w:spacing w:after="150" w:line="276"/>
        <w:jc w:val="both"/>
      </w:pPr>
      <w:r>
        <w:t xml:space="preserve">Review:</w:t>
      </w:r>
    </w:p>
    <w:p>
      <w:pPr>
        <w:pStyle w:val="ListParagraph"/>
        <w:numPr>
          <w:ilvl w:val="0"/>
          <w:numId w:val="1"/>
        </w:numPr>
        <w:spacing w:after="90" w:line="264"/>
      </w:pPr>
      <w:r>
        <w:t xml:space="preserve">Business alignment.</w:t>
      </w:r>
    </w:p>
    <w:p>
      <w:pPr>
        <w:pStyle w:val="ListParagraph"/>
        <w:numPr>
          <w:ilvl w:val="0"/>
          <w:numId w:val="1"/>
        </w:numPr>
        <w:spacing w:after="90" w:line="264"/>
      </w:pPr>
      <w:r>
        <w:t xml:space="preserve">Security.</w:t>
      </w:r>
    </w:p>
    <w:p>
      <w:pPr>
        <w:pStyle w:val="ListParagraph"/>
        <w:numPr>
          <w:ilvl w:val="0"/>
          <w:numId w:val="1"/>
        </w:numPr>
        <w:spacing w:after="90" w:line="264"/>
      </w:pPr>
      <w:r>
        <w:t xml:space="preserve">Performance.</w:t>
      </w:r>
    </w:p>
    <w:p>
      <w:pPr>
        <w:pStyle w:val="ListParagraph"/>
        <w:numPr>
          <w:ilvl w:val="0"/>
          <w:numId w:val="1"/>
        </w:numPr>
        <w:spacing w:after="90" w:line="264"/>
      </w:pPr>
      <w:r>
        <w:t xml:space="preserve">Scalability.</w:t>
      </w:r>
    </w:p>
    <w:p>
      <w:pPr>
        <w:pStyle w:val="ListParagraph"/>
        <w:numPr>
          <w:ilvl w:val="0"/>
          <w:numId w:val="1"/>
        </w:numPr>
        <w:spacing w:after="90" w:line="264"/>
      </w:pPr>
      <w:r>
        <w:t xml:space="preserve">Maintainability.</w:t>
      </w:r>
    </w:p>
    <w:p>
      <w:pPr>
        <w:pStyle w:val="ListParagraph"/>
        <w:numPr>
          <w:ilvl w:val="0"/>
          <w:numId w:val="1"/>
        </w:numPr>
        <w:spacing w:after="90" w:line="264"/>
      </w:pPr>
      <w:r>
        <w:t xml:space="preserve">Compliance.</w:t>
      </w:r>
    </w:p>
    <w:p>
      <w:pPr>
        <w:pStyle w:val="ListParagraph"/>
        <w:numPr>
          <w:ilvl w:val="0"/>
          <w:numId w:val="1"/>
        </w:numPr>
        <w:spacing w:after="90" w:line="264"/>
      </w:pPr>
      <w:r>
        <w:t xml:space="preserve">Integration.</w:t>
      </w:r>
    </w:p>
    <w:p>
      <w:pPr>
        <w:pStyle w:val="Heading2"/>
        <w:spacing w:after="110" w:before="260"/>
      </w:pPr>
      <w:r>
        <w:rPr>
          <w:b/>
          <w:bCs/>
          <w:color w:val="4A6FA5"/>
          <w:sz w:val="21"/>
          <w:szCs w:val="21"/>
        </w:rPr>
        <w:t xml:space="preserve">6.7.3  </w:t>
      </w:r>
      <w:r>
        <w:rPr>
          <w:b/>
          <w:bCs/>
          <w:color w:val="1F3864"/>
          <w:sz w:val="21"/>
          <w:szCs w:val="21"/>
        </w:rPr>
        <w:t xml:space="preserve">Step 3 — Risk Assessment</w:t>
      </w:r>
    </w:p>
    <w:p>
      <w:pPr>
        <w:spacing w:after="150" w:line="276"/>
        <w:jc w:val="both"/>
      </w:pPr>
      <w:r>
        <w:t xml:space="preserve">Review:</w:t>
      </w:r>
    </w:p>
    <w:p>
      <w:pPr>
        <w:pStyle w:val="ListParagraph"/>
        <w:numPr>
          <w:ilvl w:val="0"/>
          <w:numId w:val="1"/>
        </w:numPr>
        <w:spacing w:after="90" w:line="264"/>
      </w:pPr>
      <w:r>
        <w:t xml:space="preserve">Technical risks.</w:t>
      </w:r>
    </w:p>
    <w:p>
      <w:pPr>
        <w:pStyle w:val="ListParagraph"/>
        <w:numPr>
          <w:ilvl w:val="0"/>
          <w:numId w:val="1"/>
        </w:numPr>
        <w:spacing w:after="90" w:line="264"/>
      </w:pPr>
      <w:r>
        <w:t xml:space="preserve">Operational risks.</w:t>
      </w:r>
    </w:p>
    <w:p>
      <w:pPr>
        <w:pStyle w:val="ListParagraph"/>
        <w:numPr>
          <w:ilvl w:val="0"/>
          <w:numId w:val="1"/>
        </w:numPr>
        <w:spacing w:after="90" w:line="264"/>
      </w:pPr>
      <w:r>
        <w:t xml:space="preserve">Security risks.</w:t>
      </w:r>
    </w:p>
    <w:p>
      <w:pPr>
        <w:pStyle w:val="ListParagraph"/>
        <w:numPr>
          <w:ilvl w:val="0"/>
          <w:numId w:val="1"/>
        </w:numPr>
        <w:spacing w:after="90" w:line="264"/>
      </w:pPr>
      <w:r>
        <w:t xml:space="preserve">Future impact.</w:t>
      </w:r>
    </w:p>
    <w:p>
      <w:pPr>
        <w:pStyle w:val="Heading2"/>
        <w:spacing w:after="110" w:before="260"/>
      </w:pPr>
      <w:r>
        <w:rPr>
          <w:b/>
          <w:bCs/>
          <w:color w:val="4A6FA5"/>
          <w:sz w:val="21"/>
          <w:szCs w:val="21"/>
        </w:rPr>
        <w:t xml:space="preserve">6.7.4  </w:t>
      </w:r>
      <w:r>
        <w:rPr>
          <w:b/>
          <w:bCs/>
          <w:color w:val="1F3864"/>
          <w:sz w:val="21"/>
          <w:szCs w:val="21"/>
        </w:rPr>
        <w:t xml:space="preserve">Step 4 — Decision</w:t>
      </w:r>
    </w:p>
    <w:p>
      <w:pPr>
        <w:spacing w:after="150" w:line="276"/>
        <w:jc w:val="both"/>
      </w:pPr>
      <w:r>
        <w:t xml:space="preserve">Possible outcomes:</w:t>
      </w:r>
    </w:p>
    <w:p>
      <w:pPr>
        <w:pStyle w:val="ListParagraph"/>
        <w:numPr>
          <w:ilvl w:val="0"/>
          <w:numId w:val="1"/>
        </w:numPr>
        <w:spacing w:after="90" w:line="264"/>
      </w:pPr>
      <w:r>
        <w:t xml:space="preserve">Approved</w:t>
      </w:r>
    </w:p>
    <w:p>
      <w:pPr>
        <w:pStyle w:val="ListParagraph"/>
        <w:numPr>
          <w:ilvl w:val="0"/>
          <w:numId w:val="1"/>
        </w:numPr>
        <w:spacing w:after="90" w:line="264"/>
      </w:pPr>
      <w:r>
        <w:t xml:space="preserve">Approved with Conditions</w:t>
      </w:r>
    </w:p>
    <w:p>
      <w:pPr>
        <w:pStyle w:val="ListParagraph"/>
        <w:numPr>
          <w:ilvl w:val="0"/>
          <w:numId w:val="1"/>
        </w:numPr>
        <w:spacing w:after="90" w:line="264"/>
      </w:pPr>
      <w:r>
        <w:t xml:space="preserve">Rejected</w:t>
      </w:r>
    </w:p>
    <w:p>
      <w:pPr>
        <w:pStyle w:val="ListParagraph"/>
        <w:numPr>
          <w:ilvl w:val="0"/>
          <w:numId w:val="1"/>
        </w:numPr>
        <w:spacing w:after="90" w:line="264"/>
      </w:pPr>
      <w:r>
        <w:t xml:space="preserve">Deferred</w:t>
      </w:r>
    </w:p>
    <w:p>
      <w:pPr>
        <w:pStyle w:val="Heading2"/>
        <w:spacing w:after="110" w:before="260"/>
      </w:pPr>
      <w:r>
        <w:rPr>
          <w:b/>
          <w:bCs/>
          <w:color w:val="4A6FA5"/>
          <w:sz w:val="21"/>
          <w:szCs w:val="21"/>
        </w:rPr>
        <w:t xml:space="preserve">6.7.5  </w:t>
      </w:r>
      <w:r>
        <w:rPr>
          <w:b/>
          <w:bCs/>
          <w:color w:val="1F3864"/>
          <w:sz w:val="21"/>
          <w:szCs w:val="21"/>
        </w:rPr>
        <w:t xml:space="preserve">Step 5 — ADR Publication</w:t>
      </w:r>
    </w:p>
    <w:p>
      <w:pPr>
        <w:spacing w:after="150" w:line="276"/>
        <w:jc w:val="both"/>
      </w:pPr>
      <w:r>
        <w:t xml:space="preserve">Every approved decision shall generate an ADR.</w:t>
      </w:r>
    </w:p>
    <w:p>
      <w:pPr>
        <w:pStyle w:val="Heading1"/>
        <w:pBdr>
          <w:bottom w:val="single" w:color="C6D2E0" w:sz="4" w:space="4"/>
        </w:pBdr>
        <w:spacing w:after="140" w:before="360"/>
      </w:pPr>
      <w:r>
        <w:rPr>
          <w:b/>
          <w:bCs/>
          <w:color w:val="4A6FA5"/>
          <w:sz w:val="26"/>
          <w:szCs w:val="26"/>
        </w:rPr>
        <w:t xml:space="preserve">6.8  </w:t>
      </w:r>
      <w:r>
        <w:rPr>
          <w:b/>
          <w:bCs/>
          <w:color w:val="1F3864"/>
          <w:sz w:val="26"/>
          <w:szCs w:val="26"/>
        </w:rPr>
        <w:t xml:space="preserve">Architecture Compliance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Verify ongoing adherence to approved architecture throughout development.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Catches architectural drift early, before it compounds into technical debt.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Any deviation identified during a compliance review shall generate a remediation action.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Sustained architectural consistency across the platform's entire codebase.</w:t>
            </w:r>
          </w:p>
        </w:tc>
      </w:tr>
    </w:tbl>
    <w:p>
      <w:pPr>
        <w:spacing w:after="160"/>
      </w:pPr>
    </w:p>
    <w:p>
      <w:pPr>
        <w:spacing w:after="150" w:line="276"/>
        <w:jc w:val="both"/>
      </w:pPr>
      <w:r>
        <w:t xml:space="preserve">Throughout development the engineering team shall perform regular Architecture Compliance Reviews. Reviews shall verify:</w:t>
      </w:r>
    </w:p>
    <w:p>
      <w:pPr>
        <w:pStyle w:val="ListParagraph"/>
        <w:numPr>
          <w:ilvl w:val="0"/>
          <w:numId w:val="1"/>
        </w:numPr>
        <w:spacing w:after="90" w:line="264"/>
      </w:pPr>
      <w:r>
        <w:t xml:space="preserve">Coding standards.</w:t>
      </w:r>
    </w:p>
    <w:p>
      <w:pPr>
        <w:pStyle w:val="ListParagraph"/>
        <w:numPr>
          <w:ilvl w:val="0"/>
          <w:numId w:val="1"/>
        </w:numPr>
        <w:spacing w:after="90" w:line="264"/>
      </w:pPr>
      <w:r>
        <w:t xml:space="preserve">API consistency.</w:t>
      </w:r>
    </w:p>
    <w:p>
      <w:pPr>
        <w:pStyle w:val="ListParagraph"/>
        <w:numPr>
          <w:ilvl w:val="0"/>
          <w:numId w:val="1"/>
        </w:numPr>
        <w:spacing w:after="90" w:line="264"/>
      </w:pPr>
      <w:r>
        <w:t xml:space="preserve">Naming conventions.</w:t>
      </w:r>
    </w:p>
    <w:p>
      <w:pPr>
        <w:pStyle w:val="ListParagraph"/>
        <w:numPr>
          <w:ilvl w:val="0"/>
          <w:numId w:val="1"/>
        </w:numPr>
        <w:spacing w:after="90" w:line="264"/>
      </w:pPr>
      <w:r>
        <w:t xml:space="preserve">Database consistency.</w:t>
      </w:r>
    </w:p>
    <w:p>
      <w:pPr>
        <w:pStyle w:val="ListParagraph"/>
        <w:numPr>
          <w:ilvl w:val="0"/>
          <w:numId w:val="1"/>
        </w:numPr>
        <w:spacing w:after="90" w:line="264"/>
      </w:pPr>
      <w:r>
        <w:t xml:space="preserve">Security compliance.</w:t>
      </w:r>
    </w:p>
    <w:p>
      <w:pPr>
        <w:pStyle w:val="ListParagraph"/>
        <w:numPr>
          <w:ilvl w:val="0"/>
          <w:numId w:val="1"/>
        </w:numPr>
        <w:spacing w:after="90" w:line="264"/>
      </w:pPr>
      <w:r>
        <w:t xml:space="preserve">Logging.</w:t>
      </w:r>
    </w:p>
    <w:p>
      <w:pPr>
        <w:pStyle w:val="ListParagraph"/>
        <w:numPr>
          <w:ilvl w:val="0"/>
          <w:numId w:val="1"/>
        </w:numPr>
        <w:spacing w:after="90" w:line="264"/>
      </w:pPr>
      <w:r>
        <w:t xml:space="preserve">Monitoring.</w:t>
      </w:r>
    </w:p>
    <w:p>
      <w:pPr>
        <w:pStyle w:val="ListParagraph"/>
        <w:numPr>
          <w:ilvl w:val="0"/>
          <w:numId w:val="1"/>
        </w:numPr>
        <w:spacing w:after="90" w:line="264"/>
      </w:pPr>
      <w:r>
        <w:t xml:space="preserve">Deployment.</w:t>
      </w:r>
    </w:p>
    <w:p>
      <w:pPr>
        <w:pStyle w:val="ListParagraph"/>
        <w:numPr>
          <w:ilvl w:val="0"/>
          <w:numId w:val="1"/>
        </w:numPr>
        <w:spacing w:after="90" w:line="264"/>
      </w:pPr>
      <w:r>
        <w:t xml:space="preserve">Documentation.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Any deviation identified during an Architecture Compliance Review shall generate a formal remediation action.</w:t>
            </w:r>
          </w:p>
        </w:tc>
      </w:tr>
    </w:tbl>
    <w:p>
      <w:pPr>
        <w:pStyle w:val="Heading1"/>
        <w:pBdr>
          <w:bottom w:val="single" w:color="C6D2E0" w:sz="4" w:space="4"/>
        </w:pBdr>
        <w:spacing w:after="140" w:before="360"/>
      </w:pPr>
      <w:r>
        <w:rPr>
          <w:b/>
          <w:bCs/>
          <w:color w:val="4A6FA5"/>
          <w:sz w:val="26"/>
          <w:szCs w:val="26"/>
        </w:rPr>
        <w:t xml:space="preserve">6.9  </w:t>
      </w:r>
      <w:r>
        <w:rPr>
          <w:b/>
          <w:bCs/>
          <w:color w:val="1F3864"/>
          <w:sz w:val="26"/>
          <w:szCs w:val="26"/>
        </w:rPr>
        <w:t xml:space="preserve">Change Control</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workflow for any architecture change.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unreviewed changes from reaching production and creating unmanaged risk.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No undocumented change shall be introduced into production.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production change is assessed, reviewed, approved, tested, and documented.</w:t>
            </w:r>
          </w:p>
        </w:tc>
      </w:tr>
    </w:tbl>
    <w:p>
      <w:pPr>
        <w:spacing w:after="160"/>
      </w:pPr>
    </w:p>
    <w:p>
      <w:pPr>
        <w:spacing w:after="150" w:line="276"/>
        <w:jc w:val="both"/>
      </w:pPr>
      <w:r>
        <w:t xml:space="preserve">Architecture changes shall follow this process, in sequence:</w:t>
      </w:r>
    </w:p>
    <w:p>
      <w:pPr>
        <w:spacing w:after="90" w:line="264"/>
      </w:pPr>
      <w:r>
        <w:rPr>
          <w:b/>
          <w:bCs/>
          <w:color w:val="1F3864"/>
        </w:rPr>
        <w:t xml:space="preserve">1. </w:t>
      </w:r>
      <w:r>
        <w:t xml:space="preserve">Request</w:t>
      </w:r>
    </w:p>
    <w:p>
      <w:pPr>
        <w:spacing w:after="90" w:line="264"/>
      </w:pPr>
      <w:r>
        <w:rPr>
          <w:b/>
          <w:bCs/>
          <w:color w:val="1F3864"/>
        </w:rPr>
        <w:t xml:space="preserve">2. </w:t>
      </w:r>
      <w:r>
        <w:t xml:space="preserve">Impact Assessment</w:t>
      </w:r>
    </w:p>
    <w:p>
      <w:pPr>
        <w:spacing w:after="90" w:line="264"/>
      </w:pPr>
      <w:r>
        <w:rPr>
          <w:b/>
          <w:bCs/>
          <w:color w:val="1F3864"/>
        </w:rPr>
        <w:t xml:space="preserve">3. </w:t>
      </w:r>
      <w:r>
        <w:t xml:space="preserve">Architecture Review</w:t>
      </w:r>
    </w:p>
    <w:p>
      <w:pPr>
        <w:spacing w:after="90" w:line="264"/>
      </w:pPr>
      <w:r>
        <w:rPr>
          <w:b/>
          <w:bCs/>
          <w:color w:val="1F3864"/>
        </w:rPr>
        <w:t xml:space="preserve">4. </w:t>
      </w:r>
      <w:r>
        <w:t xml:space="preserve">Security Review</w:t>
      </w:r>
    </w:p>
    <w:p>
      <w:pPr>
        <w:spacing w:after="90" w:line="264"/>
      </w:pPr>
      <w:r>
        <w:rPr>
          <w:b/>
          <w:bCs/>
          <w:color w:val="1F3864"/>
        </w:rPr>
        <w:t xml:space="preserve">5. </w:t>
      </w:r>
      <w:r>
        <w:t xml:space="preserve">Stakeholder Review</w:t>
      </w:r>
    </w:p>
    <w:p>
      <w:pPr>
        <w:spacing w:after="90" w:line="264"/>
      </w:pPr>
      <w:r>
        <w:rPr>
          <w:b/>
          <w:bCs/>
          <w:color w:val="1F3864"/>
        </w:rPr>
        <w:t xml:space="preserve">6. </w:t>
      </w:r>
      <w:r>
        <w:t xml:space="preserve">Approval</w:t>
      </w:r>
    </w:p>
    <w:p>
      <w:pPr>
        <w:spacing w:after="90" w:line="264"/>
      </w:pPr>
      <w:r>
        <w:rPr>
          <w:b/>
          <w:bCs/>
          <w:color w:val="1F3864"/>
        </w:rPr>
        <w:t xml:space="preserve">7. </w:t>
      </w:r>
      <w:r>
        <w:t xml:space="preserve">Implementation</w:t>
      </w:r>
    </w:p>
    <w:p>
      <w:pPr>
        <w:spacing w:after="90" w:line="264"/>
      </w:pPr>
      <w:r>
        <w:rPr>
          <w:b/>
          <w:bCs/>
          <w:color w:val="1F3864"/>
        </w:rPr>
        <w:t xml:space="preserve">8. </w:t>
      </w:r>
      <w:r>
        <w:t xml:space="preserve">Regression Testing</w:t>
      </w:r>
    </w:p>
    <w:p>
      <w:pPr>
        <w:spacing w:after="90" w:line="264"/>
      </w:pPr>
      <w:r>
        <w:rPr>
          <w:b/>
          <w:bCs/>
          <w:color w:val="1F3864"/>
        </w:rPr>
        <w:t xml:space="preserve">9. </w:t>
      </w:r>
      <w:r>
        <w:t xml:space="preserve">Documentation Update</w:t>
      </w:r>
    </w:p>
    <w:p>
      <w:pPr>
        <w:spacing w:after="90" w:line="264"/>
      </w:pPr>
      <w:r>
        <w:rPr>
          <w:b/>
          <w:bCs/>
          <w:color w:val="1F3864"/>
        </w:rPr>
        <w:t xml:space="preserve">10. </w:t>
      </w:r>
      <w:r>
        <w:t xml:space="preserve">Deployment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No undocumented change shall be introduced into production.</w:t>
            </w:r>
          </w:p>
        </w:tc>
      </w:tr>
    </w:tbl>
    <w:p>
      <w:pPr>
        <w:pStyle w:val="Heading1"/>
        <w:pBdr>
          <w:bottom w:val="single" w:color="C6D2E0" w:sz="4" w:space="4"/>
        </w:pBdr>
        <w:spacing w:after="140" w:before="360"/>
      </w:pPr>
      <w:r>
        <w:rPr>
          <w:b/>
          <w:bCs/>
          <w:color w:val="4A6FA5"/>
          <w:sz w:val="26"/>
          <w:szCs w:val="26"/>
        </w:rPr>
        <w:t xml:space="preserve">6.10  </w:t>
      </w:r>
      <w:r>
        <w:rPr>
          <w:b/>
          <w:bCs/>
          <w:color w:val="1F3864"/>
          <w:sz w:val="26"/>
          <w:szCs w:val="26"/>
        </w:rPr>
        <w:t xml:space="preserve">Technology Governance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priority order used to evaluate new technology selections.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technology choices driven by novelty rather than enterprise fit.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Experimental technologies shall not be introduced into production unless formally approved.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technology portfolio that is supportable, secure, and cost-effective over the platform's lifetime.</w:t>
            </w:r>
          </w:p>
        </w:tc>
      </w:tr>
    </w:tbl>
    <w:p>
      <w:pPr>
        <w:spacing w:after="160"/>
      </w:pPr>
    </w:p>
    <w:p>
      <w:pPr>
        <w:spacing w:after="150" w:line="276"/>
        <w:jc w:val="both"/>
      </w:pPr>
      <w:r>
        <w:t xml:space="preserve">Technology selection shall follow these priorities, in order:</w:t>
      </w:r>
    </w:p>
    <w:p>
      <w:pPr>
        <w:spacing w:after="90" w:line="264"/>
      </w:pPr>
      <w:r>
        <w:rPr>
          <w:b/>
          <w:bCs/>
          <w:color w:val="1F3864"/>
        </w:rPr>
        <w:t xml:space="preserve">1. </w:t>
      </w:r>
      <w:r>
        <w:t xml:space="preserve">Business Fit</w:t>
      </w:r>
    </w:p>
    <w:p>
      <w:pPr>
        <w:spacing w:after="90" w:line="264"/>
      </w:pPr>
      <w:r>
        <w:rPr>
          <w:b/>
          <w:bCs/>
          <w:color w:val="1F3864"/>
        </w:rPr>
        <w:t xml:space="preserve">2. </w:t>
      </w:r>
      <w:r>
        <w:t xml:space="preserve">Long-Term Support</w:t>
      </w:r>
    </w:p>
    <w:p>
      <w:pPr>
        <w:spacing w:after="90" w:line="264"/>
      </w:pPr>
      <w:r>
        <w:rPr>
          <w:b/>
          <w:bCs/>
          <w:color w:val="1F3864"/>
        </w:rPr>
        <w:t xml:space="preserve">3. </w:t>
      </w:r>
      <w:r>
        <w:t xml:space="preserve">Enterprise Adoption</w:t>
      </w:r>
    </w:p>
    <w:p>
      <w:pPr>
        <w:spacing w:after="90" w:line="264"/>
      </w:pPr>
      <w:r>
        <w:rPr>
          <w:b/>
          <w:bCs/>
          <w:color w:val="1F3864"/>
        </w:rPr>
        <w:t xml:space="preserve">4. </w:t>
      </w:r>
      <w:r>
        <w:t xml:space="preserve">Community Maturity</w:t>
      </w:r>
    </w:p>
    <w:p>
      <w:pPr>
        <w:spacing w:after="90" w:line="264"/>
      </w:pPr>
      <w:r>
        <w:rPr>
          <w:b/>
          <w:bCs/>
          <w:color w:val="1F3864"/>
        </w:rPr>
        <w:t xml:space="preserve">5. </w:t>
      </w:r>
      <w:r>
        <w:t xml:space="preserve">Security</w:t>
      </w:r>
    </w:p>
    <w:p>
      <w:pPr>
        <w:spacing w:after="90" w:line="264"/>
      </w:pPr>
      <w:r>
        <w:rPr>
          <w:b/>
          <w:bCs/>
          <w:color w:val="1F3864"/>
        </w:rPr>
        <w:t xml:space="preserve">6. </w:t>
      </w:r>
      <w:r>
        <w:t xml:space="preserve">Scalability</w:t>
      </w:r>
    </w:p>
    <w:p>
      <w:pPr>
        <w:spacing w:after="90" w:line="264"/>
      </w:pPr>
      <w:r>
        <w:rPr>
          <w:b/>
          <w:bCs/>
          <w:color w:val="1F3864"/>
        </w:rPr>
        <w:t xml:space="preserve">7. </w:t>
      </w:r>
      <w:r>
        <w:t xml:space="preserve">Maintainability</w:t>
      </w:r>
    </w:p>
    <w:p>
      <w:pPr>
        <w:spacing w:after="90" w:line="264"/>
      </w:pPr>
      <w:r>
        <w:rPr>
          <w:b/>
          <w:bCs/>
          <w:color w:val="1F3864"/>
        </w:rPr>
        <w:t xml:space="preserve">8. </w:t>
      </w:r>
      <w:r>
        <w:t xml:space="preserve">Integration Capability</w:t>
      </w:r>
    </w:p>
    <w:p>
      <w:pPr>
        <w:spacing w:after="90" w:line="264"/>
      </w:pPr>
      <w:r>
        <w:rPr>
          <w:b/>
          <w:bCs/>
          <w:color w:val="1F3864"/>
        </w:rPr>
        <w:t xml:space="preserve">9. </w:t>
      </w:r>
      <w:r>
        <w:t xml:space="preserve">Performance</w:t>
      </w:r>
    </w:p>
    <w:p>
      <w:pPr>
        <w:spacing w:after="90" w:line="264"/>
      </w:pPr>
      <w:r>
        <w:rPr>
          <w:b/>
          <w:bCs/>
          <w:color w:val="1F3864"/>
        </w:rPr>
        <w:t xml:space="preserve">10. </w:t>
      </w:r>
      <w:r>
        <w:t xml:space="preserve">Total Cost of Ownership</w:t>
      </w:r>
    </w:p>
    <w:p>
      <w:pPr>
        <w:pStyle w:val="Heading1"/>
        <w:pBdr>
          <w:bottom w:val="single" w:color="C6D2E0" w:sz="4" w:space="4"/>
        </w:pBdr>
        <w:spacing w:after="140" w:before="360"/>
      </w:pPr>
      <w:r>
        <w:rPr>
          <w:b/>
          <w:bCs/>
          <w:color w:val="4A6FA5"/>
          <w:sz w:val="26"/>
          <w:szCs w:val="26"/>
        </w:rPr>
        <w:t xml:space="preserve">6.11  </w:t>
      </w:r>
      <w:r>
        <w:rPr>
          <w:b/>
          <w:bCs/>
          <w:color w:val="1F3864"/>
          <w:sz w:val="26"/>
          <w:szCs w:val="26"/>
        </w:rPr>
        <w:t xml:space="preserve">Governance Metrics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metrics used to monitor governance effectiveness.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programme leadership objective, quantitative evidence that governance is working.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Monitored on an ongoing basis by the Architecture Review Board.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Early detection of governance breakdown before it affects delivery or quality.</w:t>
            </w:r>
          </w:p>
        </w:tc>
      </w:tr>
    </w:tbl>
    <w:p>
      <w:pPr>
        <w:spacing w:after="160"/>
      </w:pPr>
    </w:p>
    <w:p>
      <w:pPr>
        <w:spacing w:after="150" w:line="276"/>
        <w:jc w:val="both"/>
      </w:pPr>
      <w:r>
        <w:t xml:space="preserve">The Architecture Review Board shall monitor:</w:t>
      </w:r>
    </w:p>
    <w:p>
      <w:pPr>
        <w:pStyle w:val="ListParagraph"/>
        <w:numPr>
          <w:ilvl w:val="0"/>
          <w:numId w:val="1"/>
        </w:numPr>
        <w:spacing w:after="90" w:line="264"/>
      </w:pPr>
      <w:r>
        <w:t xml:space="preserve">Architecture compliance rate</w:t>
      </w:r>
    </w:p>
    <w:p>
      <w:pPr>
        <w:pStyle w:val="ListParagraph"/>
        <w:numPr>
          <w:ilvl w:val="0"/>
          <w:numId w:val="1"/>
        </w:numPr>
        <w:spacing w:after="90" w:line="264"/>
      </w:pPr>
      <w:r>
        <w:t xml:space="preserve">Technical debt backlog</w:t>
      </w:r>
    </w:p>
    <w:p>
      <w:pPr>
        <w:pStyle w:val="ListParagraph"/>
        <w:numPr>
          <w:ilvl w:val="0"/>
          <w:numId w:val="1"/>
        </w:numPr>
        <w:spacing w:after="90" w:line="264"/>
      </w:pPr>
      <w:r>
        <w:t xml:space="preserve">ADR completion rate</w:t>
      </w:r>
    </w:p>
    <w:p>
      <w:pPr>
        <w:pStyle w:val="ListParagraph"/>
        <w:numPr>
          <w:ilvl w:val="0"/>
          <w:numId w:val="1"/>
        </w:numPr>
        <w:spacing w:after="90" w:line="264"/>
      </w:pPr>
      <w:r>
        <w:t xml:space="preserve">Security review completion</w:t>
      </w:r>
    </w:p>
    <w:p>
      <w:pPr>
        <w:pStyle w:val="ListParagraph"/>
        <w:numPr>
          <w:ilvl w:val="0"/>
          <w:numId w:val="1"/>
        </w:numPr>
        <w:spacing w:after="90" w:line="264"/>
      </w:pPr>
      <w:r>
        <w:t xml:space="preserve">API consistency</w:t>
      </w:r>
    </w:p>
    <w:p>
      <w:pPr>
        <w:pStyle w:val="ListParagraph"/>
        <w:numPr>
          <w:ilvl w:val="0"/>
          <w:numId w:val="1"/>
        </w:numPr>
        <w:spacing w:after="90" w:line="264"/>
      </w:pPr>
      <w:r>
        <w:t xml:space="preserve">Documentation completeness</w:t>
      </w:r>
    </w:p>
    <w:p>
      <w:pPr>
        <w:pStyle w:val="ListParagraph"/>
        <w:numPr>
          <w:ilvl w:val="0"/>
          <w:numId w:val="1"/>
        </w:numPr>
        <w:spacing w:after="90" w:line="264"/>
      </w:pPr>
      <w:r>
        <w:t xml:space="preserve">Test coverage</w:t>
      </w:r>
    </w:p>
    <w:p>
      <w:pPr>
        <w:pStyle w:val="ListParagraph"/>
        <w:numPr>
          <w:ilvl w:val="0"/>
          <w:numId w:val="1"/>
        </w:numPr>
        <w:spacing w:after="90" w:line="264"/>
      </w:pPr>
      <w:r>
        <w:t xml:space="preserve">Deployment success rate</w:t>
      </w:r>
    </w:p>
    <w:p>
      <w:pPr>
        <w:pStyle w:val="ListParagraph"/>
        <w:numPr>
          <w:ilvl w:val="0"/>
          <w:numId w:val="1"/>
        </w:numPr>
        <w:spacing w:after="90" w:line="264"/>
      </w:pPr>
      <w:r>
        <w:t xml:space="preserve">Architecture deviations</w:t>
      </w:r>
    </w:p>
    <w:p>
      <w:pPr>
        <w:pStyle w:val="ListParagraph"/>
        <w:numPr>
          <w:ilvl w:val="0"/>
          <w:numId w:val="1"/>
        </w:numPr>
        <w:spacing w:after="90" w:line="264"/>
      </w:pPr>
      <w:r>
        <w:t xml:space="preserve">Number of approved change requests</w:t>
      </w:r>
    </w:p>
    <w:p>
      <w:pPr>
        <w:spacing w:after="150" w:line="276"/>
        <w:jc w:val="both"/>
      </w:pPr>
      <w:r>
        <w:t xml:space="preserve">These metrics shall be reviewed regularly to ensure governance effectiveness.</w:t>
      </w:r>
    </w:p>
    <w:p>
      <w:pPr>
        <w:pStyle w:val="Heading1"/>
        <w:pBdr>
          <w:bottom w:val="single" w:color="C6D2E0" w:sz="4" w:space="4"/>
        </w:pBdr>
        <w:spacing w:after="140" w:before="360"/>
      </w:pPr>
      <w:r>
        <w:rPr>
          <w:b/>
          <w:bCs/>
          <w:color w:val="4A6FA5"/>
          <w:sz w:val="26"/>
          <w:szCs w:val="26"/>
        </w:rPr>
        <w:t xml:space="preserve">6.12  </w:t>
      </w:r>
      <w:r>
        <w:rPr>
          <w:b/>
          <w:bCs/>
          <w:color w:val="1F3864"/>
          <w:sz w:val="26"/>
          <w:szCs w:val="26"/>
        </w:rPr>
        <w:t xml:space="preserve">Antigravity Governance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operates within this governance framework.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AI-assisted engineering output is subject to the same governance discipline as human-authored output.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functions as the project's Engineering Organization and must operate within this framework.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AI-generated engineering artifacts that are traceable, governed, and never self-approved.</w:t>
            </w:r>
          </w:p>
        </w:tc>
      </w:tr>
    </w:tbl>
    <w:p>
      <w:pPr>
        <w:spacing w:after="160"/>
      </w:pPr>
    </w:p>
    <w:p>
      <w:pPr>
        <w:spacing w:after="150" w:line="276"/>
        <w:jc w:val="both"/>
      </w:pPr>
      <w:r>
        <w:t xml:space="preserve">Antigravity shall function as the project's Engineering Organization and must operate within this governance framework. Before generating any engineering artifact, Antigravity shall:</w:t>
      </w:r>
    </w:p>
    <w:p>
      <w:pPr>
        <w:spacing w:after="90" w:line="264"/>
      </w:pPr>
      <w:r>
        <w:rPr>
          <w:b/>
          <w:bCs/>
          <w:color w:val="1F3864"/>
        </w:rPr>
        <w:t xml:space="preserve">1. </w:t>
      </w:r>
      <w:r>
        <w:t xml:space="preserve">Verify alignment with the approved Enterprise Architecture Blueprint.</w:t>
      </w:r>
    </w:p>
    <w:p>
      <w:pPr>
        <w:spacing w:after="90" w:line="264"/>
      </w:pPr>
      <w:r>
        <w:rPr>
          <w:b/>
          <w:bCs/>
          <w:color w:val="1F3864"/>
        </w:rPr>
        <w:t xml:space="preserve">2. </w:t>
      </w:r>
      <w:r>
        <w:t xml:space="preserve">Confirm traceability to the SRS and PDD.</w:t>
      </w:r>
    </w:p>
    <w:p>
      <w:pPr>
        <w:spacing w:after="90" w:line="264"/>
      </w:pPr>
      <w:r>
        <w:rPr>
          <w:b/>
          <w:bCs/>
          <w:color w:val="1F3864"/>
        </w:rPr>
        <w:t xml:space="preserve">3. </w:t>
      </w:r>
      <w:r>
        <w:t xml:space="preserve">Check for conflicts with existing Architecture Decision Records (ADRs).</w:t>
      </w:r>
    </w:p>
    <w:p>
      <w:pPr>
        <w:spacing w:after="90" w:line="264"/>
      </w:pPr>
      <w:r>
        <w:rPr>
          <w:b/>
          <w:bCs/>
          <w:color w:val="1F3864"/>
        </w:rPr>
        <w:t xml:space="preserve">4. </w:t>
      </w:r>
      <w:r>
        <w:t xml:space="preserve">Document assumptions and unresolved questions.</w:t>
      </w:r>
    </w:p>
    <w:p>
      <w:pPr>
        <w:spacing w:after="90" w:line="264"/>
      </w:pPr>
      <w:r>
        <w:rPr>
          <w:b/>
          <w:bCs/>
          <w:color w:val="1F3864"/>
        </w:rPr>
        <w:t xml:space="preserve">5. </w:t>
      </w:r>
      <w:r>
        <w:t xml:space="preserve">Evaluate impacts on security, performance, scalability, and maintainability.</w:t>
      </w:r>
    </w:p>
    <w:p>
      <w:pPr>
        <w:spacing w:after="90" w:line="264"/>
      </w:pPr>
      <w:r>
        <w:rPr>
          <w:b/>
          <w:bCs/>
          <w:color w:val="1F3864"/>
        </w:rPr>
        <w:t xml:space="preserve">6. </w:t>
      </w:r>
      <w:r>
        <w:t xml:space="preserve">Flag any proposed deviation from approved standards for review rather than implementing it automatically.</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Antigravity shall never: introduce undocumented technologies; change architectural patterns without justification; alter security models independently; modify data structures outside approved governance; or expand project scope beyond approved requirements.</w:t>
            </w:r>
          </w:p>
        </w:tc>
      </w:tr>
    </w:tbl>
    <w:p>
      <w:pPr>
        <w:pStyle w:val="Heading1"/>
        <w:pBdr>
          <w:bottom w:val="single" w:color="C6D2E0" w:sz="4" w:space="4"/>
        </w:pBdr>
        <w:spacing w:after="140" w:before="360"/>
      </w:pPr>
      <w:r>
        <w:rPr>
          <w:b/>
          <w:bCs/>
          <w:color w:val="4A6FA5"/>
          <w:sz w:val="26"/>
          <w:szCs w:val="26"/>
        </w:rPr>
        <w:t xml:space="preserve">6.13  </w:t>
      </w:r>
      <w:r>
        <w:rPr>
          <w:b/>
          <w:bCs/>
          <w:color w:val="1F3864"/>
          <w:sz w:val="26"/>
          <w:szCs w:val="26"/>
        </w:rPr>
        <w:t xml:space="preserve">Governance 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governance success looks like for this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governance effectiveness at closeout.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Governance is judged by outcomes, not by process activity alone.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that evolves through controlled, evidence-based decisions rather than ad hoc modification.</w:t>
            </w:r>
          </w:p>
        </w:tc>
      </w:tr>
    </w:tbl>
    <w:p>
      <w:pPr>
        <w:spacing w:after="160"/>
      </w:pPr>
    </w:p>
    <w:p>
      <w:pPr>
        <w:spacing w:after="150" w:line="276"/>
        <w:jc w:val="both"/>
      </w:pPr>
      <w:r>
        <w:t xml:space="preserve">Architecture Governance will be considered successful when:</w:t>
      </w:r>
    </w:p>
    <w:p>
      <w:pPr>
        <w:pStyle w:val="ListParagraph"/>
        <w:numPr>
          <w:ilvl w:val="0"/>
          <w:numId w:val="1"/>
        </w:numPr>
        <w:spacing w:after="90" w:line="264"/>
      </w:pPr>
      <w:r>
        <w:t xml:space="preserve">Every engineering deliverable conforms to the approved enterprise architecture.</w:t>
      </w:r>
    </w:p>
    <w:p>
      <w:pPr>
        <w:pStyle w:val="ListParagraph"/>
        <w:numPr>
          <w:ilvl w:val="0"/>
          <w:numId w:val="1"/>
        </w:numPr>
        <w:spacing w:after="90" w:line="264"/>
      </w:pPr>
      <w:r>
        <w:t xml:space="preserve">All architectural decisions are documented and traceable.</w:t>
      </w:r>
    </w:p>
    <w:p>
      <w:pPr>
        <w:pStyle w:val="ListParagraph"/>
        <w:numPr>
          <w:ilvl w:val="0"/>
          <w:numId w:val="1"/>
        </w:numPr>
        <w:spacing w:after="90" w:line="264"/>
      </w:pPr>
      <w:r>
        <w:t xml:space="preserve">Changes are reviewed, approved, and communicated before implementation.</w:t>
      </w:r>
    </w:p>
    <w:p>
      <w:pPr>
        <w:pStyle w:val="ListParagraph"/>
        <w:numPr>
          <w:ilvl w:val="0"/>
          <w:numId w:val="1"/>
        </w:numPr>
        <w:spacing w:after="90" w:line="264"/>
      </w:pPr>
      <w:r>
        <w:t xml:space="preserve">Security, scalability, and maintainability are preserved throughout the project lifecycle.</w:t>
      </w:r>
    </w:p>
    <w:p>
      <w:pPr>
        <w:pStyle w:val="ListParagraph"/>
        <w:numPr>
          <w:ilvl w:val="0"/>
          <w:numId w:val="1"/>
        </w:numPr>
        <w:spacing w:after="90" w:line="264"/>
      </w:pPr>
      <w:r>
        <w:t xml:space="preserve">Technical debt is actively managed and does not compromise solution quality.</w:t>
      </w:r>
    </w:p>
    <w:p>
      <w:pPr>
        <w:pStyle w:val="ListParagraph"/>
        <w:numPr>
          <w:ilvl w:val="0"/>
          <w:numId w:val="1"/>
        </w:numPr>
        <w:spacing w:after="90" w:line="264"/>
      </w:pPr>
      <w:r>
        <w:t xml:space="preserve">The platform evolves through controlled, evidence-based decisions rather than ad hoc modifications.</w:t>
      </w:r>
    </w:p>
    <w:p>
      <w:pPr>
        <w:pStyle w:val="ListParagraph"/>
        <w:numPr>
          <w:ilvl w:val="0"/>
          <w:numId w:val="1"/>
        </w:numPr>
        <w:spacing w:after="90" w:line="264"/>
      </w:pPr>
      <w:r>
        <w:t xml:space="preserve">Engineering teams, Antigravity, and future maintainers can understand why each major technical decision was made and how it supports the SAPZ Programme's long-term objectives.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The Enterprise System Management (ESM) Platform and Central Knowledge Repository (CKR) are strategic national digital assets. Their architecture must therefore be governed with the same discipline applied to enterprise systems in leading public-sector organizations. Architecture Governance is not intended to slow delivery; it exists to ensure that delivery remains consistent, secure, transparent, and sustainable.</w:t>
            </w:r>
          </w:p>
        </w:tc>
      </w:tr>
    </w:tbl>
    <w:p>
      <w:pPr>
        <w:pStyle w:val="Heading1"/>
        <w:pBdr>
          <w:bottom w:val="single" w:color="C6D2E0" w:sz="4" w:space="4"/>
        </w:pBdr>
        <w:spacing w:after="140" w:before="360"/>
      </w:pPr>
      <w:r>
        <w:rPr>
          <w:b/>
          <w:bCs/>
          <w:color w:val="4A6FA5"/>
          <w:sz w:val="26"/>
          <w:szCs w:val="26"/>
        </w:rPr>
        <w:t xml:space="preserve">6.14  </w:t>
      </w:r>
      <w:r>
        <w:rPr>
          <w:b/>
          <w:bCs/>
          <w:color w:val="1F3864"/>
          <w:sz w:val="26"/>
          <w:szCs w:val="26"/>
        </w:rPr>
        <w:t xml:space="preserve">Chapter Summary</w:t>
      </w:r>
    </w:p>
    <w:p>
      <w:pPr>
        <w:spacing w:after="150" w:line="276"/>
        <w:jc w:val="both"/>
      </w:pPr>
      <w:r>
        <w:t xml:space="preserve">This chapter established the Architecture Governance framework: five governance principles, six governance bodies with a Decision Authority Matrix, the Architecture Decision Record (ADR) process, the five-step Architecture Review Process, ongoing compliance monitoring, the change control workflow, technology governance priorities, governance metrics, and the governance instructions binding Antigravity's engineering output.</w:t>
      </w:r>
    </w:p>
    <w:p>
      <w:pPr>
        <w:pStyle w:val="Heading2"/>
        <w:spacing w:after="110" w:before="260"/>
      </w:pPr>
      <w:r>
        <w:rPr>
          <w:b/>
          <w:bCs/>
          <w:color w:val="4A6FA5"/>
          <w:sz w:val="21"/>
          <w:szCs w:val="21"/>
        </w:rPr>
        <w:t xml:space="preserve">6.14.1  </w:t>
      </w:r>
      <w:r>
        <w:rPr>
          <w:b/>
          <w:bCs/>
          <w:color w:val="1F3864"/>
          <w:sz w:val="21"/>
          <w:szCs w:val="21"/>
        </w:rPr>
        <w:t xml:space="preserve">Key Engineering Principles</w:t>
      </w:r>
    </w:p>
    <w:p>
      <w:pPr>
        <w:pStyle w:val="ListParagraph"/>
        <w:numPr>
          <w:ilvl w:val="0"/>
          <w:numId w:val="1"/>
        </w:numPr>
        <w:spacing w:after="90" w:line="264"/>
      </w:pPr>
      <w:r>
        <w:t xml:space="preserve">No major technical decision proceeds without Architecture Review Board (ARB) approval.</w:t>
      </w:r>
    </w:p>
    <w:p>
      <w:pPr>
        <w:pStyle w:val="ListParagraph"/>
        <w:numPr>
          <w:ilvl w:val="0"/>
          <w:numId w:val="1"/>
        </w:numPr>
        <w:spacing w:after="90" w:line="264"/>
      </w:pPr>
      <w:r>
        <w:t xml:space="preserve">Every significant architectural decision is documented as an ADR (Section 6.6; see Chapter 22).</w:t>
      </w:r>
    </w:p>
    <w:p>
      <w:pPr>
        <w:pStyle w:val="ListParagraph"/>
        <w:numPr>
          <w:ilvl w:val="0"/>
          <w:numId w:val="1"/>
        </w:numPr>
        <w:spacing w:after="90" w:line="264"/>
      </w:pPr>
      <w:r>
        <w:t xml:space="preserve">No undocumented change shall be introduced into production (Section 6.9).</w:t>
      </w:r>
    </w:p>
    <w:p>
      <w:pPr>
        <w:pStyle w:val="ListParagraph"/>
        <w:numPr>
          <w:ilvl w:val="0"/>
          <w:numId w:val="1"/>
        </w:numPr>
        <w:spacing w:after="90" w:line="264"/>
      </w:pPr>
      <w:r>
        <w:t xml:space="preserve">Antigravity operates within this governance framework and never self-approves a deviation.</w:t>
      </w:r>
    </w:p>
    <w:p>
      <w:pPr>
        <w:pStyle w:val="Heading2"/>
        <w:spacing w:after="110" w:before="260"/>
      </w:pPr>
      <w:r>
        <w:rPr>
          <w:b/>
          <w:bCs/>
          <w:color w:val="4A6FA5"/>
          <w:sz w:val="21"/>
          <w:szCs w:val="21"/>
        </w:rPr>
        <w:t xml:space="preserve">6.14.2  </w:t>
      </w:r>
      <w:r>
        <w:rPr>
          <w:b/>
          <w:bCs/>
          <w:color w:val="1F3864"/>
          <w:sz w:val="21"/>
          <w:szCs w:val="21"/>
        </w:rPr>
        <w:t xml:space="preserve">Implementation Checklist</w:t>
      </w:r>
    </w:p>
    <w:p>
      <w:pPr>
        <w:pStyle w:val="ListParagraph"/>
        <w:numPr>
          <w:ilvl w:val="0"/>
          <w:numId w:val="1"/>
        </w:numPr>
        <w:spacing w:after="90" w:line="264"/>
      </w:pPr>
      <w:r>
        <w:t xml:space="preserve">☐ Confirm the six governance bodies (Section 6.4) are staffed and their Decision Authority Matrix (Section 6.5) is published.</w:t>
      </w:r>
    </w:p>
    <w:p>
      <w:pPr>
        <w:pStyle w:val="ListParagraph"/>
        <w:numPr>
          <w:ilvl w:val="0"/>
          <w:numId w:val="1"/>
        </w:numPr>
        <w:spacing w:after="90" w:line="264"/>
      </w:pPr>
      <w:r>
        <w:t xml:space="preserve">☐ Confirm every architecture proposal is routed through the five-step Architecture Review Process (Section 6.7).</w:t>
      </w:r>
    </w:p>
    <w:p>
      <w:pPr>
        <w:pStyle w:val="ListParagraph"/>
        <w:numPr>
          <w:ilvl w:val="0"/>
          <w:numId w:val="1"/>
        </w:numPr>
        <w:spacing w:after="90" w:line="264"/>
      </w:pPr>
      <w:r>
        <w:t xml:space="preserve">☐ Confirm ADR-001 through ADR-008 (Section 6.6) are logged and current.</w:t>
      </w:r>
    </w:p>
    <w:p>
      <w:pPr>
        <w:pStyle w:val="ListParagraph"/>
        <w:numPr>
          <w:ilvl w:val="0"/>
          <w:numId w:val="1"/>
        </w:numPr>
        <w:spacing w:after="90" w:line="264"/>
      </w:pPr>
      <w:r>
        <w:t xml:space="preserve">☐ Confirm Governance Metrics (Section 6.11) are reviewed on a recurring cadence.</w:t>
      </w:r>
    </w:p>
    <w:p>
      <w:pPr>
        <w:pStyle w:val="Heading2"/>
        <w:spacing w:after="110" w:before="260"/>
      </w:pPr>
      <w:r>
        <w:rPr>
          <w:b/>
          <w:bCs/>
          <w:color w:val="4A6FA5"/>
          <w:sz w:val="21"/>
          <w:szCs w:val="21"/>
        </w:rPr>
        <w:t xml:space="preserve">6.14.3  </w:t>
      </w:r>
      <w:r>
        <w:rPr>
          <w:b/>
          <w:bCs/>
          <w:color w:val="1F3864"/>
          <w:sz w:val="21"/>
          <w:szCs w:val="21"/>
        </w:rPr>
        <w:t xml:space="preserve">Related Chapters</w:t>
      </w:r>
    </w:p>
    <w:p>
      <w:pPr>
        <w:pStyle w:val="ListParagraph"/>
        <w:numPr>
          <w:ilvl w:val="0"/>
          <w:numId w:val="1"/>
        </w:numPr>
        <w:spacing w:after="90" w:line="264"/>
      </w:pPr>
      <w:r>
        <w:t xml:space="preserve">Chapter 5 — Engineering Principles</w:t>
      </w:r>
    </w:p>
    <w:p>
      <w:pPr>
        <w:pStyle w:val="ListParagraph"/>
        <w:numPr>
          <w:ilvl w:val="0"/>
          <w:numId w:val="1"/>
        </w:numPr>
        <w:spacing w:after="90" w:line="264"/>
      </w:pPr>
      <w:r>
        <w:t xml:space="preserve">Chapter 7 — Technology Stack Standards</w:t>
      </w:r>
    </w:p>
    <w:p>
      <w:pPr>
        <w:pStyle w:val="ListParagraph"/>
        <w:numPr>
          <w:ilvl w:val="0"/>
          <w:numId w:val="1"/>
        </w:numPr>
        <w:spacing w:after="90" w:line="264"/>
      </w:pPr>
      <w:r>
        <w:t xml:space="preserve">Chapter 21 — Risk and Change Management</w:t>
      </w:r>
    </w:p>
    <w:p>
      <w:pPr>
        <w:pStyle w:val="ListParagraph"/>
        <w:numPr>
          <w:ilvl w:val="0"/>
          <w:numId w:val="1"/>
        </w:numPr>
        <w:spacing w:after="90" w:line="264"/>
      </w:pPr>
      <w:r>
        <w:t xml:space="preserve">Chapter 22 — Engineering Decision Log / Architecture Decision Record (ADR) Process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2026-07-19T18:50:01.821Z</dcterms:created>
  <dcterms:modified xsi:type="dcterms:W3CDTF">2026-07-19T18:50:01.821Z</dcterms:modified>
</cp:coreProperties>
</file>

<file path=docProps/custom.xml><?xml version="1.0" encoding="utf-8"?>
<Properties xmlns="http://schemas.openxmlformats.org/officeDocument/2006/custom-properties" xmlns:vt="http://schemas.openxmlformats.org/officeDocument/2006/docPropsVTypes"/>
</file>