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9</w:t>
      </w:r>
    </w:p>
    <w:p>
      <w:pPr>
        <w:pBdr>
          <w:bottom w:val="single" w:color="1F3864" w:sz="14" w:space="10"/>
        </w:pBdr>
        <w:spacing w:after="160"/>
        <w:jc w:val="center"/>
      </w:pPr>
      <w:r>
        <w:rPr>
          <w:b/>
          <w:bCs/>
          <w:color w:val="152238"/>
          <w:sz w:val="40"/>
          <w:szCs w:val="40"/>
        </w:rPr>
        <w:t xml:space="preserve">Backend Engineering Standards</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The Core Execution Engine</w:t>
      </w:r>
    </w:p>
    <w:p>
      <w:r>
        <w:br w:type="page"/>
      </w:r>
    </w:p>
    <w:p>
      <w:pPr>
        <w:spacing w:after="40"/>
        <w:jc w:val="left"/>
      </w:pPr>
      <w:r>
        <w:rPr>
          <w:b/>
          <w:bCs/>
          <w:caps/>
          <w:color w:val="4A6FA5"/>
          <w:sz w:val="22"/>
          <w:szCs w:val="22"/>
        </w:rPr>
        <w:t xml:space="preserve">CHAPTER 9</w:t>
      </w:r>
    </w:p>
    <w:p>
      <w:pPr>
        <w:pBdr>
          <w:bottom w:val="single" w:color="1F3864" w:sz="12" w:space="8"/>
        </w:pBdr>
        <w:spacing w:after="200"/>
        <w:jc w:val="left"/>
      </w:pPr>
      <w:r>
        <w:rPr>
          <w:b/>
          <w:bCs/>
          <w:color w:val="152238"/>
          <w:sz w:val="44"/>
          <w:szCs w:val="44"/>
        </w:rPr>
        <w:t xml:space="preserve">Backend Engineering Standards</w:t>
      </w:r>
    </w:p>
    <w:p>
      <w:pPr>
        <w:spacing w:after="90" w:before="180"/>
      </w:pPr>
      <w:r>
        <w:rPr>
          <w:b/>
          <w:bCs/>
          <w:color w:val="152238"/>
          <w:sz w:val="19"/>
          <w:szCs w:val="19"/>
        </w:rPr>
        <w:t xml:space="preserve">Chapter Overview</w:t>
      </w:r>
    </w:p>
    <w:p>
      <w:pPr>
        <w:spacing w:after="150" w:line="276"/>
        <w:jc w:val="both"/>
      </w:pPr>
      <w:r>
        <w:t xml:space="preserve">This chapter defines how every backend service on the Enterprise System Management (ESM) Platform and Central Knowledge Repository (CKR) is built, tested, secured, documented, deployed, and maintained, regardless of the specific language or framework ultimately selected. It covers backend architecture principles, the layered architecture and module structure, coding, API, validation, error handling, security, database access, asynchronous processing, logging, performance, testing, documentation, configuration, observability, and DevSecOps standards, together with the backend code review checklist and the Antigravity backend instructions.</w:t>
      </w:r>
    </w:p>
    <w:p>
      <w:pPr>
        <w:spacing w:after="90" w:before="180"/>
      </w:pPr>
      <w:r>
        <w:rPr>
          <w:b/>
          <w:bCs/>
          <w:color w:val="152238"/>
          <w:sz w:val="19"/>
          <w:szCs w:val="19"/>
        </w:rPr>
        <w:t xml:space="preserve">Purpose</w:t>
      </w:r>
    </w:p>
    <w:p>
      <w:pPr>
        <w:spacing w:after="150" w:line="276"/>
        <w:jc w:val="both"/>
      </w:pPr>
      <w:r>
        <w:t xml:space="preserve">To establish the mandatory standards, conventions, and best practices governing the design, development, testing, deployment, and maintenance of all backend services, so that backend systems are secure, reliable, scalable, maintainable, testable, performant, modular, observable, and consistent.</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eight Backend Architecture Principles and the layered architecture.</w:t>
      </w:r>
    </w:p>
    <w:p>
      <w:pPr>
        <w:pStyle w:val="ListParagraph"/>
        <w:numPr>
          <w:ilvl w:val="0"/>
          <w:numId w:val="1"/>
        </w:numPr>
        <w:spacing w:after="90" w:line="264"/>
      </w:pPr>
      <w:r>
        <w:t xml:space="preserve">Understand API, validation, error handling, security, and database access standards.</w:t>
      </w:r>
    </w:p>
    <w:p>
      <w:pPr>
        <w:pStyle w:val="ListParagraph"/>
        <w:numPr>
          <w:ilvl w:val="0"/>
          <w:numId w:val="1"/>
        </w:numPr>
        <w:spacing w:after="90" w:line="264"/>
      </w:pPr>
      <w:r>
        <w:t xml:space="preserve">Understand testing, documentation, configuration, and observability standards.</w:t>
      </w:r>
    </w:p>
    <w:p>
      <w:pPr>
        <w:pStyle w:val="ListParagraph"/>
        <w:numPr>
          <w:ilvl w:val="0"/>
          <w:numId w:val="1"/>
        </w:numPr>
        <w:spacing w:after="90" w:line="264"/>
      </w:pPr>
      <w:r>
        <w:t xml:space="preserve">Understand the Backend Code Review Checklist and the Antigravity Backend Instructions.</w:t>
      </w:r>
    </w:p>
    <w:p>
      <w:pPr>
        <w:pStyle w:val="Heading1"/>
        <w:pBdr>
          <w:bottom w:val="single" w:color="C6D2E0" w:sz="4" w:space="4"/>
        </w:pBdr>
        <w:spacing w:after="140" w:before="360"/>
      </w:pPr>
      <w:r>
        <w:rPr>
          <w:b/>
          <w:bCs/>
          <w:color w:val="4A6FA5"/>
          <w:sz w:val="26"/>
          <w:szCs w:val="26"/>
        </w:rPr>
        <w:t xml:space="preserve">9.1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mandatory standards governing all backend services.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platform's core execution engine — the layer most critical to reliability and security.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regardless of the specific language or framework ultimately selected.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Backend systems that are secure, reliable, scalable, maintainable, and consistent.</w:t>
            </w:r>
          </w:p>
        </w:tc>
      </w:tr>
    </w:tbl>
    <w:p>
      <w:pPr>
        <w:spacing w:after="160"/>
      </w:pPr>
    </w:p>
    <w:p>
      <w:pPr>
        <w:spacing w:after="150" w:line="276"/>
        <w:jc w:val="both"/>
      </w:pPr>
      <w:r>
        <w:t xml:space="preserve">This section establishes the mandatory standards, conventions, and best practices governing the design, development, testing, deployment, and maintenance of all backend services for the SAPZ Enterprise System Management (ESM) Platform and Central Knowledge Repository (CKR).</w:t>
      </w:r>
    </w:p>
    <w:p>
      <w:pPr>
        <w:spacing w:after="150" w:line="276"/>
        <w:jc w:val="both"/>
      </w:pPr>
      <w:r>
        <w:t xml:space="preserve">These standards ensure that backend systems are:</w:t>
      </w:r>
    </w:p>
    <w:p>
      <w:pPr>
        <w:pStyle w:val="ListParagraph"/>
        <w:numPr>
          <w:ilvl w:val="0"/>
          <w:numId w:val="1"/>
        </w:numPr>
        <w:spacing w:after="90" w:line="264"/>
      </w:pPr>
      <w:r>
        <w:t xml:space="preserve">Secure</w:t>
      </w:r>
    </w:p>
    <w:p>
      <w:pPr>
        <w:pStyle w:val="ListParagraph"/>
        <w:numPr>
          <w:ilvl w:val="0"/>
          <w:numId w:val="1"/>
        </w:numPr>
        <w:spacing w:after="90" w:line="264"/>
      </w:pPr>
      <w:r>
        <w:t xml:space="preserve">Reliable</w:t>
      </w:r>
    </w:p>
    <w:p>
      <w:pPr>
        <w:pStyle w:val="ListParagraph"/>
        <w:numPr>
          <w:ilvl w:val="0"/>
          <w:numId w:val="1"/>
        </w:numPr>
        <w:spacing w:after="90" w:line="264"/>
      </w:pPr>
      <w:r>
        <w:t xml:space="preserve">Scalable</w:t>
      </w:r>
    </w:p>
    <w:p>
      <w:pPr>
        <w:pStyle w:val="ListParagraph"/>
        <w:numPr>
          <w:ilvl w:val="0"/>
          <w:numId w:val="1"/>
        </w:numPr>
        <w:spacing w:after="90" w:line="264"/>
      </w:pPr>
      <w:r>
        <w:t xml:space="preserve">Maintainable</w:t>
      </w:r>
    </w:p>
    <w:p>
      <w:pPr>
        <w:pStyle w:val="ListParagraph"/>
        <w:numPr>
          <w:ilvl w:val="0"/>
          <w:numId w:val="1"/>
        </w:numPr>
        <w:spacing w:after="90" w:line="264"/>
      </w:pPr>
      <w:r>
        <w:t xml:space="preserve">Testable</w:t>
      </w:r>
    </w:p>
    <w:p>
      <w:pPr>
        <w:pStyle w:val="ListParagraph"/>
        <w:numPr>
          <w:ilvl w:val="0"/>
          <w:numId w:val="1"/>
        </w:numPr>
        <w:spacing w:after="90" w:line="264"/>
      </w:pPr>
      <w:r>
        <w:t xml:space="preserve">Performant</w:t>
      </w:r>
    </w:p>
    <w:p>
      <w:pPr>
        <w:pStyle w:val="ListParagraph"/>
        <w:numPr>
          <w:ilvl w:val="0"/>
          <w:numId w:val="1"/>
        </w:numPr>
        <w:spacing w:after="90" w:line="264"/>
      </w:pPr>
      <w:r>
        <w:t xml:space="preserve">Modular</w:t>
      </w:r>
    </w:p>
    <w:p>
      <w:pPr>
        <w:pStyle w:val="ListParagraph"/>
        <w:numPr>
          <w:ilvl w:val="0"/>
          <w:numId w:val="1"/>
        </w:numPr>
        <w:spacing w:after="90" w:line="264"/>
      </w:pPr>
      <w:r>
        <w:t xml:space="preserve">Observable</w:t>
      </w:r>
    </w:p>
    <w:p>
      <w:pPr>
        <w:pStyle w:val="ListParagraph"/>
        <w:numPr>
          <w:ilvl w:val="0"/>
          <w:numId w:val="1"/>
        </w:numPr>
        <w:spacing w:after="90" w:line="264"/>
      </w:pPr>
      <w:r>
        <w:t xml:space="preserve">Consistent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All backend components generated by Antigravity shall comply with these standards unless an approved Architecture Decision Record (ADR) explicitly authorizes a deviation.</w:t>
            </w:r>
          </w:p>
        </w:tc>
      </w:tr>
    </w:tbl>
    <w:p>
      <w:pPr>
        <w:pStyle w:val="Heading1"/>
        <w:pBdr>
          <w:bottom w:val="single" w:color="C6D2E0" w:sz="4" w:space="4"/>
        </w:pBdr>
        <w:spacing w:after="140" w:before="360"/>
      </w:pPr>
      <w:r>
        <w:rPr>
          <w:b/>
          <w:bCs/>
          <w:color w:val="4A6FA5"/>
          <w:sz w:val="26"/>
          <w:szCs w:val="26"/>
        </w:rPr>
        <w:t xml:space="preserve">9.2  </w:t>
      </w:r>
      <w:r>
        <w:rPr>
          <w:b/>
          <w:bCs/>
          <w:color w:val="1F3864"/>
          <w:sz w:val="26"/>
          <w:szCs w:val="26"/>
        </w:rPr>
        <w:t xml:space="preserve">Backend Architecture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eight architectural principles every backend service must conform to.</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backend services remain independently testable and replaceable over the platform's lifetime.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Chapter 5's Core Engineering Principles specifically to backend service design.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Backend services with clean boundaries, low coupling, and high cohesion.</w:t>
            </w:r>
          </w:p>
        </w:tc>
      </w:tr>
    </w:tbl>
    <w:p>
      <w:pPr>
        <w:spacing w:after="160"/>
      </w:pPr>
    </w:p>
    <w:p>
      <w:pPr>
        <w:spacing w:after="150" w:line="276"/>
        <w:jc w:val="both"/>
      </w:pPr>
      <w:r>
        <w:t xml:space="preserve">Every backend service shall conform to the following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6854"/>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3226"/>
            <w:tcMar>
              <w:top w:type="dxa" w:w="70"/>
              <w:left w:type="dxa" w:w="110"/>
              <w:bottom w:type="dxa" w:w="70"/>
              <w:right w:type="dxa" w:w="110"/>
            </w:tcMar>
            <w:vAlign w:val="top"/>
          </w:tcPr>
          <w:p>
            <w:r>
              <w:rPr>
                <w:b/>
                <w:bCs/>
                <w:color w:val="1A1A1A"/>
                <w:sz w:val="16"/>
                <w:szCs w:val="16"/>
              </w:rPr>
              <w:t xml:space="preserve">Separation of Concerns (SoC)</w:t>
            </w:r>
          </w:p>
        </w:tc>
        <w:tc>
          <w:tcPr>
            <w:tcW w:type="dxa" w:w="6854"/>
            <w:tcMar>
              <w:top w:type="dxa" w:w="70"/>
              <w:left w:type="dxa" w:w="110"/>
              <w:bottom w:type="dxa" w:w="70"/>
              <w:right w:type="dxa" w:w="110"/>
            </w:tcMar>
            <w:vAlign w:val="top"/>
          </w:tcPr>
          <w:p>
            <w:r>
              <w:rPr>
                <w:b w:val="false"/>
                <w:bCs w:val="false"/>
                <w:color w:val="1A1A1A"/>
                <w:sz w:val="16"/>
                <w:szCs w:val="16"/>
              </w:rPr>
              <w:t xml:space="preserve">Business logic, persistence, presentation, and infrastructure concerns must remain isolated.</w:t>
            </w:r>
          </w:p>
        </w:tc>
      </w:tr>
      <w:tr>
        <w:tc>
          <w:tcPr>
            <w:tcW w:type="dxa" w:w="3226"/>
            <w:tcMar>
              <w:top w:type="dxa" w:w="70"/>
              <w:left w:type="dxa" w:w="110"/>
              <w:bottom w:type="dxa" w:w="70"/>
              <w:right w:type="dxa" w:w="110"/>
            </w:tcMar>
            <w:vAlign w:val="top"/>
          </w:tcPr>
          <w:p>
            <w:r>
              <w:rPr>
                <w:b/>
                <w:bCs/>
                <w:color w:val="1A1A1A"/>
                <w:sz w:val="16"/>
                <w:szCs w:val="16"/>
              </w:rPr>
              <w:t xml:space="preserve">Single Responsibility Principle (SRP)</w:t>
            </w:r>
          </w:p>
        </w:tc>
        <w:tc>
          <w:tcPr>
            <w:tcW w:type="dxa" w:w="6854"/>
            <w:tcMar>
              <w:top w:type="dxa" w:w="70"/>
              <w:left w:type="dxa" w:w="110"/>
              <w:bottom w:type="dxa" w:w="70"/>
              <w:right w:type="dxa" w:w="110"/>
            </w:tcMar>
            <w:vAlign w:val="top"/>
          </w:tcPr>
          <w:p>
            <w:r>
              <w:rPr>
                <w:b w:val="false"/>
                <w:bCs w:val="false"/>
                <w:color w:val="1A1A1A"/>
                <w:sz w:val="16"/>
                <w:szCs w:val="16"/>
              </w:rPr>
              <w:t xml:space="preserve">Each class or service should have one well-defined responsibility.</w:t>
            </w:r>
          </w:p>
        </w:tc>
      </w:tr>
      <w:tr>
        <w:tc>
          <w:tcPr>
            <w:tcW w:type="dxa" w:w="3226"/>
            <w:tcMar>
              <w:top w:type="dxa" w:w="70"/>
              <w:left w:type="dxa" w:w="110"/>
              <w:bottom w:type="dxa" w:w="70"/>
              <w:right w:type="dxa" w:w="110"/>
            </w:tcMar>
            <w:vAlign w:val="top"/>
          </w:tcPr>
          <w:p>
            <w:r>
              <w:rPr>
                <w:b/>
                <w:bCs/>
                <w:color w:val="1A1A1A"/>
                <w:sz w:val="16"/>
                <w:szCs w:val="16"/>
              </w:rPr>
              <w:t xml:space="preserve">Dependency Injection (DI)</w:t>
            </w:r>
          </w:p>
        </w:tc>
        <w:tc>
          <w:tcPr>
            <w:tcW w:type="dxa" w:w="6854"/>
            <w:tcMar>
              <w:top w:type="dxa" w:w="70"/>
              <w:left w:type="dxa" w:w="110"/>
              <w:bottom w:type="dxa" w:w="70"/>
              <w:right w:type="dxa" w:w="110"/>
            </w:tcMar>
            <w:vAlign w:val="top"/>
          </w:tcPr>
          <w:p>
            <w:r>
              <w:rPr>
                <w:b w:val="false"/>
                <w:bCs w:val="false"/>
                <w:color w:val="1A1A1A"/>
                <w:sz w:val="16"/>
                <w:szCs w:val="16"/>
              </w:rPr>
              <w:t xml:space="preserve">Dependencies must be injected rather than instantiated directly.</w:t>
            </w:r>
          </w:p>
        </w:tc>
      </w:tr>
      <w:tr>
        <w:tc>
          <w:tcPr>
            <w:tcW w:type="dxa" w:w="3226"/>
            <w:tcMar>
              <w:top w:type="dxa" w:w="70"/>
              <w:left w:type="dxa" w:w="110"/>
              <w:bottom w:type="dxa" w:w="70"/>
              <w:right w:type="dxa" w:w="110"/>
            </w:tcMar>
            <w:vAlign w:val="top"/>
          </w:tcPr>
          <w:p>
            <w:r>
              <w:rPr>
                <w:b/>
                <w:bCs/>
                <w:color w:val="1A1A1A"/>
                <w:sz w:val="16"/>
                <w:szCs w:val="16"/>
              </w:rPr>
              <w:t xml:space="preserve">Domain-Driven Design (DDD) Where Appropriate</w:t>
            </w:r>
          </w:p>
        </w:tc>
        <w:tc>
          <w:tcPr>
            <w:tcW w:type="dxa" w:w="6854"/>
            <w:tcMar>
              <w:top w:type="dxa" w:w="70"/>
              <w:left w:type="dxa" w:w="110"/>
              <w:bottom w:type="dxa" w:w="70"/>
              <w:right w:type="dxa" w:w="110"/>
            </w:tcMar>
            <w:vAlign w:val="top"/>
          </w:tcPr>
          <w:p>
            <w:r>
              <w:rPr>
                <w:b w:val="false"/>
                <w:bCs w:val="false"/>
                <w:color w:val="1A1A1A"/>
                <w:sz w:val="16"/>
                <w:szCs w:val="16"/>
              </w:rPr>
              <w:t xml:space="preserve">Core business logic should reflect the programme's business domain.</w:t>
            </w:r>
          </w:p>
        </w:tc>
      </w:tr>
      <w:tr>
        <w:tc>
          <w:tcPr>
            <w:tcW w:type="dxa" w:w="3226"/>
            <w:tcMar>
              <w:top w:type="dxa" w:w="70"/>
              <w:left w:type="dxa" w:w="110"/>
              <w:bottom w:type="dxa" w:w="70"/>
              <w:right w:type="dxa" w:w="110"/>
            </w:tcMar>
            <w:vAlign w:val="top"/>
          </w:tcPr>
          <w:p>
            <w:r>
              <w:rPr>
                <w:b/>
                <w:bCs/>
                <w:color w:val="1A1A1A"/>
                <w:sz w:val="16"/>
                <w:szCs w:val="16"/>
              </w:rPr>
              <w:t xml:space="preserve">Stateless Services</w:t>
            </w:r>
          </w:p>
        </w:tc>
        <w:tc>
          <w:tcPr>
            <w:tcW w:type="dxa" w:w="6854"/>
            <w:tcMar>
              <w:top w:type="dxa" w:w="70"/>
              <w:left w:type="dxa" w:w="110"/>
              <w:bottom w:type="dxa" w:w="70"/>
              <w:right w:type="dxa" w:w="110"/>
            </w:tcMar>
            <w:vAlign w:val="top"/>
          </w:tcPr>
          <w:p>
            <w:r>
              <w:rPr>
                <w:b w:val="false"/>
                <w:bCs w:val="false"/>
                <w:color w:val="1A1A1A"/>
                <w:sz w:val="16"/>
                <w:szCs w:val="16"/>
              </w:rPr>
              <w:t xml:space="preserve">Services should remain stateless unless state persistence is explicitly required.</w:t>
            </w:r>
          </w:p>
        </w:tc>
      </w:tr>
      <w:tr>
        <w:tc>
          <w:tcPr>
            <w:tcW w:type="dxa" w:w="3226"/>
            <w:tcMar>
              <w:top w:type="dxa" w:w="70"/>
              <w:left w:type="dxa" w:w="110"/>
              <w:bottom w:type="dxa" w:w="70"/>
              <w:right w:type="dxa" w:w="110"/>
            </w:tcMar>
            <w:vAlign w:val="top"/>
          </w:tcPr>
          <w:p>
            <w:r>
              <w:rPr>
                <w:b/>
                <w:bCs/>
                <w:color w:val="1A1A1A"/>
                <w:sz w:val="16"/>
                <w:szCs w:val="16"/>
              </w:rPr>
              <w:t xml:space="preserve">Loose Coupling</w:t>
            </w:r>
          </w:p>
        </w:tc>
        <w:tc>
          <w:tcPr>
            <w:tcW w:type="dxa" w:w="6854"/>
            <w:tcMar>
              <w:top w:type="dxa" w:w="70"/>
              <w:left w:type="dxa" w:w="110"/>
              <w:bottom w:type="dxa" w:w="70"/>
              <w:right w:type="dxa" w:w="110"/>
            </w:tcMar>
            <w:vAlign w:val="top"/>
          </w:tcPr>
          <w:p>
            <w:r>
              <w:rPr>
                <w:b w:val="false"/>
                <w:bCs w:val="false"/>
                <w:color w:val="1A1A1A"/>
                <w:sz w:val="16"/>
                <w:szCs w:val="16"/>
              </w:rPr>
              <w:t xml:space="preserve">Components should interact through well-defined interfaces.</w:t>
            </w:r>
          </w:p>
        </w:tc>
      </w:tr>
      <w:tr>
        <w:tc>
          <w:tcPr>
            <w:tcW w:type="dxa" w:w="3226"/>
            <w:tcMar>
              <w:top w:type="dxa" w:w="70"/>
              <w:left w:type="dxa" w:w="110"/>
              <w:bottom w:type="dxa" w:w="70"/>
              <w:right w:type="dxa" w:w="110"/>
            </w:tcMar>
            <w:vAlign w:val="top"/>
          </w:tcPr>
          <w:p>
            <w:r>
              <w:rPr>
                <w:b/>
                <w:bCs/>
                <w:color w:val="1A1A1A"/>
                <w:sz w:val="16"/>
                <w:szCs w:val="16"/>
              </w:rPr>
              <w:t xml:space="preserve">High Cohesion</w:t>
            </w:r>
          </w:p>
        </w:tc>
        <w:tc>
          <w:tcPr>
            <w:tcW w:type="dxa" w:w="6854"/>
            <w:tcMar>
              <w:top w:type="dxa" w:w="70"/>
              <w:left w:type="dxa" w:w="110"/>
              <w:bottom w:type="dxa" w:w="70"/>
              <w:right w:type="dxa" w:w="110"/>
            </w:tcMar>
            <w:vAlign w:val="top"/>
          </w:tcPr>
          <w:p>
            <w:r>
              <w:rPr>
                <w:b w:val="false"/>
                <w:bCs w:val="false"/>
                <w:color w:val="1A1A1A"/>
                <w:sz w:val="16"/>
                <w:szCs w:val="16"/>
              </w:rPr>
              <w:t xml:space="preserve">Related functionality should remain grouped within the same module.</w:t>
            </w:r>
          </w:p>
        </w:tc>
      </w:tr>
      <w:tr>
        <w:tc>
          <w:tcPr>
            <w:tcW w:type="dxa" w:w="3226"/>
            <w:tcMar>
              <w:top w:type="dxa" w:w="70"/>
              <w:left w:type="dxa" w:w="110"/>
              <w:bottom w:type="dxa" w:w="70"/>
              <w:right w:type="dxa" w:w="110"/>
            </w:tcMar>
            <w:vAlign w:val="top"/>
          </w:tcPr>
          <w:p>
            <w:r>
              <w:rPr>
                <w:b/>
                <w:bCs/>
                <w:color w:val="1A1A1A"/>
                <w:sz w:val="16"/>
                <w:szCs w:val="16"/>
              </w:rPr>
              <w:t xml:space="preserve">Configuration Over Hardcoding</w:t>
            </w:r>
          </w:p>
        </w:tc>
        <w:tc>
          <w:tcPr>
            <w:tcW w:type="dxa" w:w="6854"/>
            <w:tcMar>
              <w:top w:type="dxa" w:w="70"/>
              <w:left w:type="dxa" w:w="110"/>
              <w:bottom w:type="dxa" w:w="70"/>
              <w:right w:type="dxa" w:w="110"/>
            </w:tcMar>
            <w:vAlign w:val="top"/>
          </w:tcPr>
          <w:p>
            <w:r>
              <w:rPr>
                <w:b w:val="false"/>
                <w:bCs w:val="false"/>
                <w:color w:val="1A1A1A"/>
                <w:sz w:val="16"/>
                <w:szCs w:val="16"/>
              </w:rPr>
              <w:t xml:space="preserve">Runtime behavior must be configurable.</w:t>
            </w:r>
          </w:p>
        </w:tc>
      </w:tr>
    </w:tbl>
    <w:p>
      <w:pPr>
        <w:pStyle w:val="Heading1"/>
        <w:pBdr>
          <w:bottom w:val="single" w:color="C6D2E0" w:sz="4" w:space="4"/>
        </w:pBdr>
        <w:spacing w:after="140" w:before="360"/>
      </w:pPr>
      <w:r>
        <w:rPr>
          <w:b/>
          <w:bCs/>
          <w:color w:val="4A6FA5"/>
          <w:sz w:val="26"/>
          <w:szCs w:val="26"/>
        </w:rPr>
        <w:t xml:space="preserve">9.3  </w:t>
      </w:r>
      <w:r>
        <w:rPr>
          <w:b/>
          <w:bCs/>
          <w:color w:val="1F3864"/>
          <w:sz w:val="26"/>
          <w:szCs w:val="26"/>
        </w:rPr>
        <w:t xml:space="preserve">Layered Architecture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layered architecture for every backend module.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business logic testable in isolation from persistence and presentation concerns.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Business logic must never reside in controllers or repositories.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backend that can evolve one layer at a time without cascading rewrites.</w:t>
            </w:r>
          </w:p>
        </w:tc>
      </w:tr>
    </w:tbl>
    <w:p>
      <w:pPr>
        <w:spacing w:after="160"/>
      </w:pPr>
    </w:p>
    <w:p>
      <w:pPr>
        <w:spacing w:after="150" w:line="276"/>
        <w:jc w:val="both"/>
      </w:pPr>
      <w:r>
        <w:t xml:space="preserve">Every backend module shall follow a layered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Presentation Layer</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API Controllers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Application Services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Domain Models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Repositories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Database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1F3864" w:val="clear"/>
            <w:tcMar>
              <w:top w:type="dxa" w:w="70"/>
              <w:left w:type="dxa" w:w="110"/>
              <w:bottom w:type="dxa" w:w="70"/>
              <w:right w:type="dxa" w:w="110"/>
            </w:tcMar>
            <w:vAlign w:val="top"/>
          </w:tcPr>
          <w:p>
            <w:r>
              <w:rPr>
                <w:b/>
                <w:bCs/>
                <w:color w:val="FFFFFF"/>
                <w:sz w:val="17"/>
                <w:szCs w:val="17"/>
              </w:rPr>
              <w:t xml:space="preserve">Layer</w:t>
            </w:r>
          </w:p>
        </w:tc>
        <w:tc>
          <w:tcPr>
            <w:tcW w:type="dxa" w:w="7661"/>
            <w:shd w:fill="1F3864" w:val="clear"/>
            <w:tcMar>
              <w:top w:type="dxa" w:w="70"/>
              <w:left w:type="dxa" w:w="110"/>
              <w:bottom w:type="dxa" w:w="70"/>
              <w:right w:type="dxa" w:w="110"/>
            </w:tcMar>
            <w:vAlign w:val="top"/>
          </w:tcPr>
          <w:p>
            <w:r>
              <w:rPr>
                <w:b/>
                <w:bCs/>
                <w:color w:val="FFFFFF"/>
                <w:sz w:val="17"/>
                <w:szCs w:val="17"/>
              </w:rPr>
              <w:t xml:space="preserve">Responsibility</w:t>
            </w:r>
          </w:p>
        </w:tc>
      </w:tr>
      <w:tr>
        <w:tc>
          <w:tcPr>
            <w:tcW w:type="dxa" w:w="2419"/>
            <w:tcMar>
              <w:top w:type="dxa" w:w="70"/>
              <w:left w:type="dxa" w:w="110"/>
              <w:bottom w:type="dxa" w:w="70"/>
              <w:right w:type="dxa" w:w="110"/>
            </w:tcMar>
            <w:vAlign w:val="top"/>
          </w:tcPr>
          <w:p>
            <w:r>
              <w:rPr>
                <w:b/>
                <w:bCs/>
                <w:color w:val="1A1A1A"/>
                <w:sz w:val="16"/>
                <w:szCs w:val="16"/>
              </w:rPr>
              <w:t xml:space="preserve">Controllers</w:t>
            </w:r>
          </w:p>
        </w:tc>
        <w:tc>
          <w:tcPr>
            <w:tcW w:type="dxa" w:w="7661"/>
            <w:tcMar>
              <w:top w:type="dxa" w:w="70"/>
              <w:left w:type="dxa" w:w="110"/>
              <w:bottom w:type="dxa" w:w="70"/>
              <w:right w:type="dxa" w:w="110"/>
            </w:tcMar>
            <w:vAlign w:val="top"/>
          </w:tcPr>
          <w:p>
            <w:r>
              <w:rPr>
                <w:b w:val="false"/>
                <w:bCs w:val="false"/>
                <w:color w:val="1A1A1A"/>
                <w:sz w:val="16"/>
                <w:szCs w:val="16"/>
              </w:rPr>
              <w:t xml:space="preserve">Receive requests, validate input, delegate work.</w:t>
            </w:r>
          </w:p>
        </w:tc>
      </w:tr>
      <w:tr>
        <w:tc>
          <w:tcPr>
            <w:tcW w:type="dxa" w:w="2419"/>
            <w:tcMar>
              <w:top w:type="dxa" w:w="70"/>
              <w:left w:type="dxa" w:w="110"/>
              <w:bottom w:type="dxa" w:w="70"/>
              <w:right w:type="dxa" w:w="110"/>
            </w:tcMar>
            <w:vAlign w:val="top"/>
          </w:tcPr>
          <w:p>
            <w:r>
              <w:rPr>
                <w:b/>
                <w:bCs/>
                <w:color w:val="1A1A1A"/>
                <w:sz w:val="16"/>
                <w:szCs w:val="16"/>
              </w:rPr>
              <w:t xml:space="preserve">Services</w:t>
            </w:r>
          </w:p>
        </w:tc>
        <w:tc>
          <w:tcPr>
            <w:tcW w:type="dxa" w:w="7661"/>
            <w:tcMar>
              <w:top w:type="dxa" w:w="70"/>
              <w:left w:type="dxa" w:w="110"/>
              <w:bottom w:type="dxa" w:w="70"/>
              <w:right w:type="dxa" w:w="110"/>
            </w:tcMar>
            <w:vAlign w:val="top"/>
          </w:tcPr>
          <w:p>
            <w:r>
              <w:rPr>
                <w:b w:val="false"/>
                <w:bCs w:val="false"/>
                <w:color w:val="1A1A1A"/>
                <w:sz w:val="16"/>
                <w:szCs w:val="16"/>
              </w:rPr>
              <w:t xml:space="preserve">Contain business logic.</w:t>
            </w:r>
          </w:p>
        </w:tc>
      </w:tr>
      <w:tr>
        <w:tc>
          <w:tcPr>
            <w:tcW w:type="dxa" w:w="2419"/>
            <w:tcMar>
              <w:top w:type="dxa" w:w="70"/>
              <w:left w:type="dxa" w:w="110"/>
              <w:bottom w:type="dxa" w:w="70"/>
              <w:right w:type="dxa" w:w="110"/>
            </w:tcMar>
            <w:vAlign w:val="top"/>
          </w:tcPr>
          <w:p>
            <w:r>
              <w:rPr>
                <w:b/>
                <w:bCs/>
                <w:color w:val="1A1A1A"/>
                <w:sz w:val="16"/>
                <w:szCs w:val="16"/>
              </w:rPr>
              <w:t xml:space="preserve">Repositories</w:t>
            </w:r>
          </w:p>
        </w:tc>
        <w:tc>
          <w:tcPr>
            <w:tcW w:type="dxa" w:w="7661"/>
            <w:tcMar>
              <w:top w:type="dxa" w:w="70"/>
              <w:left w:type="dxa" w:w="110"/>
              <w:bottom w:type="dxa" w:w="70"/>
              <w:right w:type="dxa" w:w="110"/>
            </w:tcMar>
            <w:vAlign w:val="top"/>
          </w:tcPr>
          <w:p>
            <w:r>
              <w:rPr>
                <w:b w:val="false"/>
                <w:bCs w:val="false"/>
                <w:color w:val="1A1A1A"/>
                <w:sz w:val="16"/>
                <w:szCs w:val="16"/>
              </w:rPr>
              <w:t xml:space="preserve">Handle data persistence.</w:t>
            </w:r>
          </w:p>
        </w:tc>
      </w:tr>
      <w:tr>
        <w:tc>
          <w:tcPr>
            <w:tcW w:type="dxa" w:w="2419"/>
            <w:tcMar>
              <w:top w:type="dxa" w:w="70"/>
              <w:left w:type="dxa" w:w="110"/>
              <w:bottom w:type="dxa" w:w="70"/>
              <w:right w:type="dxa" w:w="110"/>
            </w:tcMar>
            <w:vAlign w:val="top"/>
          </w:tcPr>
          <w:p>
            <w:r>
              <w:rPr>
                <w:b/>
                <w:bCs/>
                <w:color w:val="1A1A1A"/>
                <w:sz w:val="16"/>
                <w:szCs w:val="16"/>
              </w:rPr>
              <w:t xml:space="preserve">Domain Models</w:t>
            </w:r>
          </w:p>
        </w:tc>
        <w:tc>
          <w:tcPr>
            <w:tcW w:type="dxa" w:w="7661"/>
            <w:tcMar>
              <w:top w:type="dxa" w:w="70"/>
              <w:left w:type="dxa" w:w="110"/>
              <w:bottom w:type="dxa" w:w="70"/>
              <w:right w:type="dxa" w:w="110"/>
            </w:tcMar>
            <w:vAlign w:val="top"/>
          </w:tcPr>
          <w:p>
            <w:r>
              <w:rPr>
                <w:b w:val="false"/>
                <w:bCs w:val="false"/>
                <w:color w:val="1A1A1A"/>
                <w:sz w:val="16"/>
                <w:szCs w:val="16"/>
              </w:rPr>
              <w:t xml:space="preserve">Represent business entities.</w:t>
            </w:r>
          </w:p>
        </w:tc>
      </w:tr>
      <w:tr>
        <w:tc>
          <w:tcPr>
            <w:tcW w:type="dxa" w:w="2419"/>
            <w:tcMar>
              <w:top w:type="dxa" w:w="70"/>
              <w:left w:type="dxa" w:w="110"/>
              <w:bottom w:type="dxa" w:w="70"/>
              <w:right w:type="dxa" w:w="110"/>
            </w:tcMar>
            <w:vAlign w:val="top"/>
          </w:tcPr>
          <w:p>
            <w:r>
              <w:rPr>
                <w:b/>
                <w:bCs/>
                <w:color w:val="1A1A1A"/>
                <w:sz w:val="16"/>
                <w:szCs w:val="16"/>
              </w:rPr>
              <w:t xml:space="preserve">DTOs</w:t>
            </w:r>
          </w:p>
        </w:tc>
        <w:tc>
          <w:tcPr>
            <w:tcW w:type="dxa" w:w="7661"/>
            <w:tcMar>
              <w:top w:type="dxa" w:w="70"/>
              <w:left w:type="dxa" w:w="110"/>
              <w:bottom w:type="dxa" w:w="70"/>
              <w:right w:type="dxa" w:w="110"/>
            </w:tcMar>
            <w:vAlign w:val="top"/>
          </w:tcPr>
          <w:p>
            <w:r>
              <w:rPr>
                <w:b w:val="false"/>
                <w:bCs w:val="false"/>
                <w:color w:val="1A1A1A"/>
                <w:sz w:val="16"/>
                <w:szCs w:val="16"/>
              </w:rPr>
              <w:t xml:space="preserve">Define request/response contracts.</w:t>
            </w:r>
          </w:p>
        </w:tc>
      </w:tr>
      <w:tr>
        <w:tc>
          <w:tcPr>
            <w:tcW w:type="dxa" w:w="2419"/>
            <w:tcMar>
              <w:top w:type="dxa" w:w="70"/>
              <w:left w:type="dxa" w:w="110"/>
              <w:bottom w:type="dxa" w:w="70"/>
              <w:right w:type="dxa" w:w="110"/>
            </w:tcMar>
            <w:vAlign w:val="top"/>
          </w:tcPr>
          <w:p>
            <w:r>
              <w:rPr>
                <w:b/>
                <w:bCs/>
                <w:color w:val="1A1A1A"/>
                <w:sz w:val="16"/>
                <w:szCs w:val="16"/>
              </w:rPr>
              <w:t xml:space="preserve">Middleware</w:t>
            </w:r>
          </w:p>
        </w:tc>
        <w:tc>
          <w:tcPr>
            <w:tcW w:type="dxa" w:w="7661"/>
            <w:tcMar>
              <w:top w:type="dxa" w:w="70"/>
              <w:left w:type="dxa" w:w="110"/>
              <w:bottom w:type="dxa" w:w="70"/>
              <w:right w:type="dxa" w:w="110"/>
            </w:tcMar>
            <w:vAlign w:val="top"/>
          </w:tcPr>
          <w:p>
            <w:r>
              <w:rPr>
                <w:b w:val="false"/>
                <w:bCs w:val="false"/>
                <w:color w:val="1A1A1A"/>
                <w:sz w:val="16"/>
                <w:szCs w:val="16"/>
              </w:rPr>
              <w:t xml:space="preserve">Cross-cutting concerns (auth, logging, rate limiting).</w:t>
            </w:r>
          </w:p>
        </w:tc>
      </w:tr>
      <w:tr>
        <w:tc>
          <w:tcPr>
            <w:tcW w:type="dxa" w:w="2419"/>
            <w:tcMar>
              <w:top w:type="dxa" w:w="70"/>
              <w:left w:type="dxa" w:w="110"/>
              <w:bottom w:type="dxa" w:w="70"/>
              <w:right w:type="dxa" w:w="110"/>
            </w:tcMar>
            <w:vAlign w:val="top"/>
          </w:tcPr>
          <w:p>
            <w:r>
              <w:rPr>
                <w:b/>
                <w:bCs/>
                <w:color w:val="1A1A1A"/>
                <w:sz w:val="16"/>
                <w:szCs w:val="16"/>
              </w:rPr>
              <w:t xml:space="preserve">Configuration</w:t>
            </w:r>
          </w:p>
        </w:tc>
        <w:tc>
          <w:tcPr>
            <w:tcW w:type="dxa" w:w="7661"/>
            <w:tcMar>
              <w:top w:type="dxa" w:w="70"/>
              <w:left w:type="dxa" w:w="110"/>
              <w:bottom w:type="dxa" w:w="70"/>
              <w:right w:type="dxa" w:w="110"/>
            </w:tcMar>
            <w:vAlign w:val="top"/>
          </w:tcPr>
          <w:p>
            <w:r>
              <w:rPr>
                <w:b w:val="false"/>
                <w:bCs w:val="false"/>
                <w:color w:val="1A1A1A"/>
                <w:sz w:val="16"/>
                <w:szCs w:val="16"/>
              </w:rPr>
              <w:t xml:space="preserve">Environment-specific settings.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Business logic must never reside in controllers or repositories.</w:t>
            </w:r>
          </w:p>
        </w:tc>
      </w:tr>
    </w:tbl>
    <w:p>
      <w:pPr>
        <w:pStyle w:val="Heading1"/>
        <w:pBdr>
          <w:bottom w:val="single" w:color="C6D2E0" w:sz="4" w:space="4"/>
        </w:pBdr>
        <w:spacing w:after="140" w:before="360"/>
      </w:pPr>
      <w:r>
        <w:rPr>
          <w:b/>
          <w:bCs/>
          <w:color w:val="4A6FA5"/>
          <w:sz w:val="26"/>
          <w:szCs w:val="26"/>
        </w:rPr>
        <w:t xml:space="preserve">9.4  </w:t>
      </w:r>
      <w:r>
        <w:rPr>
          <w:b/>
          <w:bCs/>
          <w:color w:val="1F3864"/>
          <w:sz w:val="26"/>
          <w:szCs w:val="26"/>
        </w:rPr>
        <w:t xml:space="preserve">Module Structure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standard internal folder layout for every backend module.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any engineer to navigate any backend module without ramp-up time.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services/ layout defined in Chapter 8.</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Predictable module internals across the entire backend.</w:t>
            </w:r>
          </w:p>
        </w:tc>
      </w:tr>
    </w:tbl>
    <w:p>
      <w:pPr>
        <w:spacing w:after="160"/>
      </w:pPr>
    </w:p>
    <w:p>
      <w:pPr>
        <w:spacing w:after="150" w:line="276"/>
        <w:jc w:val="both"/>
      </w:pPr>
      <w:r>
        <w:t xml:space="preserve">Each backend module shall follow a consistent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src/</w:t>
            </w:r>
          </w:p>
          <w:p>
            <w:pPr>
              <w:spacing w:after="0" w:line="240"/>
            </w:pPr>
            <w:r>
              <w:rPr>
                <w:rFonts w:ascii="Consolas" w:cs="Consolas" w:eastAsia="Consolas" w:hAnsi="Consolas"/>
                <w:color w:val="152238"/>
                <w:sz w:val="17"/>
                <w:szCs w:val="17"/>
              </w:rPr>
              <w:t xml:space="preserve">├── controllers/</w:t>
            </w:r>
          </w:p>
          <w:p>
            <w:pPr>
              <w:spacing w:after="0" w:line="240"/>
            </w:pPr>
            <w:r>
              <w:rPr>
                <w:rFonts w:ascii="Consolas" w:cs="Consolas" w:eastAsia="Consolas" w:hAnsi="Consolas"/>
                <w:color w:val="152238"/>
                <w:sz w:val="17"/>
                <w:szCs w:val="17"/>
              </w:rPr>
              <w:t xml:space="preserve">├── services/</w:t>
            </w:r>
          </w:p>
          <w:p>
            <w:pPr>
              <w:spacing w:after="0" w:line="240"/>
            </w:pPr>
            <w:r>
              <w:rPr>
                <w:rFonts w:ascii="Consolas" w:cs="Consolas" w:eastAsia="Consolas" w:hAnsi="Consolas"/>
                <w:color w:val="152238"/>
                <w:sz w:val="17"/>
                <w:szCs w:val="17"/>
              </w:rPr>
              <w:t xml:space="preserve">├── repositories/</w:t>
            </w:r>
          </w:p>
          <w:p>
            <w:pPr>
              <w:spacing w:after="0" w:line="240"/>
            </w:pPr>
            <w:r>
              <w:rPr>
                <w:rFonts w:ascii="Consolas" w:cs="Consolas" w:eastAsia="Consolas" w:hAnsi="Consolas"/>
                <w:color w:val="152238"/>
                <w:sz w:val="17"/>
                <w:szCs w:val="17"/>
              </w:rPr>
              <w:t xml:space="preserve">├── entities/</w:t>
            </w:r>
          </w:p>
          <w:p>
            <w:pPr>
              <w:spacing w:after="0" w:line="240"/>
            </w:pPr>
            <w:r>
              <w:rPr>
                <w:rFonts w:ascii="Consolas" w:cs="Consolas" w:eastAsia="Consolas" w:hAnsi="Consolas"/>
                <w:color w:val="152238"/>
                <w:sz w:val="17"/>
                <w:szCs w:val="17"/>
              </w:rPr>
              <w:t xml:space="preserve">├── dto/</w:t>
            </w:r>
          </w:p>
          <w:p>
            <w:pPr>
              <w:spacing w:after="0" w:line="240"/>
            </w:pPr>
            <w:r>
              <w:rPr>
                <w:rFonts w:ascii="Consolas" w:cs="Consolas" w:eastAsia="Consolas" w:hAnsi="Consolas"/>
                <w:color w:val="152238"/>
                <w:sz w:val="17"/>
                <w:szCs w:val="17"/>
              </w:rPr>
              <w:t xml:space="preserve">├── validators/</w:t>
            </w:r>
          </w:p>
          <w:p>
            <w:pPr>
              <w:spacing w:after="0" w:line="240"/>
            </w:pPr>
            <w:r>
              <w:rPr>
                <w:rFonts w:ascii="Consolas" w:cs="Consolas" w:eastAsia="Consolas" w:hAnsi="Consolas"/>
                <w:color w:val="152238"/>
                <w:sz w:val="17"/>
                <w:szCs w:val="17"/>
              </w:rPr>
              <w:t xml:space="preserve">├── middleware/</w:t>
            </w:r>
          </w:p>
          <w:p>
            <w:pPr>
              <w:spacing w:after="0" w:line="240"/>
            </w:pPr>
            <w:r>
              <w:rPr>
                <w:rFonts w:ascii="Consolas" w:cs="Consolas" w:eastAsia="Consolas" w:hAnsi="Consolas"/>
                <w:color w:val="152238"/>
                <w:sz w:val="17"/>
                <w:szCs w:val="17"/>
              </w:rPr>
              <w:t xml:space="preserve">├── interfaces/</w:t>
            </w:r>
          </w:p>
          <w:p>
            <w:pPr>
              <w:spacing w:after="0" w:line="240"/>
            </w:pPr>
            <w:r>
              <w:rPr>
                <w:rFonts w:ascii="Consolas" w:cs="Consolas" w:eastAsia="Consolas" w:hAnsi="Consolas"/>
                <w:color w:val="152238"/>
                <w:sz w:val="17"/>
                <w:szCs w:val="17"/>
              </w:rPr>
              <w:t xml:space="preserve">├── events/</w:t>
            </w:r>
          </w:p>
          <w:p>
            <w:pPr>
              <w:spacing w:after="0" w:line="240"/>
            </w:pPr>
            <w:r>
              <w:rPr>
                <w:rFonts w:ascii="Consolas" w:cs="Consolas" w:eastAsia="Consolas" w:hAnsi="Consolas"/>
                <w:color w:val="152238"/>
                <w:sz w:val="17"/>
                <w:szCs w:val="17"/>
              </w:rPr>
              <w:t xml:space="preserve">├── jobs/</w:t>
            </w:r>
          </w:p>
          <w:p>
            <w:pPr>
              <w:spacing w:after="0" w:line="240"/>
            </w:pPr>
            <w:r>
              <w:rPr>
                <w:rFonts w:ascii="Consolas" w:cs="Consolas" w:eastAsia="Consolas" w:hAnsi="Consolas"/>
                <w:color w:val="152238"/>
                <w:sz w:val="17"/>
                <w:szCs w:val="17"/>
              </w:rPr>
              <w:t xml:space="preserve">├── config/</w:t>
            </w:r>
          </w:p>
          <w:p>
            <w:pPr>
              <w:spacing w:after="0" w:line="240"/>
            </w:pPr>
            <w:r>
              <w:rPr>
                <w:rFonts w:ascii="Consolas" w:cs="Consolas" w:eastAsia="Consolas" w:hAnsi="Consolas"/>
                <w:color w:val="152238"/>
                <w:sz w:val="17"/>
                <w:szCs w:val="17"/>
              </w:rPr>
              <w:t xml:space="preserve">├── exceptions/</w:t>
            </w:r>
          </w:p>
          <w:p>
            <w:pPr>
              <w:spacing w:after="0" w:line="240"/>
            </w:pPr>
            <w:r>
              <w:rPr>
                <w:rFonts w:ascii="Consolas" w:cs="Consolas" w:eastAsia="Consolas" w:hAnsi="Consolas"/>
                <w:color w:val="152238"/>
                <w:sz w:val="17"/>
                <w:szCs w:val="17"/>
              </w:rPr>
              <w:t xml:space="preserve">├── utils/</w:t>
            </w:r>
          </w:p>
          <w:p>
            <w:pPr>
              <w:spacing w:after="0" w:line="240"/>
            </w:pPr>
            <w:r>
              <w:rPr>
                <w:rFonts w:ascii="Consolas" w:cs="Consolas" w:eastAsia="Consolas" w:hAnsi="Consolas"/>
                <w:color w:val="152238"/>
                <w:sz w:val="17"/>
                <w:szCs w:val="17"/>
              </w:rPr>
              <w:t xml:space="preserve">├── tests/</w:t>
            </w:r>
          </w:p>
          <w:p>
            <w:pPr>
              <w:spacing w:after="0" w:line="240"/>
            </w:pPr>
            <w:r>
              <w:rPr>
                <w:rFonts w:ascii="Consolas" w:cs="Consolas" w:eastAsia="Consolas" w:hAnsi="Consolas"/>
                <w:color w:val="152238"/>
                <w:sz w:val="17"/>
                <w:szCs w:val="17"/>
              </w:rPr>
              <w:t xml:space="preserve">└── README.md</w:t>
            </w:r>
          </w:p>
        </w:tc>
      </w:tr>
    </w:tbl>
    <w:p>
      <w:pPr>
        <w:pStyle w:val="Heading1"/>
        <w:pBdr>
          <w:bottom w:val="single" w:color="C6D2E0" w:sz="4" w:space="4"/>
        </w:pBdr>
        <w:spacing w:after="140" w:before="360"/>
      </w:pPr>
      <w:r>
        <w:rPr>
          <w:b/>
          <w:bCs/>
          <w:color w:val="4A6FA5"/>
          <w:sz w:val="26"/>
          <w:szCs w:val="26"/>
        </w:rPr>
        <w:t xml:space="preserve">9.5  </w:t>
      </w:r>
      <w:r>
        <w:rPr>
          <w:b/>
          <w:bCs/>
          <w:color w:val="1F3864"/>
          <w:sz w:val="26"/>
          <w:szCs w:val="26"/>
        </w:rPr>
        <w:t xml:space="preserve">Coding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backend coding practices.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defect rates and long-term maintenance cost.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Enforced through automated tooling and code review.</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codebase that reads consistently regardless of which engineer wrote it.</w:t>
            </w:r>
          </w:p>
        </w:tc>
      </w:tr>
    </w:tbl>
    <w:p>
      <w:pPr>
        <w:spacing w:after="160"/>
      </w:pPr>
    </w:p>
    <w:p>
      <w:pPr>
        <w:spacing w:after="150" w:line="276"/>
        <w:jc w:val="both"/>
      </w:pPr>
      <w:r>
        <w:t xml:space="preserve">Mandatory practices include:</w:t>
      </w:r>
    </w:p>
    <w:p>
      <w:pPr>
        <w:pStyle w:val="ListParagraph"/>
        <w:numPr>
          <w:ilvl w:val="0"/>
          <w:numId w:val="1"/>
        </w:numPr>
        <w:spacing w:after="90" w:line="264"/>
      </w:pPr>
      <w:r>
        <w:t xml:space="preserve">Strong typing (TypeScript or equivalent).</w:t>
      </w:r>
    </w:p>
    <w:p>
      <w:pPr>
        <w:pStyle w:val="ListParagraph"/>
        <w:numPr>
          <w:ilvl w:val="0"/>
          <w:numId w:val="1"/>
        </w:numPr>
        <w:spacing w:after="90" w:line="264"/>
      </w:pPr>
      <w:r>
        <w:t xml:space="preserve">No duplicated business logic.</w:t>
      </w:r>
    </w:p>
    <w:p>
      <w:pPr>
        <w:pStyle w:val="ListParagraph"/>
        <w:numPr>
          <w:ilvl w:val="0"/>
          <w:numId w:val="1"/>
        </w:numPr>
        <w:spacing w:after="90" w:line="264"/>
      </w:pPr>
      <w:r>
        <w:t xml:space="preserve">Small, focused methods.</w:t>
      </w:r>
    </w:p>
    <w:p>
      <w:pPr>
        <w:pStyle w:val="ListParagraph"/>
        <w:numPr>
          <w:ilvl w:val="0"/>
          <w:numId w:val="1"/>
        </w:numPr>
        <w:spacing w:after="90" w:line="264"/>
      </w:pPr>
      <w:r>
        <w:t xml:space="preserve">Clear naming conventions.</w:t>
      </w:r>
    </w:p>
    <w:p>
      <w:pPr>
        <w:pStyle w:val="ListParagraph"/>
        <w:numPr>
          <w:ilvl w:val="0"/>
          <w:numId w:val="1"/>
        </w:numPr>
        <w:spacing w:after="90" w:line="264"/>
      </w:pPr>
      <w:r>
        <w:t xml:space="preserve">Immutable objects where practical.</w:t>
      </w:r>
    </w:p>
    <w:p>
      <w:pPr>
        <w:pStyle w:val="ListParagraph"/>
        <w:numPr>
          <w:ilvl w:val="0"/>
          <w:numId w:val="1"/>
        </w:numPr>
        <w:spacing w:after="90" w:line="264"/>
      </w:pPr>
      <w:r>
        <w:t xml:space="preserve">Descriptive comments only where necessary.</w:t>
      </w:r>
    </w:p>
    <w:p>
      <w:pPr>
        <w:pStyle w:val="ListParagraph"/>
        <w:numPr>
          <w:ilvl w:val="0"/>
          <w:numId w:val="1"/>
        </w:numPr>
        <w:spacing w:after="90" w:line="264"/>
      </w:pPr>
      <w:r>
        <w:t xml:space="preserve">Consistent formatting enforced through automated tooling.</w:t>
      </w:r>
    </w:p>
    <w:p>
      <w:pPr>
        <w:pStyle w:val="ListParagraph"/>
        <w:numPr>
          <w:ilvl w:val="0"/>
          <w:numId w:val="1"/>
        </w:numPr>
        <w:spacing w:after="90" w:line="264"/>
      </w:pPr>
      <w:r>
        <w:t xml:space="preserve">Strict linting.</w:t>
      </w:r>
    </w:p>
    <w:p>
      <w:pPr>
        <w:pStyle w:val="ListParagraph"/>
        <w:numPr>
          <w:ilvl w:val="0"/>
          <w:numId w:val="1"/>
        </w:numPr>
        <w:spacing w:after="90" w:line="264"/>
      </w:pPr>
      <w:r>
        <w:t xml:space="preserve">No commented-out legacy code in production branches.</w:t>
      </w:r>
    </w:p>
    <w:p>
      <w:pPr>
        <w:pStyle w:val="Heading1"/>
        <w:pBdr>
          <w:bottom w:val="single" w:color="C6D2E0" w:sz="4" w:space="4"/>
        </w:pBdr>
        <w:spacing w:after="140" w:before="360"/>
      </w:pPr>
      <w:r>
        <w:rPr>
          <w:b/>
          <w:bCs/>
          <w:color w:val="4A6FA5"/>
          <w:sz w:val="26"/>
          <w:szCs w:val="26"/>
        </w:rPr>
        <w:t xml:space="preserve">9.6  </w:t>
      </w:r>
      <w:r>
        <w:rPr>
          <w:b/>
          <w:bCs/>
          <w:color w:val="1F3864"/>
          <w:sz w:val="26"/>
          <w:szCs w:val="26"/>
        </w:rPr>
        <w:t xml:space="preserve">API Development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how backend APIs are designed and how responses are structured.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frontend and integration developers a single, predictable response shape.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response uses the standard envelope shown below, regardless of endpoint.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predictable API behavior across every backend service.</w:t>
            </w:r>
          </w:p>
        </w:tc>
      </w:tr>
    </w:tbl>
    <w:p>
      <w:pPr>
        <w:spacing w:after="160"/>
      </w:pPr>
    </w:p>
    <w:p>
      <w:pPr>
        <w:spacing w:after="150" w:line="276"/>
        <w:jc w:val="both"/>
      </w:pPr>
      <w:r>
        <w:t xml:space="preserve">Every endpoint shall:</w:t>
      </w:r>
    </w:p>
    <w:p>
      <w:pPr>
        <w:pStyle w:val="ListParagraph"/>
        <w:numPr>
          <w:ilvl w:val="0"/>
          <w:numId w:val="1"/>
        </w:numPr>
        <w:spacing w:after="90" w:line="264"/>
      </w:pPr>
      <w:r>
        <w:t xml:space="preserve">Follow RESTful conventions.</w:t>
      </w:r>
    </w:p>
    <w:p>
      <w:pPr>
        <w:pStyle w:val="ListParagraph"/>
        <w:numPr>
          <w:ilvl w:val="0"/>
          <w:numId w:val="1"/>
        </w:numPr>
        <w:spacing w:after="90" w:line="264"/>
      </w:pPr>
      <w:r>
        <w:t xml:space="preserve">Be versioned (/api/v1).</w:t>
      </w:r>
    </w:p>
    <w:p>
      <w:pPr>
        <w:pStyle w:val="ListParagraph"/>
        <w:numPr>
          <w:ilvl w:val="0"/>
          <w:numId w:val="1"/>
        </w:numPr>
        <w:spacing w:after="90" w:line="264"/>
      </w:pPr>
      <w:r>
        <w:t xml:space="preserve">Validate all input.</w:t>
      </w:r>
    </w:p>
    <w:p>
      <w:pPr>
        <w:pStyle w:val="ListParagraph"/>
        <w:numPr>
          <w:ilvl w:val="0"/>
          <w:numId w:val="1"/>
        </w:numPr>
        <w:spacing w:after="90" w:line="264"/>
      </w:pPr>
      <w:r>
        <w:t xml:space="preserve">Return consistent response structures.</w:t>
      </w:r>
    </w:p>
    <w:p>
      <w:pPr>
        <w:pStyle w:val="ListParagraph"/>
        <w:numPr>
          <w:ilvl w:val="0"/>
          <w:numId w:val="1"/>
        </w:numPr>
        <w:spacing w:after="90" w:line="264"/>
      </w:pPr>
      <w:r>
        <w:t xml:space="preserve">Support pagination where appropriate.</w:t>
      </w:r>
    </w:p>
    <w:p>
      <w:pPr>
        <w:pStyle w:val="ListParagraph"/>
        <w:numPr>
          <w:ilvl w:val="0"/>
          <w:numId w:val="1"/>
        </w:numPr>
        <w:spacing w:after="90" w:line="264"/>
      </w:pPr>
      <w:r>
        <w:t xml:space="preserve">Include filtering and sorting.</w:t>
      </w:r>
    </w:p>
    <w:p>
      <w:pPr>
        <w:pStyle w:val="ListParagraph"/>
        <w:numPr>
          <w:ilvl w:val="0"/>
          <w:numId w:val="1"/>
        </w:numPr>
        <w:spacing w:after="90" w:line="264"/>
      </w:pPr>
      <w:r>
        <w:t xml:space="preserve">Produce standardized error responses.</w:t>
      </w:r>
    </w:p>
    <w:p>
      <w:pPr>
        <w:pStyle w:val="ListParagraph"/>
        <w:numPr>
          <w:ilvl w:val="0"/>
          <w:numId w:val="1"/>
        </w:numPr>
        <w:spacing w:after="90" w:line="264"/>
      </w:pPr>
      <w:r>
        <w:t xml:space="preserve">Be documented using OpenAPI/Swagger.</w:t>
      </w:r>
    </w:p>
    <w:p>
      <w:pPr>
        <w:pStyle w:val="ListParagraph"/>
        <w:numPr>
          <w:ilvl w:val="0"/>
          <w:numId w:val="1"/>
        </w:numPr>
        <w:spacing w:after="90" w:line="264"/>
      </w:pPr>
      <w:r>
        <w:t xml:space="preserve">Enforce authentication and authorization.</w:t>
      </w:r>
    </w:p>
    <w:p>
      <w:pPr>
        <w:pStyle w:val="ListParagraph"/>
        <w:numPr>
          <w:ilvl w:val="0"/>
          <w:numId w:val="1"/>
        </w:numPr>
        <w:spacing w:after="90" w:line="264"/>
      </w:pPr>
      <w:r>
        <w:t xml:space="preserve">Log security-relevant events.</w:t>
      </w:r>
    </w:p>
    <w:p>
      <w:pPr>
        <w:spacing w:after="150" w:line="276"/>
        <w:jc w:val="both"/>
      </w:pPr>
      <w:r>
        <w:t xml:space="preserve">Example response envelope: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w:t>
            </w:r>
          </w:p>
          <w:p>
            <w:pPr>
              <w:spacing w:after="0" w:line="240"/>
            </w:pPr>
            <w:r>
              <w:rPr>
                <w:rFonts w:ascii="Consolas" w:cs="Consolas" w:eastAsia="Consolas" w:hAnsi="Consolas"/>
                <w:color w:val="152238"/>
                <w:sz w:val="17"/>
                <w:szCs w:val="17"/>
              </w:rPr>
              <w:t xml:space="preserve">  "success": true,</w:t>
            </w:r>
          </w:p>
          <w:p>
            <w:pPr>
              <w:spacing w:after="0" w:line="240"/>
            </w:pPr>
            <w:r>
              <w:rPr>
                <w:rFonts w:ascii="Consolas" w:cs="Consolas" w:eastAsia="Consolas" w:hAnsi="Consolas"/>
                <w:color w:val="152238"/>
                <w:sz w:val="17"/>
                <w:szCs w:val="17"/>
              </w:rPr>
              <w:t xml:space="preserve">  "message": "Project retrieved successfully.",</w:t>
            </w:r>
          </w:p>
          <w:p>
            <w:pPr>
              <w:spacing w:after="0" w:line="240"/>
            </w:pPr>
            <w:r>
              <w:rPr>
                <w:rFonts w:ascii="Consolas" w:cs="Consolas" w:eastAsia="Consolas" w:hAnsi="Consolas"/>
                <w:color w:val="152238"/>
                <w:sz w:val="17"/>
                <w:szCs w:val="17"/>
              </w:rPr>
              <w:t xml:space="preserve">  "data": { ... },</w:t>
            </w:r>
          </w:p>
          <w:p>
            <w:pPr>
              <w:spacing w:after="0" w:line="240"/>
            </w:pPr>
            <w:r>
              <w:rPr>
                <w:rFonts w:ascii="Consolas" w:cs="Consolas" w:eastAsia="Consolas" w:hAnsi="Consolas"/>
                <w:color w:val="152238"/>
                <w:sz w:val="17"/>
                <w:szCs w:val="17"/>
              </w:rPr>
              <w:t xml:space="preserve">  "meta": {</w:t>
            </w:r>
          </w:p>
          <w:p>
            <w:pPr>
              <w:spacing w:after="0" w:line="240"/>
            </w:pPr>
            <w:r>
              <w:rPr>
                <w:rFonts w:ascii="Consolas" w:cs="Consolas" w:eastAsia="Consolas" w:hAnsi="Consolas"/>
                <w:color w:val="152238"/>
                <w:sz w:val="17"/>
                <w:szCs w:val="17"/>
              </w:rPr>
              <w:t xml:space="preserve">    "requestId": "...",</w:t>
            </w:r>
          </w:p>
          <w:p>
            <w:pPr>
              <w:spacing w:after="0" w:line="240"/>
            </w:pPr>
            <w:r>
              <w:rPr>
                <w:rFonts w:ascii="Consolas" w:cs="Consolas" w:eastAsia="Consolas" w:hAnsi="Consolas"/>
                <w:color w:val="152238"/>
                <w:sz w:val="17"/>
                <w:szCs w:val="17"/>
              </w:rPr>
              <w:t xml:space="preserve">    "timestamp": "...",</w:t>
            </w:r>
          </w:p>
          <w:p>
            <w:pPr>
              <w:spacing w:after="0" w:line="240"/>
            </w:pPr>
            <w:r>
              <w:rPr>
                <w:rFonts w:ascii="Consolas" w:cs="Consolas" w:eastAsia="Consolas" w:hAnsi="Consolas"/>
                <w:color w:val="152238"/>
                <w:sz w:val="17"/>
                <w:szCs w:val="17"/>
              </w:rPr>
              <w:t xml:space="preserve">    "version": "v1"</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w:t>
            </w:r>
          </w:p>
        </w:tc>
      </w:tr>
    </w:tbl>
    <w:p>
      <w:pPr>
        <w:pStyle w:val="Heading1"/>
        <w:pBdr>
          <w:bottom w:val="single" w:color="C6D2E0" w:sz="4" w:space="4"/>
        </w:pBdr>
        <w:spacing w:after="140" w:before="360"/>
      </w:pPr>
      <w:r>
        <w:rPr>
          <w:b/>
          <w:bCs/>
          <w:color w:val="4A6FA5"/>
          <w:sz w:val="26"/>
          <w:szCs w:val="26"/>
        </w:rPr>
        <w:t xml:space="preserve">9.7  </w:t>
      </w:r>
      <w:r>
        <w:rPr>
          <w:b/>
          <w:bCs/>
          <w:color w:val="1F3864"/>
          <w:sz w:val="26"/>
          <w:szCs w:val="26"/>
        </w:rPr>
        <w:t xml:space="preserve">Validation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every external input validation pass must check.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malformed or malicious input from reaching business logic.</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Validation is performed before any business logic executes.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comprehensive input validation across every endpoint.</w:t>
            </w:r>
          </w:p>
        </w:tc>
      </w:tr>
    </w:tbl>
    <w:p>
      <w:pPr>
        <w:spacing w:after="160"/>
      </w:pPr>
    </w:p>
    <w:p>
      <w:pPr>
        <w:spacing w:after="150" w:line="276"/>
        <w:jc w:val="both"/>
      </w:pPr>
      <w:r>
        <w:t xml:space="preserve">All external input shall be validated. Validation shall include:</w:t>
      </w:r>
    </w:p>
    <w:p>
      <w:pPr>
        <w:pStyle w:val="ListParagraph"/>
        <w:numPr>
          <w:ilvl w:val="0"/>
          <w:numId w:val="1"/>
        </w:numPr>
        <w:spacing w:after="90" w:line="264"/>
      </w:pPr>
      <w:r>
        <w:t xml:space="preserve">Required fields.</w:t>
      </w:r>
    </w:p>
    <w:p>
      <w:pPr>
        <w:pStyle w:val="ListParagraph"/>
        <w:numPr>
          <w:ilvl w:val="0"/>
          <w:numId w:val="1"/>
        </w:numPr>
        <w:spacing w:after="90" w:line="264"/>
      </w:pPr>
      <w:r>
        <w:t xml:space="preserve">Data types.</w:t>
      </w:r>
    </w:p>
    <w:p>
      <w:pPr>
        <w:pStyle w:val="ListParagraph"/>
        <w:numPr>
          <w:ilvl w:val="0"/>
          <w:numId w:val="1"/>
        </w:numPr>
        <w:spacing w:after="90" w:line="264"/>
      </w:pPr>
      <w:r>
        <w:t xml:space="preserve">Length constraints.</w:t>
      </w:r>
    </w:p>
    <w:p>
      <w:pPr>
        <w:pStyle w:val="ListParagraph"/>
        <w:numPr>
          <w:ilvl w:val="0"/>
          <w:numId w:val="1"/>
        </w:numPr>
        <w:spacing w:after="90" w:line="264"/>
      </w:pPr>
      <w:r>
        <w:t xml:space="preserve">Format validation.</w:t>
      </w:r>
    </w:p>
    <w:p>
      <w:pPr>
        <w:pStyle w:val="ListParagraph"/>
        <w:numPr>
          <w:ilvl w:val="0"/>
          <w:numId w:val="1"/>
        </w:numPr>
        <w:spacing w:after="90" w:line="264"/>
      </w:pPr>
      <w:r>
        <w:t xml:space="preserve">Business rules.</w:t>
      </w:r>
    </w:p>
    <w:p>
      <w:pPr>
        <w:pStyle w:val="ListParagraph"/>
        <w:numPr>
          <w:ilvl w:val="0"/>
          <w:numId w:val="1"/>
        </w:numPr>
        <w:spacing w:after="90" w:line="264"/>
      </w:pPr>
      <w:r>
        <w:t xml:space="preserve">Cross-field validation.</w:t>
      </w:r>
    </w:p>
    <w:p>
      <w:pPr>
        <w:pStyle w:val="ListParagraph"/>
        <w:numPr>
          <w:ilvl w:val="0"/>
          <w:numId w:val="1"/>
        </w:numPr>
        <w:spacing w:after="90" w:line="264"/>
      </w:pPr>
      <w:r>
        <w:t xml:space="preserve">File type and size checks.</w:t>
      </w:r>
    </w:p>
    <w:p>
      <w:pPr>
        <w:pStyle w:val="ListParagraph"/>
        <w:numPr>
          <w:ilvl w:val="0"/>
          <w:numId w:val="1"/>
        </w:numPr>
        <w:spacing w:after="90" w:line="264"/>
      </w:pPr>
      <w:r>
        <w:t xml:space="preserve">Duplicate detection where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Validation errors shall be descriptive but shall not expose internal implementation details.</w:t>
            </w:r>
          </w:p>
        </w:tc>
      </w:tr>
    </w:tbl>
    <w:p>
      <w:pPr>
        <w:pStyle w:val="Heading1"/>
        <w:pBdr>
          <w:bottom w:val="single" w:color="C6D2E0" w:sz="4" w:space="4"/>
        </w:pBdr>
        <w:spacing w:after="140" w:before="360"/>
      </w:pPr>
      <w:r>
        <w:rPr>
          <w:b/>
          <w:bCs/>
          <w:color w:val="4A6FA5"/>
          <w:sz w:val="26"/>
          <w:szCs w:val="26"/>
        </w:rPr>
        <w:t xml:space="preserve">9.8  </w:t>
      </w:r>
      <w:r>
        <w:rPr>
          <w:b/>
          <w:bCs/>
          <w:color w:val="1F3864"/>
          <w:sz w:val="26"/>
          <w:szCs w:val="26"/>
        </w:rPr>
        <w:t xml:space="preserve">Error Handling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how errors are caught, formatted, and returned.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internal system details from leaking to end users or attackers.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 single, centralized exception handling mechanism serves the entire backend.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safe error responses across every service.</w:t>
            </w:r>
          </w:p>
        </w:tc>
      </w:tr>
    </w:tbl>
    <w:p>
      <w:pPr>
        <w:spacing w:after="160"/>
      </w:pPr>
    </w:p>
    <w:p>
      <w:pPr>
        <w:spacing w:after="150" w:line="276"/>
        <w:jc w:val="both"/>
      </w:pPr>
      <w:r>
        <w:t xml:space="preserve">A centralized exception handling mechanism shall be implemented. Error responses shall include:</w:t>
      </w:r>
    </w:p>
    <w:p>
      <w:pPr>
        <w:pStyle w:val="ListParagraph"/>
        <w:numPr>
          <w:ilvl w:val="0"/>
          <w:numId w:val="1"/>
        </w:numPr>
        <w:spacing w:after="90" w:line="264"/>
      </w:pPr>
      <w:r>
        <w:t xml:space="preserve">Error code.</w:t>
      </w:r>
    </w:p>
    <w:p>
      <w:pPr>
        <w:pStyle w:val="ListParagraph"/>
        <w:numPr>
          <w:ilvl w:val="0"/>
          <w:numId w:val="1"/>
        </w:numPr>
        <w:spacing w:after="90" w:line="264"/>
      </w:pPr>
      <w:r>
        <w:t xml:space="preserve">Human-readable message.</w:t>
      </w:r>
    </w:p>
    <w:p>
      <w:pPr>
        <w:pStyle w:val="ListParagraph"/>
        <w:numPr>
          <w:ilvl w:val="0"/>
          <w:numId w:val="1"/>
        </w:numPr>
        <w:spacing w:after="90" w:line="264"/>
      </w:pPr>
      <w:r>
        <w:t xml:space="preserve">HTTP status code.</w:t>
      </w:r>
    </w:p>
    <w:p>
      <w:pPr>
        <w:pStyle w:val="ListParagraph"/>
        <w:numPr>
          <w:ilvl w:val="0"/>
          <w:numId w:val="1"/>
        </w:numPr>
        <w:spacing w:after="90" w:line="264"/>
      </w:pPr>
      <w:r>
        <w:t xml:space="preserve">Request identifier.</w:t>
      </w:r>
    </w:p>
    <w:p>
      <w:pPr>
        <w:pStyle w:val="ListParagraph"/>
        <w:numPr>
          <w:ilvl w:val="0"/>
          <w:numId w:val="1"/>
        </w:numPr>
        <w:spacing w:after="90" w:line="264"/>
      </w:pPr>
      <w:r>
        <w:t xml:space="preserve">Timestamp.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SECURITY CONSIDERATION</w:t>
            </w:r>
          </w:p>
          <w:p>
            <w:pPr>
              <w:spacing w:after="0"/>
            </w:pPr>
            <w:r>
              <w:rPr>
                <w:sz w:val="18"/>
                <w:szCs w:val="18"/>
              </w:rPr>
              <w:t xml:space="preserve">Internal stack traces shall never be exposed to end users.</w:t>
            </w:r>
          </w:p>
        </w:tc>
      </w:tr>
    </w:tbl>
    <w:p>
      <w:pPr>
        <w:pStyle w:val="Heading1"/>
        <w:pBdr>
          <w:bottom w:val="single" w:color="C6D2E0" w:sz="4" w:space="4"/>
        </w:pBdr>
        <w:spacing w:after="140" w:before="360"/>
      </w:pPr>
      <w:r>
        <w:rPr>
          <w:b/>
          <w:bCs/>
          <w:color w:val="4A6FA5"/>
          <w:sz w:val="26"/>
          <w:szCs w:val="26"/>
        </w:rPr>
        <w:t xml:space="preserve">9.9  </w:t>
      </w:r>
      <w:r>
        <w:rPr>
          <w:b/>
          <w:bCs/>
          <w:color w:val="1F3864"/>
          <w:sz w:val="26"/>
          <w:szCs w:val="26"/>
        </w:rPr>
        <w:t xml:space="preserve">Security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security controls implemented by every backend service.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platform against the OWASP Top 10 and common backend attack vectors.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platform-wide Security Standards in Section 7.8 and Chapter 14.</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Backend services hardened by default, not as an afterthought.</w:t>
            </w:r>
          </w:p>
        </w:tc>
      </w:tr>
    </w:tbl>
    <w:p>
      <w:pPr>
        <w:spacing w:after="160"/>
      </w:pPr>
    </w:p>
    <w:p>
      <w:pPr>
        <w:spacing w:after="150" w:line="276"/>
        <w:jc w:val="both"/>
      </w:pPr>
      <w:r>
        <w:t xml:space="preserve">Backend services shall implement:</w:t>
      </w:r>
    </w:p>
    <w:p>
      <w:pPr>
        <w:pStyle w:val="ListParagraph"/>
        <w:numPr>
          <w:ilvl w:val="0"/>
          <w:numId w:val="1"/>
        </w:numPr>
        <w:spacing w:after="90" w:line="264"/>
      </w:pPr>
      <w:r>
        <w:t xml:space="preserve">OAuth 2.0 / OpenID Connect.</w:t>
      </w:r>
    </w:p>
    <w:p>
      <w:pPr>
        <w:pStyle w:val="ListParagraph"/>
        <w:numPr>
          <w:ilvl w:val="0"/>
          <w:numId w:val="1"/>
        </w:numPr>
        <w:spacing w:after="90" w:line="264"/>
      </w:pPr>
      <w:r>
        <w:t xml:space="preserve">JWT validation.</w:t>
      </w:r>
    </w:p>
    <w:p>
      <w:pPr>
        <w:pStyle w:val="ListParagraph"/>
        <w:numPr>
          <w:ilvl w:val="0"/>
          <w:numId w:val="1"/>
        </w:numPr>
        <w:spacing w:after="90" w:line="264"/>
      </w:pPr>
      <w:r>
        <w:t xml:space="preserve">RBAC enforcement.</w:t>
      </w:r>
    </w:p>
    <w:p>
      <w:pPr>
        <w:pStyle w:val="ListParagraph"/>
        <w:numPr>
          <w:ilvl w:val="0"/>
          <w:numId w:val="1"/>
        </w:numPr>
        <w:spacing w:after="90" w:line="264"/>
      </w:pPr>
      <w:r>
        <w:t xml:space="preserve">Secure password hashing (Argon2 or bcrypt).</w:t>
      </w:r>
    </w:p>
    <w:p>
      <w:pPr>
        <w:pStyle w:val="ListParagraph"/>
        <w:numPr>
          <w:ilvl w:val="0"/>
          <w:numId w:val="1"/>
        </w:numPr>
        <w:spacing w:after="90" w:line="264"/>
      </w:pPr>
      <w:r>
        <w:t xml:space="preserve">CSRF protection where applicable.</w:t>
      </w:r>
    </w:p>
    <w:p>
      <w:pPr>
        <w:pStyle w:val="ListParagraph"/>
        <w:numPr>
          <w:ilvl w:val="0"/>
          <w:numId w:val="1"/>
        </w:numPr>
        <w:spacing w:after="90" w:line="264"/>
      </w:pPr>
      <w:r>
        <w:t xml:space="preserve">Rate limiting.</w:t>
      </w:r>
    </w:p>
    <w:p>
      <w:pPr>
        <w:pStyle w:val="ListParagraph"/>
        <w:numPr>
          <w:ilvl w:val="0"/>
          <w:numId w:val="1"/>
        </w:numPr>
        <w:spacing w:after="90" w:line="264"/>
      </w:pPr>
      <w:r>
        <w:t xml:space="preserve">Input sanitization.</w:t>
      </w:r>
    </w:p>
    <w:p>
      <w:pPr>
        <w:pStyle w:val="ListParagraph"/>
        <w:numPr>
          <w:ilvl w:val="0"/>
          <w:numId w:val="1"/>
        </w:numPr>
        <w:spacing w:after="90" w:line="264"/>
      </w:pPr>
      <w:r>
        <w:t xml:space="preserve">Output encoding.</w:t>
      </w:r>
    </w:p>
    <w:p>
      <w:pPr>
        <w:pStyle w:val="ListParagraph"/>
        <w:numPr>
          <w:ilvl w:val="0"/>
          <w:numId w:val="1"/>
        </w:numPr>
        <w:spacing w:after="90" w:line="264"/>
      </w:pPr>
      <w:r>
        <w:t xml:space="preserve">Secure file handling.</w:t>
      </w:r>
    </w:p>
    <w:p>
      <w:pPr>
        <w:pStyle w:val="ListParagraph"/>
        <w:numPr>
          <w:ilvl w:val="0"/>
          <w:numId w:val="1"/>
        </w:numPr>
        <w:spacing w:after="90" w:line="264"/>
      </w:pPr>
      <w:r>
        <w:t xml:space="preserve">Secrets management.</w:t>
      </w:r>
    </w:p>
    <w:p>
      <w:pPr>
        <w:pStyle w:val="ListParagraph"/>
        <w:numPr>
          <w:ilvl w:val="0"/>
          <w:numId w:val="1"/>
        </w:numPr>
        <w:spacing w:after="90" w:line="264"/>
      </w:pPr>
      <w:r>
        <w:t xml:space="preserve">Audit logging.</w:t>
      </w:r>
    </w:p>
    <w:p>
      <w:pPr>
        <w:pStyle w:val="ListParagraph"/>
        <w:numPr>
          <w:ilvl w:val="0"/>
          <w:numId w:val="1"/>
        </w:numPr>
        <w:spacing w:after="90" w:line="264"/>
      </w:pPr>
      <w:r>
        <w:t xml:space="preserve">Protection against OWASP Top 10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SECURITY CONSIDERATION</w:t>
            </w:r>
          </w:p>
          <w:p>
            <w:pPr>
              <w:spacing w:after="0"/>
            </w:pPr>
            <w:r>
              <w:rPr>
                <w:sz w:val="18"/>
                <w:szCs w:val="18"/>
              </w:rPr>
              <w:t xml:space="preserve">All sensitive operations shall be logged with user, action, timestamp, and outcome.</w:t>
            </w:r>
          </w:p>
        </w:tc>
      </w:tr>
    </w:tbl>
    <w:p>
      <w:pPr>
        <w:pStyle w:val="Heading1"/>
        <w:pBdr>
          <w:bottom w:val="single" w:color="C6D2E0" w:sz="4" w:space="4"/>
        </w:pBdr>
        <w:spacing w:after="140" w:before="360"/>
      </w:pPr>
      <w:r>
        <w:rPr>
          <w:b/>
          <w:bCs/>
          <w:color w:val="4A6FA5"/>
          <w:sz w:val="26"/>
          <w:szCs w:val="26"/>
        </w:rPr>
        <w:t xml:space="preserve">9.10  </w:t>
      </w:r>
      <w:r>
        <w:rPr>
          <w:b/>
          <w:bCs/>
          <w:color w:val="1F3864"/>
          <w:sz w:val="26"/>
          <w:szCs w:val="26"/>
        </w:rPr>
        <w:t xml:space="preserve">Database Access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backend services may access the database.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SQL injection and uncontrolled schema drift.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Database access occurs only through repository or data access layers — never directly from controllers or services.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database access pattern that is consistent, safe, and fully auditable.</w:t>
            </w:r>
          </w:p>
        </w:tc>
      </w:tr>
    </w:tbl>
    <w:p>
      <w:pPr>
        <w:spacing w:after="160"/>
      </w:pPr>
    </w:p>
    <w:p>
      <w:pPr>
        <w:spacing w:after="150" w:line="276"/>
        <w:jc w:val="both"/>
      </w:pPr>
      <w:r>
        <w:t xml:space="preserve">Database access shall occur only through repository or data access layers. Requirements:</w:t>
      </w:r>
    </w:p>
    <w:p>
      <w:pPr>
        <w:pStyle w:val="ListParagraph"/>
        <w:numPr>
          <w:ilvl w:val="0"/>
          <w:numId w:val="1"/>
        </w:numPr>
        <w:spacing w:after="90" w:line="264"/>
      </w:pPr>
      <w:r>
        <w:t xml:space="preserve">Parameterized queries.</w:t>
      </w:r>
    </w:p>
    <w:p>
      <w:pPr>
        <w:pStyle w:val="ListParagraph"/>
        <w:numPr>
          <w:ilvl w:val="0"/>
          <w:numId w:val="1"/>
        </w:numPr>
        <w:spacing w:after="90" w:line="264"/>
      </w:pPr>
      <w:r>
        <w:t xml:space="preserve">ORM migrations.</w:t>
      </w:r>
    </w:p>
    <w:p>
      <w:pPr>
        <w:pStyle w:val="ListParagraph"/>
        <w:numPr>
          <w:ilvl w:val="0"/>
          <w:numId w:val="1"/>
        </w:numPr>
        <w:spacing w:after="90" w:line="264"/>
      </w:pPr>
      <w:r>
        <w:t xml:space="preserve">Transaction management.</w:t>
      </w:r>
    </w:p>
    <w:p>
      <w:pPr>
        <w:pStyle w:val="ListParagraph"/>
        <w:numPr>
          <w:ilvl w:val="0"/>
          <w:numId w:val="1"/>
        </w:numPr>
        <w:spacing w:after="90" w:line="264"/>
      </w:pPr>
      <w:r>
        <w:t xml:space="preserve">Optimized indexing.</w:t>
      </w:r>
    </w:p>
    <w:p>
      <w:pPr>
        <w:pStyle w:val="ListParagraph"/>
        <w:numPr>
          <w:ilvl w:val="0"/>
          <w:numId w:val="1"/>
        </w:numPr>
        <w:spacing w:after="90" w:line="264"/>
      </w:pPr>
      <w:r>
        <w:t xml:space="preserve">Foreign key constraints.</w:t>
      </w:r>
    </w:p>
    <w:p>
      <w:pPr>
        <w:pStyle w:val="ListParagraph"/>
        <w:numPr>
          <w:ilvl w:val="0"/>
          <w:numId w:val="1"/>
        </w:numPr>
        <w:spacing w:after="90" w:line="264"/>
      </w:pPr>
      <w:r>
        <w:t xml:space="preserve">Audit fields.</w:t>
      </w:r>
    </w:p>
    <w:p>
      <w:pPr>
        <w:pStyle w:val="ListParagraph"/>
        <w:numPr>
          <w:ilvl w:val="0"/>
          <w:numId w:val="1"/>
        </w:numPr>
        <w:spacing w:after="90" w:line="264"/>
      </w:pPr>
      <w:r>
        <w:t xml:space="preserve">Soft delete where appropriate.</w:t>
      </w:r>
    </w:p>
    <w:p>
      <w:pPr>
        <w:pStyle w:val="ListParagraph"/>
        <w:numPr>
          <w:ilvl w:val="0"/>
          <w:numId w:val="1"/>
        </w:numPr>
        <w:spacing w:after="90" w:line="264"/>
      </w:pPr>
      <w:r>
        <w:t xml:space="preserve">No raw SQL unless justified and documented.</w:t>
      </w:r>
    </w:p>
    <w:p>
      <w:pPr>
        <w:pStyle w:val="Heading1"/>
        <w:pBdr>
          <w:bottom w:val="single" w:color="C6D2E0" w:sz="4" w:space="4"/>
        </w:pBdr>
        <w:spacing w:after="140" w:before="360"/>
      </w:pPr>
      <w:r>
        <w:rPr>
          <w:b/>
          <w:bCs/>
          <w:color w:val="4A6FA5"/>
          <w:sz w:val="26"/>
          <w:szCs w:val="26"/>
        </w:rPr>
        <w:t xml:space="preserve">9.11  </w:t>
      </w:r>
      <w:r>
        <w:rPr>
          <w:b/>
          <w:bCs/>
          <w:color w:val="1F3864"/>
          <w:sz w:val="26"/>
          <w:szCs w:val="26"/>
        </w:rPr>
        <w:t xml:space="preserve">Asynchronous Processing</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which tasks must run asynchronously and what background jobs must support.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API response times low by moving long-running work off the request path.</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Background jobs are resilient — supporting retries, idempotency, and dead-letter handling.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Responsive APIs even when underlying work is computationally expensive.</w:t>
            </w:r>
          </w:p>
        </w:tc>
      </w:tr>
    </w:tbl>
    <w:p>
      <w:pPr>
        <w:spacing w:after="160"/>
      </w:pPr>
    </w:p>
    <w:p>
      <w:pPr>
        <w:spacing w:after="150" w:line="276"/>
        <w:jc w:val="both"/>
      </w:pPr>
      <w:r>
        <w:t xml:space="preserve">Long-running tasks shall execute asynchronously. Examples:</w:t>
      </w:r>
    </w:p>
    <w:p>
      <w:pPr>
        <w:pStyle w:val="ListParagraph"/>
        <w:numPr>
          <w:ilvl w:val="0"/>
          <w:numId w:val="1"/>
        </w:numPr>
        <w:spacing w:after="90" w:line="264"/>
      </w:pPr>
      <w:r>
        <w:t xml:space="preserve">Email notifications.</w:t>
      </w:r>
    </w:p>
    <w:p>
      <w:pPr>
        <w:pStyle w:val="ListParagraph"/>
        <w:numPr>
          <w:ilvl w:val="0"/>
          <w:numId w:val="1"/>
        </w:numPr>
        <w:spacing w:after="90" w:line="264"/>
      </w:pPr>
      <w:r>
        <w:t xml:space="preserve">Document indexing.</w:t>
      </w:r>
    </w:p>
    <w:p>
      <w:pPr>
        <w:pStyle w:val="ListParagraph"/>
        <w:numPr>
          <w:ilvl w:val="0"/>
          <w:numId w:val="1"/>
        </w:numPr>
        <w:spacing w:after="90" w:line="264"/>
      </w:pPr>
      <w:r>
        <w:t xml:space="preserve">Report generation.</w:t>
      </w:r>
    </w:p>
    <w:p>
      <w:pPr>
        <w:pStyle w:val="ListParagraph"/>
        <w:numPr>
          <w:ilvl w:val="0"/>
          <w:numId w:val="1"/>
        </w:numPr>
        <w:spacing w:after="90" w:line="264"/>
      </w:pPr>
      <w:r>
        <w:t xml:space="preserve">File processing.</w:t>
      </w:r>
    </w:p>
    <w:p>
      <w:pPr>
        <w:pStyle w:val="ListParagraph"/>
        <w:numPr>
          <w:ilvl w:val="0"/>
          <w:numId w:val="1"/>
        </w:numPr>
        <w:spacing w:after="90" w:line="264"/>
      </w:pPr>
      <w:r>
        <w:t xml:space="preserve">AI-assisted analysis.</w:t>
      </w:r>
    </w:p>
    <w:p>
      <w:pPr>
        <w:pStyle w:val="ListParagraph"/>
        <w:numPr>
          <w:ilvl w:val="0"/>
          <w:numId w:val="1"/>
        </w:numPr>
        <w:spacing w:after="90" w:line="264"/>
      </w:pPr>
      <w:r>
        <w:t xml:space="preserve">Scheduled maintenance.</w:t>
      </w:r>
    </w:p>
    <w:p>
      <w:pPr>
        <w:spacing w:after="150" w:line="276"/>
        <w:jc w:val="both"/>
      </w:pPr>
      <w:r>
        <w:t xml:space="preserve">Background jobs shall support:</w:t>
      </w:r>
    </w:p>
    <w:p>
      <w:pPr>
        <w:pStyle w:val="ListParagraph"/>
        <w:numPr>
          <w:ilvl w:val="0"/>
          <w:numId w:val="1"/>
        </w:numPr>
        <w:spacing w:after="90" w:line="264"/>
      </w:pPr>
      <w:r>
        <w:t xml:space="preserve">Retry policies.</w:t>
      </w:r>
    </w:p>
    <w:p>
      <w:pPr>
        <w:pStyle w:val="ListParagraph"/>
        <w:numPr>
          <w:ilvl w:val="0"/>
          <w:numId w:val="1"/>
        </w:numPr>
        <w:spacing w:after="90" w:line="264"/>
      </w:pPr>
      <w:r>
        <w:t xml:space="preserve">Dead-letter handling.</w:t>
      </w:r>
    </w:p>
    <w:p>
      <w:pPr>
        <w:pStyle w:val="ListParagraph"/>
        <w:numPr>
          <w:ilvl w:val="0"/>
          <w:numId w:val="1"/>
        </w:numPr>
        <w:spacing w:after="90" w:line="264"/>
      </w:pPr>
      <w:r>
        <w:t xml:space="preserve">Monitoring.</w:t>
      </w:r>
    </w:p>
    <w:p>
      <w:pPr>
        <w:pStyle w:val="ListParagraph"/>
        <w:numPr>
          <w:ilvl w:val="0"/>
          <w:numId w:val="1"/>
        </w:numPr>
        <w:spacing w:after="90" w:line="264"/>
      </w:pPr>
      <w:r>
        <w:t xml:space="preserve">Idempotency.</w:t>
      </w:r>
    </w:p>
    <w:p>
      <w:pPr>
        <w:pStyle w:val="Heading1"/>
        <w:pBdr>
          <w:bottom w:val="single" w:color="C6D2E0" w:sz="4" w:space="4"/>
        </w:pBdr>
        <w:spacing w:after="140" w:before="360"/>
      </w:pPr>
      <w:r>
        <w:rPr>
          <w:b/>
          <w:bCs/>
          <w:color w:val="4A6FA5"/>
          <w:sz w:val="26"/>
          <w:szCs w:val="26"/>
        </w:rPr>
        <w:t xml:space="preserve">9.12  </w:t>
      </w:r>
      <w:r>
        <w:rPr>
          <w:b/>
          <w:bCs/>
          <w:color w:val="1F3864"/>
          <w:sz w:val="26"/>
          <w:szCs w:val="26"/>
        </w:rPr>
        <w:t xml:space="preserve">Logging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the structure and content of backend log entries.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rapid incident diagnosis across a distributed set of services.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Structured logging with correlation IDs across every service.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Log entries that are searchable, correlated, and free of sensitive data.</w:t>
            </w:r>
          </w:p>
        </w:tc>
      </w:tr>
    </w:tbl>
    <w:p>
      <w:pPr>
        <w:spacing w:after="160"/>
      </w:pPr>
    </w:p>
    <w:p>
      <w:pPr>
        <w:spacing w:after="150" w:line="276"/>
        <w:jc w:val="both"/>
      </w:pPr>
      <w:r>
        <w:t xml:space="preserve">Structured logging shall be used. Each log entry shall include:</w:t>
      </w:r>
    </w:p>
    <w:p>
      <w:pPr>
        <w:pStyle w:val="ListParagraph"/>
        <w:numPr>
          <w:ilvl w:val="0"/>
          <w:numId w:val="1"/>
        </w:numPr>
        <w:spacing w:after="90" w:line="264"/>
      </w:pPr>
      <w:r>
        <w:t xml:space="preserve">Timestamp.</w:t>
      </w:r>
    </w:p>
    <w:p>
      <w:pPr>
        <w:pStyle w:val="ListParagraph"/>
        <w:numPr>
          <w:ilvl w:val="0"/>
          <w:numId w:val="1"/>
        </w:numPr>
        <w:spacing w:after="90" w:line="264"/>
      </w:pPr>
      <w:r>
        <w:t xml:space="preserve">Log level.</w:t>
      </w:r>
    </w:p>
    <w:p>
      <w:pPr>
        <w:pStyle w:val="ListParagraph"/>
        <w:numPr>
          <w:ilvl w:val="0"/>
          <w:numId w:val="1"/>
        </w:numPr>
        <w:spacing w:after="90" w:line="264"/>
      </w:pPr>
      <w:r>
        <w:t xml:space="preserve">Service name.</w:t>
      </w:r>
    </w:p>
    <w:p>
      <w:pPr>
        <w:pStyle w:val="ListParagraph"/>
        <w:numPr>
          <w:ilvl w:val="0"/>
          <w:numId w:val="1"/>
        </w:numPr>
        <w:spacing w:after="90" w:line="264"/>
      </w:pPr>
      <w:r>
        <w:t xml:space="preserve">Request ID.</w:t>
      </w:r>
    </w:p>
    <w:p>
      <w:pPr>
        <w:pStyle w:val="ListParagraph"/>
        <w:numPr>
          <w:ilvl w:val="0"/>
          <w:numId w:val="1"/>
        </w:numPr>
        <w:spacing w:after="90" w:line="264"/>
      </w:pPr>
      <w:r>
        <w:t xml:space="preserve">User ID (where applicable).</w:t>
      </w:r>
    </w:p>
    <w:p>
      <w:pPr>
        <w:pStyle w:val="ListParagraph"/>
        <w:numPr>
          <w:ilvl w:val="0"/>
          <w:numId w:val="1"/>
        </w:numPr>
        <w:spacing w:after="90" w:line="264"/>
      </w:pPr>
      <w:r>
        <w:t xml:space="preserve">Correlation ID.</w:t>
      </w:r>
    </w:p>
    <w:p>
      <w:pPr>
        <w:pStyle w:val="ListParagraph"/>
        <w:numPr>
          <w:ilvl w:val="0"/>
          <w:numId w:val="1"/>
        </w:numPr>
        <w:spacing w:after="90" w:line="264"/>
      </w:pPr>
      <w:r>
        <w:t xml:space="preserve">Operation.</w:t>
      </w:r>
    </w:p>
    <w:p>
      <w:pPr>
        <w:pStyle w:val="ListParagraph"/>
        <w:numPr>
          <w:ilvl w:val="0"/>
          <w:numId w:val="1"/>
        </w:numPr>
        <w:spacing w:after="90" w:line="264"/>
      </w:pPr>
      <w:r>
        <w:t xml:space="preserve">Execution time.</w:t>
      </w:r>
    </w:p>
    <w:p>
      <w:pPr>
        <w:pStyle w:val="ListParagraph"/>
        <w:numPr>
          <w:ilvl w:val="0"/>
          <w:numId w:val="1"/>
        </w:numPr>
        <w:spacing w:after="90" w:line="264"/>
      </w:pPr>
      <w:r>
        <w:t xml:space="preserve">Error details (if any).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SECURITY CONSIDERATION</w:t>
            </w:r>
          </w:p>
          <w:p>
            <w:pPr>
              <w:spacing w:after="0"/>
            </w:pPr>
            <w:r>
              <w:rPr>
                <w:sz w:val="18"/>
                <w:szCs w:val="18"/>
              </w:rPr>
              <w:t xml:space="preserve">Sensitive data such as passwords, tokens, or personal identifiers shall never be logged.</w:t>
            </w:r>
          </w:p>
        </w:tc>
      </w:tr>
    </w:tbl>
    <w:p>
      <w:pPr>
        <w:pStyle w:val="Heading1"/>
        <w:pBdr>
          <w:bottom w:val="single" w:color="C6D2E0" w:sz="4" w:space="4"/>
        </w:pBdr>
        <w:spacing w:after="140" w:before="360"/>
      </w:pPr>
      <w:r>
        <w:rPr>
          <w:b/>
          <w:bCs/>
          <w:color w:val="4A6FA5"/>
          <w:sz w:val="26"/>
          <w:szCs w:val="26"/>
        </w:rPr>
        <w:t xml:space="preserve">9.13  </w:t>
      </w:r>
      <w:r>
        <w:rPr>
          <w:b/>
          <w:bCs/>
          <w:color w:val="1F3864"/>
          <w:sz w:val="26"/>
          <w:szCs w:val="26"/>
        </w:rPr>
        <w:t xml:space="preserve">Performance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backend performance targets.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a responsive user experience under expected production load.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Standard API operations target sub-500ms response times.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backend validated against defined performance targets before release.</w:t>
            </w:r>
          </w:p>
        </w:tc>
      </w:tr>
    </w:tbl>
    <w:p>
      <w:pPr>
        <w:spacing w:after="160"/>
      </w:pPr>
    </w:p>
    <w:p>
      <w:pPr>
        <w:spacing w:after="150" w:line="276"/>
        <w:jc w:val="both"/>
      </w:pPr>
      <w:r>
        <w:t xml:space="preserve">Backend services should target:</w:t>
      </w:r>
    </w:p>
    <w:p>
      <w:pPr>
        <w:pStyle w:val="ListParagraph"/>
        <w:numPr>
          <w:ilvl w:val="0"/>
          <w:numId w:val="1"/>
        </w:numPr>
        <w:spacing w:after="90" w:line="264"/>
      </w:pPr>
      <w:r>
        <w:t xml:space="preserve">API response time &lt; 500 ms for standard operations.</w:t>
      </w:r>
    </w:p>
    <w:p>
      <w:pPr>
        <w:pStyle w:val="ListParagraph"/>
        <w:numPr>
          <w:ilvl w:val="0"/>
          <w:numId w:val="1"/>
        </w:numPr>
        <w:spacing w:after="90" w:line="264"/>
      </w:pPr>
      <w:r>
        <w:t xml:space="preserve">Efficient database queries.</w:t>
      </w:r>
    </w:p>
    <w:p>
      <w:pPr>
        <w:pStyle w:val="ListParagraph"/>
        <w:numPr>
          <w:ilvl w:val="0"/>
          <w:numId w:val="1"/>
        </w:numPr>
        <w:spacing w:after="90" w:line="264"/>
      </w:pPr>
      <w:r>
        <w:t xml:space="preserve">Pagination for large datasets.</w:t>
      </w:r>
    </w:p>
    <w:p>
      <w:pPr>
        <w:pStyle w:val="ListParagraph"/>
        <w:numPr>
          <w:ilvl w:val="0"/>
          <w:numId w:val="1"/>
        </w:numPr>
        <w:spacing w:after="90" w:line="264"/>
      </w:pPr>
      <w:r>
        <w:t xml:space="preserve">Caching of frequently accessed reference data.</w:t>
      </w:r>
    </w:p>
    <w:p>
      <w:pPr>
        <w:pStyle w:val="ListParagraph"/>
        <w:numPr>
          <w:ilvl w:val="0"/>
          <w:numId w:val="1"/>
        </w:numPr>
        <w:spacing w:after="90" w:line="264"/>
      </w:pPr>
      <w:r>
        <w:t xml:space="preserve">Compression for large payloads.</w:t>
      </w:r>
    </w:p>
    <w:p>
      <w:pPr>
        <w:pStyle w:val="ListParagraph"/>
        <w:numPr>
          <w:ilvl w:val="0"/>
          <w:numId w:val="1"/>
        </w:numPr>
        <w:spacing w:after="90" w:line="264"/>
      </w:pPr>
      <w:r>
        <w:t xml:space="preserve">Connection pooling.</w:t>
      </w:r>
    </w:p>
    <w:p>
      <w:pPr>
        <w:pStyle w:val="ListParagraph"/>
        <w:numPr>
          <w:ilvl w:val="0"/>
          <w:numId w:val="1"/>
        </w:numPr>
        <w:spacing w:after="90" w:line="264"/>
      </w:pPr>
      <w:r>
        <w:t xml:space="preserve">Resource-efficient background processing.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1FB" w:sz="2"/>
              <w:left w:val="single" w:color="2E5395" w:sz="24"/>
              <w:bottom w:val="single" w:color="EAF1FB" w:sz="2"/>
              <w:right w:val="single" w:color="EAF1FB" w:sz="2"/>
            </w:tcBorders>
            <w:shd w:fill="EAF1FB" w:val="clear"/>
            <w:tcMar>
              <w:top w:type="dxa" w:w="120"/>
              <w:left w:type="dxa" w:w="180"/>
              <w:bottom w:type="dxa" w:w="120"/>
              <w:right w:type="dxa" w:w="180"/>
            </w:tcMar>
          </w:tcPr>
          <w:p>
            <w:pPr>
              <w:spacing w:after="60"/>
            </w:pPr>
            <w:r>
              <w:rPr>
                <w:b/>
                <w:bCs/>
                <w:color w:val="2E5395"/>
                <w:sz w:val="17"/>
                <w:szCs w:val="17"/>
              </w:rPr>
              <w:t xml:space="preserve">RECOMMENDATION</w:t>
            </w:r>
          </w:p>
          <w:p>
            <w:pPr>
              <w:spacing w:after="0"/>
            </w:pPr>
            <w:r>
              <w:rPr>
                <w:sz w:val="18"/>
                <w:szCs w:val="18"/>
              </w:rPr>
              <w:t xml:space="preserve">Performance targets shall be validated through load testing.</w:t>
            </w:r>
          </w:p>
        </w:tc>
      </w:tr>
    </w:tbl>
    <w:p>
      <w:pPr>
        <w:pStyle w:val="Heading1"/>
        <w:pBdr>
          <w:bottom w:val="single" w:color="C6D2E0" w:sz="4" w:space="4"/>
        </w:pBdr>
        <w:spacing w:after="140" w:before="360"/>
      </w:pPr>
      <w:r>
        <w:rPr>
          <w:b/>
          <w:bCs/>
          <w:color w:val="4A6FA5"/>
          <w:sz w:val="26"/>
          <w:szCs w:val="26"/>
        </w:rPr>
        <w:t xml:space="preserve">9.14  </w:t>
      </w:r>
      <w:r>
        <w:rPr>
          <w:b/>
          <w:bCs/>
          <w:color w:val="1F3864"/>
          <w:sz w:val="26"/>
          <w:szCs w:val="26"/>
        </w:rPr>
        <w:t xml:space="preserve">Testing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required test categories and minimum code coverage targets.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Provides confidence that changes do not introduce regressions.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Testing is integrated into the CI/CD pipeline, not performed as a separate manual phase.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backend module protected by a comprehensive automated test suite.</w:t>
            </w:r>
          </w:p>
        </w:tc>
      </w:tr>
    </w:tbl>
    <w:p>
      <w:pPr>
        <w:spacing w:after="160"/>
      </w:pPr>
    </w:p>
    <w:p>
      <w:pPr>
        <w:spacing w:after="150" w:line="276"/>
        <w:jc w:val="both"/>
      </w:pPr>
      <w:r>
        <w:t xml:space="preserve">Every backend module shall include:</w:t>
      </w:r>
    </w:p>
    <w:p>
      <w:pPr>
        <w:pStyle w:val="ListParagraph"/>
        <w:numPr>
          <w:ilvl w:val="0"/>
          <w:numId w:val="1"/>
        </w:numPr>
        <w:spacing w:after="90" w:line="264"/>
      </w:pPr>
      <w:r>
        <w:t xml:space="preserve">Unit tests.</w:t>
      </w:r>
    </w:p>
    <w:p>
      <w:pPr>
        <w:pStyle w:val="ListParagraph"/>
        <w:numPr>
          <w:ilvl w:val="0"/>
          <w:numId w:val="1"/>
        </w:numPr>
        <w:spacing w:after="90" w:line="264"/>
      </w:pPr>
      <w:r>
        <w:t xml:space="preserve">Integration tests.</w:t>
      </w:r>
    </w:p>
    <w:p>
      <w:pPr>
        <w:pStyle w:val="ListParagraph"/>
        <w:numPr>
          <w:ilvl w:val="0"/>
          <w:numId w:val="1"/>
        </w:numPr>
        <w:spacing w:after="90" w:line="264"/>
      </w:pPr>
      <w:r>
        <w:t xml:space="preserve">API tests.</w:t>
      </w:r>
    </w:p>
    <w:p>
      <w:pPr>
        <w:pStyle w:val="ListParagraph"/>
        <w:numPr>
          <w:ilvl w:val="0"/>
          <w:numId w:val="1"/>
        </w:numPr>
        <w:spacing w:after="90" w:line="264"/>
      </w:pPr>
      <w:r>
        <w:t xml:space="preserve">Security tests.</w:t>
      </w:r>
    </w:p>
    <w:p>
      <w:pPr>
        <w:pStyle w:val="ListParagraph"/>
        <w:numPr>
          <w:ilvl w:val="0"/>
          <w:numId w:val="1"/>
        </w:numPr>
        <w:spacing w:after="90" w:line="264"/>
      </w:pPr>
      <w:r>
        <w:t xml:space="preserve">Performance tests.</w:t>
      </w:r>
    </w:p>
    <w:p>
      <w:pPr>
        <w:pStyle w:val="ListParagraph"/>
        <w:numPr>
          <w:ilvl w:val="0"/>
          <w:numId w:val="1"/>
        </w:numPr>
        <w:spacing w:after="90" w:line="264"/>
      </w:pPr>
      <w:r>
        <w:t xml:space="preserve">Regression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70"/>
              <w:left w:type="dxa" w:w="110"/>
              <w:bottom w:type="dxa" w:w="70"/>
              <w:right w:type="dxa" w:w="110"/>
            </w:tcMar>
            <w:vAlign w:val="top"/>
          </w:tcPr>
          <w:p>
            <w:r>
              <w:rPr>
                <w:b/>
                <w:bCs/>
                <w:color w:val="FFFFFF"/>
                <w:sz w:val="17"/>
                <w:szCs w:val="17"/>
              </w:rPr>
              <w:t xml:space="preserve">Coverage Target</w:t>
            </w:r>
          </w:p>
        </w:tc>
        <w:tc>
          <w:tcPr>
            <w:tcW w:type="dxa" w:w="5040"/>
            <w:shd w:fill="1F3864" w:val="clear"/>
            <w:tcMar>
              <w:top w:type="dxa" w:w="70"/>
              <w:left w:type="dxa" w:w="110"/>
              <w:bottom w:type="dxa" w:w="70"/>
              <w:right w:type="dxa" w:w="110"/>
            </w:tcMar>
            <w:vAlign w:val="top"/>
          </w:tcPr>
          <w:p>
            <w:r>
              <w:rPr>
                <w:b/>
                <w:bCs/>
                <w:color w:val="FFFFFF"/>
                <w:sz w:val="17"/>
                <w:szCs w:val="17"/>
              </w:rPr>
              <w:t xml:space="preserve">Minimum Threshold</w:t>
            </w:r>
          </w:p>
        </w:tc>
      </w:tr>
      <w:tr>
        <w:tc>
          <w:tcPr>
            <w:tcW w:type="dxa" w:w="5040"/>
            <w:tcMar>
              <w:top w:type="dxa" w:w="70"/>
              <w:left w:type="dxa" w:w="110"/>
              <w:bottom w:type="dxa" w:w="70"/>
              <w:right w:type="dxa" w:w="110"/>
            </w:tcMar>
            <w:vAlign w:val="top"/>
          </w:tcPr>
          <w:p>
            <w:r>
              <w:rPr>
                <w:b/>
                <w:bCs/>
                <w:color w:val="1A1A1A"/>
                <w:sz w:val="17"/>
                <w:szCs w:val="17"/>
              </w:rPr>
              <w:t xml:space="preserve">Overall code coverage</w:t>
            </w:r>
          </w:p>
        </w:tc>
        <w:tc>
          <w:tcPr>
            <w:tcW w:type="dxa" w:w="5040"/>
            <w:tcMar>
              <w:top w:type="dxa" w:w="70"/>
              <w:left w:type="dxa" w:w="110"/>
              <w:bottom w:type="dxa" w:w="70"/>
              <w:right w:type="dxa" w:w="110"/>
            </w:tcMar>
            <w:vAlign w:val="top"/>
          </w:tcPr>
          <w:p>
            <w:r>
              <w:rPr>
                <w:b w:val="false"/>
                <w:bCs w:val="false"/>
                <w:color w:val="1A1A1A"/>
                <w:sz w:val="17"/>
                <w:szCs w:val="17"/>
              </w:rPr>
              <w:t xml:space="preserve">80%</w:t>
            </w:r>
          </w:p>
        </w:tc>
      </w:tr>
      <w:tr>
        <w:tc>
          <w:tcPr>
            <w:tcW w:type="dxa" w:w="5040"/>
            <w:tcMar>
              <w:top w:type="dxa" w:w="70"/>
              <w:left w:type="dxa" w:w="110"/>
              <w:bottom w:type="dxa" w:w="70"/>
              <w:right w:type="dxa" w:w="110"/>
            </w:tcMar>
            <w:vAlign w:val="top"/>
          </w:tcPr>
          <w:p>
            <w:r>
              <w:rPr>
                <w:b/>
                <w:bCs/>
                <w:color w:val="1A1A1A"/>
                <w:sz w:val="17"/>
                <w:szCs w:val="17"/>
              </w:rPr>
              <w:t xml:space="preserve">Critical business logic</w:t>
            </w:r>
          </w:p>
        </w:tc>
        <w:tc>
          <w:tcPr>
            <w:tcW w:type="dxa" w:w="5040"/>
            <w:tcMar>
              <w:top w:type="dxa" w:w="70"/>
              <w:left w:type="dxa" w:w="110"/>
              <w:bottom w:type="dxa" w:w="70"/>
              <w:right w:type="dxa" w:w="110"/>
            </w:tcMar>
            <w:vAlign w:val="top"/>
          </w:tcPr>
          <w:p>
            <w:r>
              <w:rPr>
                <w:b w:val="false"/>
                <w:bCs w:val="false"/>
                <w:color w:val="1A1A1A"/>
                <w:sz w:val="17"/>
                <w:szCs w:val="17"/>
              </w:rPr>
              <w:t xml:space="preserve">90%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Testing shall be integrated into the CI/CD pipeline.</w:t>
            </w:r>
          </w:p>
        </w:tc>
      </w:tr>
    </w:tbl>
    <w:p>
      <w:pPr>
        <w:pStyle w:val="Heading1"/>
        <w:pBdr>
          <w:bottom w:val="single" w:color="C6D2E0" w:sz="4" w:space="4"/>
        </w:pBdr>
        <w:spacing w:after="140" w:before="360"/>
      </w:pPr>
      <w:r>
        <w:rPr>
          <w:b/>
          <w:bCs/>
          <w:color w:val="4A6FA5"/>
          <w:sz w:val="26"/>
          <w:szCs w:val="26"/>
        </w:rPr>
        <w:t xml:space="preserve">9.15  </w:t>
      </w:r>
      <w:r>
        <w:rPr>
          <w:b/>
          <w:bCs/>
          <w:color w:val="1F3864"/>
          <w:sz w:val="26"/>
          <w:szCs w:val="26"/>
        </w:rPr>
        <w:t xml:space="preserve">Documentation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minimum documentation every backend module must provide.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onboarding time and preserves institutional engineering knowledge.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Documentation is version-controlled alongside the source code, not maintained separately.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Documentation that stays synchronized with the code it describes.</w:t>
            </w:r>
          </w:p>
        </w:tc>
      </w:tr>
    </w:tbl>
    <w:p>
      <w:pPr>
        <w:spacing w:after="160"/>
      </w:pPr>
    </w:p>
    <w:p>
      <w:pPr>
        <w:spacing w:after="150" w:line="276"/>
        <w:jc w:val="both"/>
      </w:pPr>
      <w:r>
        <w:t xml:space="preserve">Each backend module shall provide:</w:t>
      </w:r>
    </w:p>
    <w:p>
      <w:pPr>
        <w:pStyle w:val="ListParagraph"/>
        <w:numPr>
          <w:ilvl w:val="0"/>
          <w:numId w:val="1"/>
        </w:numPr>
        <w:spacing w:after="90" w:line="264"/>
      </w:pPr>
      <w:r>
        <w:t xml:space="preserve">Module overview.</w:t>
      </w:r>
    </w:p>
    <w:p>
      <w:pPr>
        <w:pStyle w:val="ListParagraph"/>
        <w:numPr>
          <w:ilvl w:val="0"/>
          <w:numId w:val="1"/>
        </w:numPr>
        <w:spacing w:after="90" w:line="264"/>
      </w:pPr>
      <w:r>
        <w:t xml:space="preserve">API documentation.</w:t>
      </w:r>
    </w:p>
    <w:p>
      <w:pPr>
        <w:pStyle w:val="ListParagraph"/>
        <w:numPr>
          <w:ilvl w:val="0"/>
          <w:numId w:val="1"/>
        </w:numPr>
        <w:spacing w:after="90" w:line="264"/>
      </w:pPr>
      <w:r>
        <w:t xml:space="preserve">Configuration guide.</w:t>
      </w:r>
    </w:p>
    <w:p>
      <w:pPr>
        <w:pStyle w:val="ListParagraph"/>
        <w:numPr>
          <w:ilvl w:val="0"/>
          <w:numId w:val="1"/>
        </w:numPr>
        <w:spacing w:after="90" w:line="264"/>
      </w:pPr>
      <w:r>
        <w:t xml:space="preserve">Environment variables.</w:t>
      </w:r>
    </w:p>
    <w:p>
      <w:pPr>
        <w:pStyle w:val="ListParagraph"/>
        <w:numPr>
          <w:ilvl w:val="0"/>
          <w:numId w:val="1"/>
        </w:numPr>
        <w:spacing w:after="90" w:line="264"/>
      </w:pPr>
      <w:r>
        <w:t xml:space="preserve">Database dependencies.</w:t>
      </w:r>
    </w:p>
    <w:p>
      <w:pPr>
        <w:pStyle w:val="ListParagraph"/>
        <w:numPr>
          <w:ilvl w:val="0"/>
          <w:numId w:val="1"/>
        </w:numPr>
        <w:spacing w:after="90" w:line="264"/>
      </w:pPr>
      <w:r>
        <w:t xml:space="preserve">Sequence diagrams (where useful).</w:t>
      </w:r>
    </w:p>
    <w:p>
      <w:pPr>
        <w:pStyle w:val="ListParagraph"/>
        <w:numPr>
          <w:ilvl w:val="0"/>
          <w:numId w:val="1"/>
        </w:numPr>
        <w:spacing w:after="90" w:line="264"/>
      </w:pPr>
      <w:r>
        <w:t xml:space="preserve">Deployment considerations.</w:t>
      </w:r>
    </w:p>
    <w:p>
      <w:pPr>
        <w:pStyle w:val="ListParagraph"/>
        <w:numPr>
          <w:ilvl w:val="0"/>
          <w:numId w:val="1"/>
        </w:numPr>
        <w:spacing w:after="90" w:line="264"/>
      </w:pPr>
      <w:r>
        <w:t xml:space="preserve">Known limitations.</w:t>
      </w:r>
    </w:p>
    <w:p>
      <w:pPr>
        <w:pStyle w:val="Heading1"/>
        <w:pBdr>
          <w:bottom w:val="single" w:color="C6D2E0" w:sz="4" w:space="4"/>
        </w:pBdr>
        <w:spacing w:after="140" w:before="360"/>
      </w:pPr>
      <w:r>
        <w:rPr>
          <w:b/>
          <w:bCs/>
          <w:color w:val="4A6FA5"/>
          <w:sz w:val="26"/>
          <w:szCs w:val="26"/>
        </w:rPr>
        <w:t xml:space="preserve">9.16  </w:t>
      </w:r>
      <w:r>
        <w:rPr>
          <w:b/>
          <w:bCs/>
          <w:color w:val="1F3864"/>
          <w:sz w:val="26"/>
          <w:szCs w:val="26"/>
        </w:rPr>
        <w:t xml:space="preserve">Configuration Management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how backend configuration is managed across environments.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environment-specific misconfiguration from reaching production.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Configuration is externalized and validated at application startup.</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secure configuration across all four standard environments.</w:t>
            </w:r>
          </w:p>
        </w:tc>
      </w:tr>
    </w:tbl>
    <w:p>
      <w:pPr>
        <w:spacing w:after="160"/>
      </w:pPr>
    </w:p>
    <w:p>
      <w:pPr>
        <w:spacing w:after="150" w:line="276"/>
        <w:jc w:val="both"/>
      </w:pPr>
      <w:r>
        <w:t xml:space="preserve">Configuration shall:</w:t>
      </w:r>
    </w:p>
    <w:p>
      <w:pPr>
        <w:pStyle w:val="ListParagraph"/>
        <w:numPr>
          <w:ilvl w:val="0"/>
          <w:numId w:val="1"/>
        </w:numPr>
        <w:spacing w:after="90" w:line="264"/>
      </w:pPr>
      <w:r>
        <w:t xml:space="preserve">Be externalized.</w:t>
      </w:r>
    </w:p>
    <w:p>
      <w:pPr>
        <w:pStyle w:val="ListParagraph"/>
        <w:numPr>
          <w:ilvl w:val="0"/>
          <w:numId w:val="1"/>
        </w:numPr>
        <w:spacing w:after="90" w:line="264"/>
      </w:pPr>
      <w:r>
        <w:t xml:space="preserve">Support environment-specific values.</w:t>
      </w:r>
    </w:p>
    <w:p>
      <w:pPr>
        <w:pStyle w:val="ListParagraph"/>
        <w:numPr>
          <w:ilvl w:val="0"/>
          <w:numId w:val="1"/>
        </w:numPr>
        <w:spacing w:after="90" w:line="264"/>
      </w:pPr>
      <w:r>
        <w:t xml:space="preserve">Use secure secrets management.</w:t>
      </w:r>
    </w:p>
    <w:p>
      <w:pPr>
        <w:pStyle w:val="ListParagraph"/>
        <w:numPr>
          <w:ilvl w:val="0"/>
          <w:numId w:val="1"/>
        </w:numPr>
        <w:spacing w:after="90" w:line="264"/>
      </w:pPr>
      <w:r>
        <w:t xml:space="preserve">Avoid hard-coded credentials.</w:t>
      </w:r>
    </w:p>
    <w:p>
      <w:pPr>
        <w:pStyle w:val="ListParagraph"/>
        <w:numPr>
          <w:ilvl w:val="0"/>
          <w:numId w:val="1"/>
        </w:numPr>
        <w:spacing w:after="90" w:line="264"/>
      </w:pPr>
      <w:r>
        <w:t xml:space="preserve">Be validated at application startup.</w:t>
      </w:r>
    </w:p>
    <w:p>
      <w:pPr>
        <w:spacing w:after="150" w:line="276"/>
        <w:jc w:val="both"/>
      </w:pPr>
      <w:r>
        <w:t xml:space="preserve">Typical environments:</w:t>
      </w:r>
    </w:p>
    <w:p>
      <w:pPr>
        <w:pStyle w:val="ListParagraph"/>
        <w:numPr>
          <w:ilvl w:val="0"/>
          <w:numId w:val="1"/>
        </w:numPr>
        <w:spacing w:after="90" w:line="264"/>
      </w:pPr>
      <w:r>
        <w:t xml:space="preserve">Development.</w:t>
      </w:r>
    </w:p>
    <w:p>
      <w:pPr>
        <w:pStyle w:val="ListParagraph"/>
        <w:numPr>
          <w:ilvl w:val="0"/>
          <w:numId w:val="1"/>
        </w:numPr>
        <w:spacing w:after="90" w:line="264"/>
      </w:pPr>
      <w:r>
        <w:t xml:space="preserve">Testing.</w:t>
      </w:r>
    </w:p>
    <w:p>
      <w:pPr>
        <w:pStyle w:val="ListParagraph"/>
        <w:numPr>
          <w:ilvl w:val="0"/>
          <w:numId w:val="1"/>
        </w:numPr>
        <w:spacing w:after="90" w:line="264"/>
      </w:pPr>
      <w:r>
        <w:t xml:space="preserve">Staging.</w:t>
      </w:r>
    </w:p>
    <w:p>
      <w:pPr>
        <w:pStyle w:val="ListParagraph"/>
        <w:numPr>
          <w:ilvl w:val="0"/>
          <w:numId w:val="1"/>
        </w:numPr>
        <w:spacing w:after="90" w:line="264"/>
      </w:pPr>
      <w:r>
        <w:t xml:space="preserve">Production.</w:t>
      </w:r>
    </w:p>
    <w:p>
      <w:pPr>
        <w:pStyle w:val="Heading1"/>
        <w:pBdr>
          <w:bottom w:val="single" w:color="C6D2E0" w:sz="4" w:space="4"/>
        </w:pBdr>
        <w:spacing w:after="140" w:before="360"/>
      </w:pPr>
      <w:r>
        <w:rPr>
          <w:b/>
          <w:bCs/>
          <w:color w:val="4A6FA5"/>
          <w:sz w:val="26"/>
          <w:szCs w:val="26"/>
        </w:rPr>
        <w:t xml:space="preserve">9.17  </w:t>
      </w:r>
      <w:r>
        <w:rPr>
          <w:b/>
          <w:bCs/>
          <w:color w:val="1F3864"/>
          <w:sz w:val="26"/>
          <w:szCs w:val="26"/>
        </w:rPr>
        <w:t xml:space="preserve">Observability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every backend service must expose for operational monitoring.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proactive detection of service degradation before it affects users.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Health, readiness, and liveness endpoints are mandatory, not optional.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Real-time visibility into the health of every backend service.</w:t>
            </w:r>
          </w:p>
        </w:tc>
      </w:tr>
    </w:tbl>
    <w:p>
      <w:pPr>
        <w:spacing w:after="160"/>
      </w:pPr>
    </w:p>
    <w:p>
      <w:pPr>
        <w:spacing w:after="150" w:line="276"/>
        <w:jc w:val="both"/>
      </w:pPr>
      <w:r>
        <w:t xml:space="preserve">Every backend service shall expose:</w:t>
      </w:r>
    </w:p>
    <w:p>
      <w:pPr>
        <w:pStyle w:val="ListParagraph"/>
        <w:numPr>
          <w:ilvl w:val="0"/>
          <w:numId w:val="1"/>
        </w:numPr>
        <w:spacing w:after="90" w:line="264"/>
      </w:pPr>
      <w:r>
        <w:t xml:space="preserve">Health endpoints.</w:t>
      </w:r>
    </w:p>
    <w:p>
      <w:pPr>
        <w:pStyle w:val="ListParagraph"/>
        <w:numPr>
          <w:ilvl w:val="0"/>
          <w:numId w:val="1"/>
        </w:numPr>
        <w:spacing w:after="90" w:line="264"/>
      </w:pPr>
      <w:r>
        <w:t xml:space="preserve">Readiness checks.</w:t>
      </w:r>
    </w:p>
    <w:p>
      <w:pPr>
        <w:pStyle w:val="ListParagraph"/>
        <w:numPr>
          <w:ilvl w:val="0"/>
          <w:numId w:val="1"/>
        </w:numPr>
        <w:spacing w:after="90" w:line="264"/>
      </w:pPr>
      <w:r>
        <w:t xml:space="preserve">Liveness checks.</w:t>
      </w:r>
    </w:p>
    <w:p>
      <w:pPr>
        <w:pStyle w:val="ListParagraph"/>
        <w:numPr>
          <w:ilvl w:val="0"/>
          <w:numId w:val="1"/>
        </w:numPr>
        <w:spacing w:after="90" w:line="264"/>
      </w:pPr>
      <w:r>
        <w:t xml:space="preserve">Metrics endpoints.</w:t>
      </w:r>
    </w:p>
    <w:p>
      <w:pPr>
        <w:pStyle w:val="ListParagraph"/>
        <w:numPr>
          <w:ilvl w:val="0"/>
          <w:numId w:val="1"/>
        </w:numPr>
        <w:spacing w:after="90" w:line="264"/>
      </w:pPr>
      <w:r>
        <w:t xml:space="preserve">Structured logs.</w:t>
      </w:r>
    </w:p>
    <w:p>
      <w:pPr>
        <w:pStyle w:val="ListParagraph"/>
        <w:numPr>
          <w:ilvl w:val="0"/>
          <w:numId w:val="1"/>
        </w:numPr>
        <w:spacing w:after="90" w:line="264"/>
      </w:pPr>
      <w:r>
        <w:t xml:space="preserve">Distributed tracing (where applicable).</w:t>
      </w:r>
    </w:p>
    <w:p>
      <w:pPr>
        <w:pStyle w:val="ListParagraph"/>
        <w:numPr>
          <w:ilvl w:val="0"/>
          <w:numId w:val="1"/>
        </w:numPr>
        <w:spacing w:after="90" w:line="264"/>
      </w:pPr>
      <w:r>
        <w:t xml:space="preserve">Audit events.</w:t>
      </w:r>
    </w:p>
    <w:p>
      <w:pPr>
        <w:spacing w:after="150" w:line="276"/>
        <w:jc w:val="both"/>
      </w:pPr>
      <w:r>
        <w:t xml:space="preserve">Operational dashboards shall be capable of monitoring service health in real time.</w:t>
      </w:r>
    </w:p>
    <w:p>
      <w:pPr>
        <w:pStyle w:val="Heading1"/>
        <w:pBdr>
          <w:bottom w:val="single" w:color="C6D2E0" w:sz="4" w:space="4"/>
        </w:pBdr>
        <w:spacing w:after="140" w:before="360"/>
      </w:pPr>
      <w:r>
        <w:rPr>
          <w:b/>
          <w:bCs/>
          <w:color w:val="4A6FA5"/>
          <w:sz w:val="26"/>
          <w:szCs w:val="26"/>
        </w:rPr>
        <w:t xml:space="preserve">9.18  </w:t>
      </w:r>
      <w:r>
        <w:rPr>
          <w:b/>
          <w:bCs/>
          <w:color w:val="1F3864"/>
          <w:sz w:val="26"/>
          <w:szCs w:val="26"/>
        </w:rPr>
        <w:t xml:space="preserve">DevSecOps Integration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automated checks integrated into the backend CI/CD pipeline.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Catches security and quality issues before they reach production.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Detailed further in Chapter 15 — DevSecOps and Infrastructure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backend change reaches production without automated verification.</w:t>
            </w:r>
          </w:p>
        </w:tc>
      </w:tr>
    </w:tbl>
    <w:p>
      <w:pPr>
        <w:spacing w:after="160"/>
      </w:pPr>
    </w:p>
    <w:p>
      <w:pPr>
        <w:spacing w:after="150" w:line="276"/>
        <w:jc w:val="both"/>
      </w:pPr>
      <w:r>
        <w:t xml:space="preserve">The backend engineering workflow shall integrate with CI/CD to perform:</w:t>
      </w:r>
    </w:p>
    <w:p>
      <w:pPr>
        <w:pStyle w:val="ListParagraph"/>
        <w:numPr>
          <w:ilvl w:val="0"/>
          <w:numId w:val="1"/>
        </w:numPr>
        <w:spacing w:after="90" w:line="264"/>
      </w:pPr>
      <w:r>
        <w:t xml:space="preserve">Dependency vulnerability scanning.</w:t>
      </w:r>
    </w:p>
    <w:p>
      <w:pPr>
        <w:pStyle w:val="ListParagraph"/>
        <w:numPr>
          <w:ilvl w:val="0"/>
          <w:numId w:val="1"/>
        </w:numPr>
        <w:spacing w:after="90" w:line="264"/>
      </w:pPr>
      <w:r>
        <w:t xml:space="preserve">Static code analysis.</w:t>
      </w:r>
    </w:p>
    <w:p>
      <w:pPr>
        <w:pStyle w:val="ListParagraph"/>
        <w:numPr>
          <w:ilvl w:val="0"/>
          <w:numId w:val="1"/>
        </w:numPr>
        <w:spacing w:after="90" w:line="264"/>
      </w:pPr>
      <w:r>
        <w:t xml:space="preserve">Unit and integration testing.</w:t>
      </w:r>
    </w:p>
    <w:p>
      <w:pPr>
        <w:pStyle w:val="ListParagraph"/>
        <w:numPr>
          <w:ilvl w:val="0"/>
          <w:numId w:val="1"/>
        </w:numPr>
        <w:spacing w:after="90" w:line="264"/>
      </w:pPr>
      <w:r>
        <w:t xml:space="preserve">Build verification.</w:t>
      </w:r>
    </w:p>
    <w:p>
      <w:pPr>
        <w:pStyle w:val="ListParagraph"/>
        <w:numPr>
          <w:ilvl w:val="0"/>
          <w:numId w:val="1"/>
        </w:numPr>
        <w:spacing w:after="90" w:line="264"/>
      </w:pPr>
      <w:r>
        <w:t xml:space="preserve">Container image scanning.</w:t>
      </w:r>
    </w:p>
    <w:p>
      <w:pPr>
        <w:pStyle w:val="ListParagraph"/>
        <w:numPr>
          <w:ilvl w:val="0"/>
          <w:numId w:val="1"/>
        </w:numPr>
        <w:spacing w:after="90" w:line="264"/>
      </w:pPr>
      <w:r>
        <w:t xml:space="preserve">Infrastructure validation.</w:t>
      </w:r>
    </w:p>
    <w:p>
      <w:pPr>
        <w:pStyle w:val="ListParagraph"/>
        <w:numPr>
          <w:ilvl w:val="0"/>
          <w:numId w:val="1"/>
        </w:numPr>
        <w:spacing w:after="90" w:line="264"/>
      </w:pPr>
      <w:r>
        <w:t xml:space="preserve">Automated deployment to non-production environments.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Production releases shall require approval through the project's governance process.</w:t>
            </w:r>
          </w:p>
        </w:tc>
      </w:tr>
    </w:tbl>
    <w:p>
      <w:pPr>
        <w:pStyle w:val="Heading1"/>
        <w:pBdr>
          <w:bottom w:val="single" w:color="C6D2E0" w:sz="4" w:space="4"/>
        </w:pBdr>
        <w:spacing w:after="140" w:before="360"/>
      </w:pPr>
      <w:r>
        <w:rPr>
          <w:b/>
          <w:bCs/>
          <w:color w:val="4A6FA5"/>
          <w:sz w:val="26"/>
          <w:szCs w:val="26"/>
        </w:rPr>
        <w:t xml:space="preserve">9.19  </w:t>
      </w:r>
      <w:r>
        <w:rPr>
          <w:b/>
          <w:bCs/>
          <w:color w:val="1F3864"/>
          <w:sz w:val="26"/>
          <w:szCs w:val="26"/>
        </w:rPr>
        <w:t xml:space="preserve">Backend Code Review Checklist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every backend Pull Request must be checked against.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Catches architecture, security, and quality issues before merge.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Applied in conjunction with Chapter 18 — Code Review and Pull Request Policy.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review rigor across every backend contribution.</w:t>
            </w:r>
          </w:p>
        </w:tc>
      </w:tr>
    </w:tbl>
    <w:p>
      <w:pPr>
        <w:spacing w:after="160"/>
      </w:pPr>
    </w:p>
    <w:p>
      <w:pPr>
        <w:spacing w:after="150" w:line="276"/>
        <w:jc w:val="both"/>
      </w:pPr>
      <w:r>
        <w:t xml:space="preserve">Every pull request shall verify:</w:t>
      </w:r>
    </w:p>
    <w:p>
      <w:pPr>
        <w:pStyle w:val="ListParagraph"/>
        <w:numPr>
          <w:ilvl w:val="0"/>
          <w:numId w:val="1"/>
        </w:numPr>
        <w:spacing w:after="90" w:line="264"/>
      </w:pPr>
      <w:r>
        <w:t xml:space="preserve">Alignment with business requirements.</w:t>
      </w:r>
    </w:p>
    <w:p>
      <w:pPr>
        <w:pStyle w:val="ListParagraph"/>
        <w:numPr>
          <w:ilvl w:val="0"/>
          <w:numId w:val="1"/>
        </w:numPr>
        <w:spacing w:after="90" w:line="264"/>
      </w:pPr>
      <w:r>
        <w:t xml:space="preserve">Compliance with architecture.</w:t>
      </w:r>
    </w:p>
    <w:p>
      <w:pPr>
        <w:pStyle w:val="ListParagraph"/>
        <w:numPr>
          <w:ilvl w:val="0"/>
          <w:numId w:val="1"/>
        </w:numPr>
        <w:spacing w:after="90" w:line="264"/>
      </w:pPr>
      <w:r>
        <w:t xml:space="preserve">Coding standards.</w:t>
      </w:r>
    </w:p>
    <w:p>
      <w:pPr>
        <w:pStyle w:val="ListParagraph"/>
        <w:numPr>
          <w:ilvl w:val="0"/>
          <w:numId w:val="1"/>
        </w:numPr>
        <w:spacing w:after="90" w:line="264"/>
      </w:pPr>
      <w:r>
        <w:t xml:space="preserve">Security controls.</w:t>
      </w:r>
    </w:p>
    <w:p>
      <w:pPr>
        <w:pStyle w:val="ListParagraph"/>
        <w:numPr>
          <w:ilvl w:val="0"/>
          <w:numId w:val="1"/>
        </w:numPr>
        <w:spacing w:after="90" w:line="264"/>
      </w:pPr>
      <w:r>
        <w:t xml:space="preserve">Test coverage.</w:t>
      </w:r>
    </w:p>
    <w:p>
      <w:pPr>
        <w:pStyle w:val="ListParagraph"/>
        <w:numPr>
          <w:ilvl w:val="0"/>
          <w:numId w:val="1"/>
        </w:numPr>
        <w:spacing w:after="90" w:line="264"/>
      </w:pPr>
      <w:r>
        <w:t xml:space="preserve">API documentation updates.</w:t>
      </w:r>
    </w:p>
    <w:p>
      <w:pPr>
        <w:pStyle w:val="ListParagraph"/>
        <w:numPr>
          <w:ilvl w:val="0"/>
          <w:numId w:val="1"/>
        </w:numPr>
        <w:spacing w:after="90" w:line="264"/>
      </w:pPr>
      <w:r>
        <w:t xml:space="preserve">Database migration review.</w:t>
      </w:r>
    </w:p>
    <w:p>
      <w:pPr>
        <w:pStyle w:val="ListParagraph"/>
        <w:numPr>
          <w:ilvl w:val="0"/>
          <w:numId w:val="1"/>
        </w:numPr>
        <w:spacing w:after="90" w:line="264"/>
      </w:pPr>
      <w:r>
        <w:t xml:space="preserve">Performance considerations.</w:t>
      </w:r>
    </w:p>
    <w:p>
      <w:pPr>
        <w:pStyle w:val="ListParagraph"/>
        <w:numPr>
          <w:ilvl w:val="0"/>
          <w:numId w:val="1"/>
        </w:numPr>
        <w:spacing w:after="90" w:line="264"/>
      </w:pPr>
      <w:r>
        <w:t xml:space="preserve">Logging and observability.</w:t>
      </w:r>
    </w:p>
    <w:p>
      <w:pPr>
        <w:pStyle w:val="ListParagraph"/>
        <w:numPr>
          <w:ilvl w:val="0"/>
          <w:numId w:val="1"/>
        </w:numPr>
        <w:spacing w:after="90" w:line="264"/>
      </w:pPr>
      <w:r>
        <w:t xml:space="preserve">Backward compatibility.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No backend code shall be merged without successful automated checks and peer review.</w:t>
            </w:r>
          </w:p>
        </w:tc>
      </w:tr>
    </w:tbl>
    <w:p>
      <w:pPr>
        <w:pStyle w:val="Heading1"/>
        <w:pBdr>
          <w:bottom w:val="single" w:color="C6D2E0" w:sz="4" w:space="4"/>
        </w:pBdr>
        <w:spacing w:after="140" w:before="360"/>
      </w:pPr>
      <w:r>
        <w:rPr>
          <w:b/>
          <w:bCs/>
          <w:color w:val="4A6FA5"/>
          <w:sz w:val="26"/>
          <w:szCs w:val="26"/>
        </w:rPr>
        <w:t xml:space="preserve">9.20  </w:t>
      </w:r>
      <w:r>
        <w:rPr>
          <w:b/>
          <w:bCs/>
          <w:color w:val="1F3864"/>
          <w:sz w:val="26"/>
          <w:szCs w:val="26"/>
        </w:rPr>
        <w:t xml:space="preserve">Antigravity Backend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generates backend artifacts.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AI-generated backend code follows the same standards as human-authored code.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generated component maintains synchronization between code, database schema, API contracts, and documentation.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Production-ready backend artifacts on first generation.</w:t>
            </w:r>
          </w:p>
        </w:tc>
      </w:tr>
    </w:tbl>
    <w:p>
      <w:pPr>
        <w:spacing w:after="160"/>
      </w:pPr>
    </w:p>
    <w:p>
      <w:pPr>
        <w:spacing w:after="150" w:line="276"/>
        <w:jc w:val="both"/>
      </w:pPr>
      <w:r>
        <w:t xml:space="preserve">When generating backend artifacts, Antigravity shall:</w:t>
      </w:r>
    </w:p>
    <w:p>
      <w:pPr>
        <w:spacing w:after="90" w:line="264"/>
      </w:pPr>
      <w:r>
        <w:rPr>
          <w:b/>
          <w:bCs/>
          <w:color w:val="1F3864"/>
        </w:rPr>
        <w:t xml:space="preserve">1. </w:t>
      </w:r>
      <w:r>
        <w:t xml:space="preserve">Follow the approved layered architecture.</w:t>
      </w:r>
    </w:p>
    <w:p>
      <w:pPr>
        <w:spacing w:after="90" w:line="264"/>
      </w:pPr>
      <w:r>
        <w:rPr>
          <w:b/>
          <w:bCs/>
          <w:color w:val="1F3864"/>
        </w:rPr>
        <w:t xml:space="preserve">2. </w:t>
      </w:r>
      <w:r>
        <w:t xml:space="preserve">Generate modular, reusable services.</w:t>
      </w:r>
    </w:p>
    <w:p>
      <w:pPr>
        <w:spacing w:after="90" w:line="264"/>
      </w:pPr>
      <w:r>
        <w:rPr>
          <w:b/>
          <w:bCs/>
          <w:color w:val="1F3864"/>
        </w:rPr>
        <w:t xml:space="preserve">3. </w:t>
      </w:r>
      <w:r>
        <w:t xml:space="preserve">Keep controllers thin and business logic within services.</w:t>
      </w:r>
    </w:p>
    <w:p>
      <w:pPr>
        <w:spacing w:after="90" w:line="264"/>
      </w:pPr>
      <w:r>
        <w:rPr>
          <w:b/>
          <w:bCs/>
          <w:color w:val="1F3864"/>
        </w:rPr>
        <w:t xml:space="preserve">4. </w:t>
      </w:r>
      <w:r>
        <w:t xml:space="preserve">Use repositories for all persistence operations.</w:t>
      </w:r>
    </w:p>
    <w:p>
      <w:pPr>
        <w:spacing w:after="90" w:line="264"/>
      </w:pPr>
      <w:r>
        <w:rPr>
          <w:b/>
          <w:bCs/>
          <w:color w:val="1F3864"/>
        </w:rPr>
        <w:t xml:space="preserve">5. </w:t>
      </w:r>
      <w:r>
        <w:t xml:space="preserve">Produce OpenAPI documentation alongside APIs.</w:t>
      </w:r>
    </w:p>
    <w:p>
      <w:pPr>
        <w:spacing w:after="90" w:line="264"/>
      </w:pPr>
      <w:r>
        <w:rPr>
          <w:b/>
          <w:bCs/>
          <w:color w:val="1F3864"/>
        </w:rPr>
        <w:t xml:space="preserve">6. </w:t>
      </w:r>
      <w:r>
        <w:t xml:space="preserve">Generate migration scripts for schema changes.</w:t>
      </w:r>
    </w:p>
    <w:p>
      <w:pPr>
        <w:spacing w:after="90" w:line="264"/>
      </w:pPr>
      <w:r>
        <w:rPr>
          <w:b/>
          <w:bCs/>
          <w:color w:val="1F3864"/>
        </w:rPr>
        <w:t xml:space="preserve">7. </w:t>
      </w:r>
      <w:r>
        <w:t xml:space="preserve">Include unit and integration tests with each feature.</w:t>
      </w:r>
    </w:p>
    <w:p>
      <w:pPr>
        <w:spacing w:after="90" w:line="264"/>
      </w:pPr>
      <w:r>
        <w:rPr>
          <w:b/>
          <w:bCs/>
          <w:color w:val="1F3864"/>
        </w:rPr>
        <w:t xml:space="preserve">8. </w:t>
      </w:r>
      <w:r>
        <w:t xml:space="preserve">Add structured logging and error handling by default.</w:t>
      </w:r>
    </w:p>
    <w:p>
      <w:pPr>
        <w:spacing w:after="90" w:line="264"/>
      </w:pPr>
      <w:r>
        <w:rPr>
          <w:b/>
          <w:bCs/>
          <w:color w:val="1F3864"/>
        </w:rPr>
        <w:t xml:space="preserve">9. </w:t>
      </w:r>
      <w:r>
        <w:t xml:space="preserve">Ensure security controls are applied consistently.</w:t>
      </w:r>
    </w:p>
    <w:p>
      <w:pPr>
        <w:spacing w:after="90" w:line="264"/>
      </w:pPr>
      <w:r>
        <w:rPr>
          <w:b/>
          <w:bCs/>
          <w:color w:val="1F3864"/>
        </w:rPr>
        <w:t xml:space="preserve">10. </w:t>
      </w:r>
      <w:r>
        <w:t xml:space="preserve">Maintain synchronization between code, database schema, API contracts, and documentation.</w:t>
      </w:r>
    </w:p>
    <w:p>
      <w:pPr>
        <w:pStyle w:val="Heading1"/>
        <w:pBdr>
          <w:bottom w:val="single" w:color="C6D2E0" w:sz="4" w:space="4"/>
        </w:pBdr>
        <w:spacing w:after="140" w:before="360"/>
      </w:pPr>
      <w:r>
        <w:rPr>
          <w:b/>
          <w:bCs/>
          <w:color w:val="4A6FA5"/>
          <w:sz w:val="26"/>
          <w:szCs w:val="26"/>
        </w:rPr>
        <w:t xml:space="preserve">9.21  </w:t>
      </w:r>
      <w:r>
        <w:rPr>
          <w:b/>
          <w:bCs/>
          <w:color w:val="1F3864"/>
          <w:sz w:val="26"/>
          <w:szCs w:val="26"/>
        </w:rPr>
        <w:t xml:space="preserve">Backend 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backend engineering effort.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backend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backend is the platform's core execution engine and is engineered accordingly.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backend that supports future enhancement without significant architectural refactoring.</w:t>
            </w:r>
          </w:p>
        </w:tc>
      </w:tr>
    </w:tbl>
    <w:p>
      <w:pPr>
        <w:spacing w:after="160"/>
      </w:pPr>
    </w:p>
    <w:p>
      <w:pPr>
        <w:spacing w:after="150" w:line="276"/>
        <w:jc w:val="both"/>
      </w:pPr>
      <w:r>
        <w:t xml:space="preserve">The backend engineering effort will be considered successful when:</w:t>
      </w:r>
    </w:p>
    <w:p>
      <w:pPr>
        <w:pStyle w:val="ListParagraph"/>
        <w:numPr>
          <w:ilvl w:val="0"/>
          <w:numId w:val="1"/>
        </w:numPr>
        <w:spacing w:after="90" w:line="264"/>
      </w:pPr>
      <w:r>
        <w:t xml:space="preserve">Services are modular, maintainable, and independently testable.</w:t>
      </w:r>
    </w:p>
    <w:p>
      <w:pPr>
        <w:pStyle w:val="ListParagraph"/>
        <w:numPr>
          <w:ilvl w:val="0"/>
          <w:numId w:val="1"/>
        </w:numPr>
        <w:spacing w:after="90" w:line="264"/>
      </w:pPr>
      <w:r>
        <w:t xml:space="preserve">All APIs conform to the approved standards and are fully documented.</w:t>
      </w:r>
    </w:p>
    <w:p>
      <w:pPr>
        <w:pStyle w:val="ListParagraph"/>
        <w:numPr>
          <w:ilvl w:val="0"/>
          <w:numId w:val="1"/>
        </w:numPr>
        <w:spacing w:after="90" w:line="264"/>
      </w:pPr>
      <w:r>
        <w:t xml:space="preserve">Security controls are consistently implemented across all services.</w:t>
      </w:r>
    </w:p>
    <w:p>
      <w:pPr>
        <w:pStyle w:val="ListParagraph"/>
        <w:numPr>
          <w:ilvl w:val="0"/>
          <w:numId w:val="1"/>
        </w:numPr>
        <w:spacing w:after="90" w:line="264"/>
      </w:pPr>
      <w:r>
        <w:t xml:space="preserve">Performance targets are achieved under expected workloads.</w:t>
      </w:r>
    </w:p>
    <w:p>
      <w:pPr>
        <w:pStyle w:val="ListParagraph"/>
        <w:numPr>
          <w:ilvl w:val="0"/>
          <w:numId w:val="1"/>
        </w:numPr>
        <w:spacing w:after="90" w:line="264"/>
      </w:pPr>
      <w:r>
        <w:t xml:space="preserve">Automated tests provide confidence in functionality and regression protection.</w:t>
      </w:r>
    </w:p>
    <w:p>
      <w:pPr>
        <w:pStyle w:val="ListParagraph"/>
        <w:numPr>
          <w:ilvl w:val="0"/>
          <w:numId w:val="1"/>
        </w:numPr>
        <w:spacing w:after="90" w:line="264"/>
      </w:pPr>
      <w:r>
        <w:t xml:space="preserve">Operational monitoring enables rapid detection and resolution of issues.</w:t>
      </w:r>
    </w:p>
    <w:p>
      <w:pPr>
        <w:pStyle w:val="ListParagraph"/>
        <w:numPr>
          <w:ilvl w:val="0"/>
          <w:numId w:val="1"/>
        </w:numPr>
        <w:spacing w:after="90" w:line="264"/>
      </w:pPr>
      <w:r>
        <w:t xml:space="preserve">Documentation remains current and aligned with the implementation.</w:t>
      </w:r>
    </w:p>
    <w:p>
      <w:pPr>
        <w:pStyle w:val="ListParagraph"/>
        <w:numPr>
          <w:ilvl w:val="0"/>
          <w:numId w:val="1"/>
        </w:numPr>
        <w:spacing w:after="90" w:line="264"/>
      </w:pPr>
      <w:r>
        <w:t xml:space="preserve">The backend platform supports future enhancements without significant architectural refactoring.</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The backend of the SAPZ ESM and CKR platforms is the core execution engine of the solution. It must be engineered to enterprise standards that prioritize correctness, security, reliability, and long-term sustainability. Every service, API, and data interaction shall reinforce the platform's role as a trusted national digital asset, capable of supporting mission-critical programme operations for years to come.</w:t>
            </w:r>
          </w:p>
        </w:tc>
      </w:tr>
    </w:tbl>
    <w:p>
      <w:pPr>
        <w:pStyle w:val="Heading1"/>
        <w:pBdr>
          <w:bottom w:val="single" w:color="C6D2E0" w:sz="4" w:space="4"/>
        </w:pBdr>
        <w:spacing w:after="140" w:before="360"/>
      </w:pPr>
      <w:r>
        <w:rPr>
          <w:b/>
          <w:bCs/>
          <w:color w:val="4A6FA5"/>
          <w:sz w:val="26"/>
          <w:szCs w:val="26"/>
        </w:rPr>
        <w:t xml:space="preserve">9.22  </w:t>
      </w:r>
      <w:r>
        <w:rPr>
          <w:b/>
          <w:bCs/>
          <w:color w:val="1F3864"/>
          <w:sz w:val="26"/>
          <w:szCs w:val="26"/>
        </w:rPr>
        <w:t xml:space="preserve">Chapter Summary</w:t>
      </w:r>
    </w:p>
    <w:p>
      <w:pPr>
        <w:spacing w:after="150" w:line="276"/>
        <w:jc w:val="both"/>
      </w:pPr>
      <w:r>
        <w:t xml:space="preserve">This chapter established the standards governing every backend service: eight architecture principles, the mandatory layered architecture and module structure, coding, API, validation, error handling, security, database access, asynchronous processing, logging, performance, and testing standards, documentation, configuration, observability, and DevSecOps integration, the Backend Code Review Checklist, and the Antigravity Backend Instructions.</w:t>
      </w:r>
    </w:p>
    <w:p>
      <w:pPr>
        <w:pStyle w:val="Heading2"/>
        <w:spacing w:after="110" w:before="260"/>
      </w:pPr>
      <w:r>
        <w:rPr>
          <w:b/>
          <w:bCs/>
          <w:color w:val="4A6FA5"/>
          <w:sz w:val="21"/>
          <w:szCs w:val="21"/>
        </w:rPr>
        <w:t xml:space="preserve">9.22.1  </w:t>
      </w:r>
      <w:r>
        <w:rPr>
          <w:b/>
          <w:bCs/>
          <w:color w:val="1F3864"/>
          <w:sz w:val="21"/>
          <w:szCs w:val="21"/>
        </w:rPr>
        <w:t xml:space="preserve">Key Engineering Principles</w:t>
      </w:r>
    </w:p>
    <w:p>
      <w:pPr>
        <w:pStyle w:val="ListParagraph"/>
        <w:numPr>
          <w:ilvl w:val="0"/>
          <w:numId w:val="1"/>
        </w:numPr>
        <w:spacing w:after="90" w:line="264"/>
      </w:pPr>
      <w:r>
        <w:t xml:space="preserve">Business logic never resides in controllers or repositories (Section 9.3).</w:t>
      </w:r>
    </w:p>
    <w:p>
      <w:pPr>
        <w:pStyle w:val="ListParagraph"/>
        <w:numPr>
          <w:ilvl w:val="0"/>
          <w:numId w:val="1"/>
        </w:numPr>
        <w:spacing w:after="90" w:line="264"/>
      </w:pPr>
      <w:r>
        <w:t xml:space="preserve">All external input is validated without exposing internal implementation details (Section 9.7).</w:t>
      </w:r>
    </w:p>
    <w:p>
      <w:pPr>
        <w:pStyle w:val="ListParagraph"/>
        <w:numPr>
          <w:ilvl w:val="0"/>
          <w:numId w:val="1"/>
        </w:numPr>
        <w:spacing w:after="90" w:line="264"/>
      </w:pPr>
      <w:r>
        <w:t xml:space="preserve">Minimum code coverage is 80% overall and 90% for critical business logic (Section 9.14).</w:t>
      </w:r>
    </w:p>
    <w:p>
      <w:pPr>
        <w:pStyle w:val="ListParagraph"/>
        <w:numPr>
          <w:ilvl w:val="0"/>
          <w:numId w:val="1"/>
        </w:numPr>
        <w:spacing w:after="90" w:line="264"/>
      </w:pPr>
      <w:r>
        <w:t xml:space="preserve">No backend code merges without successful automated checks and peer review (Section 9.19).</w:t>
      </w:r>
    </w:p>
    <w:p>
      <w:pPr>
        <w:pStyle w:val="Heading2"/>
        <w:spacing w:after="110" w:before="260"/>
      </w:pPr>
      <w:r>
        <w:rPr>
          <w:b/>
          <w:bCs/>
          <w:color w:val="4A6FA5"/>
          <w:sz w:val="21"/>
          <w:szCs w:val="21"/>
        </w:rPr>
        <w:t xml:space="preserve">9.22.2  </w:t>
      </w:r>
      <w:r>
        <w:rPr>
          <w:b/>
          <w:bCs/>
          <w:color w:val="1F3864"/>
          <w:sz w:val="21"/>
          <w:szCs w:val="21"/>
        </w:rPr>
        <w:t xml:space="preserve">Implementation Checklist</w:t>
      </w:r>
    </w:p>
    <w:p>
      <w:pPr>
        <w:pStyle w:val="ListParagraph"/>
        <w:numPr>
          <w:ilvl w:val="0"/>
          <w:numId w:val="1"/>
        </w:numPr>
        <w:spacing w:after="90" w:line="264"/>
      </w:pPr>
      <w:r>
        <w:t xml:space="preserve">☐ Confirm every backend module follows the layered architecture and module structure (Sections 9.3, 9.4).</w:t>
      </w:r>
    </w:p>
    <w:p>
      <w:pPr>
        <w:pStyle w:val="ListParagraph"/>
        <w:numPr>
          <w:ilvl w:val="0"/>
          <w:numId w:val="1"/>
        </w:numPr>
        <w:spacing w:after="90" w:line="264"/>
      </w:pPr>
      <w:r>
        <w:t xml:space="preserve">☐ Confirm the standard API response envelope (Section 9.6) is implemented consistently.</w:t>
      </w:r>
    </w:p>
    <w:p>
      <w:pPr>
        <w:pStyle w:val="ListParagraph"/>
        <w:numPr>
          <w:ilvl w:val="0"/>
          <w:numId w:val="1"/>
        </w:numPr>
        <w:spacing w:after="90" w:line="264"/>
      </w:pPr>
      <w:r>
        <w:t xml:space="preserve">☐ Confirm centralized exception handling (Section 9.8) is in place across all services.</w:t>
      </w:r>
    </w:p>
    <w:p>
      <w:pPr>
        <w:pStyle w:val="ListParagraph"/>
        <w:numPr>
          <w:ilvl w:val="0"/>
          <w:numId w:val="1"/>
        </w:numPr>
        <w:spacing w:after="90" w:line="264"/>
      </w:pPr>
      <w:r>
        <w:t xml:space="preserve">☐ Confirm the Backend Code Review Checklist (Section 9.19) is embedded in the Pull Request template.</w:t>
      </w:r>
    </w:p>
    <w:p>
      <w:pPr>
        <w:pStyle w:val="Heading2"/>
        <w:spacing w:after="110" w:before="260"/>
      </w:pPr>
      <w:r>
        <w:rPr>
          <w:b/>
          <w:bCs/>
          <w:color w:val="4A6FA5"/>
          <w:sz w:val="21"/>
          <w:szCs w:val="21"/>
        </w:rPr>
        <w:t xml:space="preserve">9.22.3  </w:t>
      </w:r>
      <w:r>
        <w:rPr>
          <w:b/>
          <w:bCs/>
          <w:color w:val="1F3864"/>
          <w:sz w:val="21"/>
          <w:szCs w:val="21"/>
        </w:rPr>
        <w:t xml:space="preserve">Related Chapters</w:t>
      </w:r>
    </w:p>
    <w:p>
      <w:pPr>
        <w:pStyle w:val="ListParagraph"/>
        <w:numPr>
          <w:ilvl w:val="0"/>
          <w:numId w:val="1"/>
        </w:numPr>
        <w:spacing w:after="90" w:line="264"/>
      </w:pPr>
      <w:r>
        <w:t xml:space="preserve">Chapter 7 — Technology Stack Standards</w:t>
      </w:r>
    </w:p>
    <w:p>
      <w:pPr>
        <w:pStyle w:val="ListParagraph"/>
        <w:numPr>
          <w:ilvl w:val="0"/>
          <w:numId w:val="1"/>
        </w:numPr>
        <w:spacing w:after="90" w:line="264"/>
      </w:pPr>
      <w:r>
        <w:t xml:space="preserve">Chapter 11 — Database Engineering Standards</w:t>
      </w:r>
    </w:p>
    <w:p>
      <w:pPr>
        <w:pStyle w:val="ListParagraph"/>
        <w:numPr>
          <w:ilvl w:val="0"/>
          <w:numId w:val="1"/>
        </w:numPr>
        <w:spacing w:after="90" w:line="264"/>
      </w:pPr>
      <w:r>
        <w:t xml:space="preserve">Chapter 12 — API Engineering Standards</w:t>
      </w:r>
    </w:p>
    <w:p>
      <w:pPr>
        <w:pStyle w:val="ListParagraph"/>
        <w:numPr>
          <w:ilvl w:val="0"/>
          <w:numId w:val="1"/>
        </w:numPr>
        <w:spacing w:after="90" w:line="264"/>
      </w:pPr>
      <w:r>
        <w:t xml:space="preserve">Chapter 14 — Security and Compliance Standards</w:t>
      </w:r>
    </w:p>
    <w:p>
      <w:pPr>
        <w:pStyle w:val="ListParagraph"/>
        <w:numPr>
          <w:ilvl w:val="0"/>
          <w:numId w:val="1"/>
        </w:numPr>
        <w:spacing w:after="90" w:line="264"/>
      </w:pPr>
      <w:r>
        <w:t xml:space="preserve">Chapter 15 — DevSecOps and Infrastructure Standards</w:t>
      </w:r>
    </w:p>
    <w:p>
      <w:pPr>
        <w:pStyle w:val="ListParagraph"/>
        <w:numPr>
          <w:ilvl w:val="0"/>
          <w:numId w:val="1"/>
        </w:numPr>
        <w:spacing w:after="90" w:line="264"/>
      </w:pPr>
      <w:r>
        <w:t xml:space="preserve">Chapter 16 — Quality Engineering and Testing Standards</w:t>
      </w:r>
    </w:p>
    <w:p>
      <w:pPr>
        <w:pStyle w:val="ListParagraph"/>
        <w:numPr>
          <w:ilvl w:val="0"/>
          <w:numId w:val="1"/>
        </w:numPr>
        <w:spacing w:after="90" w:line="264"/>
      </w:pPr>
      <w:r>
        <w:t xml:space="preserve">Chapter 18 — Code Review and Pull Request Policy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2026-07-19T18:55:46.888Z</dcterms:created>
  <dcterms:modified xsi:type="dcterms:W3CDTF">2026-07-19T18:55:46.889Z</dcterms:modified>
</cp:coreProperties>
</file>

<file path=docProps/custom.xml><?xml version="1.0" encoding="utf-8"?>
<Properties xmlns="http://schemas.openxmlformats.org/officeDocument/2006/custom-properties" xmlns:vt="http://schemas.openxmlformats.org/officeDocument/2006/docPropsVTypes"/>
</file>