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11</w:t>
      </w:r>
    </w:p>
    <w:p>
      <w:pPr>
        <w:pBdr>
          <w:bottom w:val="single" w:color="1F3864" w:sz="14" w:space="10"/>
        </w:pBdr>
        <w:spacing w:after="160"/>
        <w:jc w:val="center"/>
      </w:pPr>
      <w:r>
        <w:rPr>
          <w:b/>
          <w:bCs/>
          <w:color w:val="152238"/>
          <w:sz w:val="40"/>
          <w:szCs w:val="40"/>
        </w:rPr>
        <w:t xml:space="preserve">Database Engineering Standards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The Database Engineering Handbook</w:t>
      </w:r>
    </w:p>
    <w:p>
      <w:r>
        <w:br w:type="page"/>
      </w:r>
    </w:p>
    <w:p>
      <w:pPr>
        <w:spacing w:after="40"/>
        <w:jc w:val="left"/>
      </w:pPr>
      <w:r>
        <w:rPr>
          <w:b/>
          <w:bCs/>
          <w:caps/>
          <w:color w:val="4A6FA5"/>
          <w:sz w:val="22"/>
          <w:szCs w:val="22"/>
        </w:rPr>
        <w:t xml:space="preserve">CHAPTER 11</w:t>
      </w:r>
    </w:p>
    <w:p>
      <w:pPr>
        <w:pBdr>
          <w:bottom w:val="single" w:color="1F3864" w:sz="12" w:space="8"/>
        </w:pBdr>
        <w:spacing w:after="200"/>
        <w:jc w:val="left"/>
      </w:pPr>
      <w:r>
        <w:rPr>
          <w:b/>
          <w:bCs/>
          <w:color w:val="152238"/>
          <w:sz w:val="44"/>
          <w:szCs w:val="44"/>
        </w:rPr>
        <w:t xml:space="preserve">Database Engineering Standards</w:t>
      </w:r>
    </w:p>
    <w:p>
      <w:pPr>
        <w:spacing w:after="90" w:before="180"/>
      </w:pPr>
      <w:r>
        <w:rPr>
          <w:b/>
          <w:bCs/>
          <w:color w:val="152238"/>
          <w:sz w:val="19"/>
          <w:szCs w:val="19"/>
        </w:rPr>
        <w:t xml:space="preserve">Chapter Overview</w:t>
      </w:r>
    </w:p>
    <w:p>
      <w:pPr>
        <w:spacing w:after="150" w:line="276"/>
        <w:jc w:val="both"/>
      </w:pPr>
      <w:r>
        <w:t xml:space="preserve">This chapter establishes the mandatory standards governing the design, implementation, administration, security, performance, governance, and maintenance of all databases supporting the Enterprise System Management (ESM) Platform and Central Knowledge Repository (CKR) — covering the entire data lifecycle from modeling and naming conventions through security, performance, backup, disaster recovery, governance, and operational maintenance.</w:t>
      </w:r>
    </w:p>
    <w:p>
      <w:pPr>
        <w:spacing w:after="90" w:before="180"/>
      </w:pPr>
      <w:r>
        <w:rPr>
          <w:b/>
          <w:bCs/>
          <w:color w:val="152238"/>
          <w:sz w:val="19"/>
          <w:szCs w:val="19"/>
        </w:rPr>
        <w:t xml:space="preserve">Purpose</w:t>
      </w:r>
    </w:p>
    <w:p>
      <w:pPr>
        <w:spacing w:after="150" w:line="276"/>
        <w:jc w:val="both"/>
      </w:pPr>
      <w:r>
        <w:t xml:space="preserve">To ensure all database assets are reliable, secure, scalable, performant, consistent, recoverable, auditable, well documented, maintainable, and compliant with applicable data governance policies.</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six Database Engineering Principles and the layered database architecture.</w:t>
      </w:r>
    </w:p>
    <w:p>
      <w:pPr>
        <w:pStyle w:val="ListParagraph"/>
        <w:numPr>
          <w:ilvl w:val="0"/>
          <w:numId w:val="1"/>
        </w:numPr>
        <w:spacing w:after="90" w:line="264"/>
      </w:pPr>
      <w:r>
        <w:t xml:space="preserve">Understand naming, schema design, data integrity, and indexing standards.</w:t>
      </w:r>
    </w:p>
    <w:p>
      <w:pPr>
        <w:pStyle w:val="ListParagraph"/>
        <w:numPr>
          <w:ilvl w:val="0"/>
          <w:numId w:val="1"/>
        </w:numPr>
        <w:spacing w:after="90" w:line="264"/>
      </w:pPr>
      <w:r>
        <w:t xml:space="preserve">Understand security, backup and recovery, performance, and data governance standards.</w:t>
      </w:r>
    </w:p>
    <w:p>
      <w:pPr>
        <w:pStyle w:val="ListParagraph"/>
        <w:numPr>
          <w:ilvl w:val="0"/>
          <w:numId w:val="1"/>
        </w:numPr>
        <w:spacing w:after="90" w:line="264"/>
      </w:pPr>
      <w:r>
        <w:t xml:space="preserve">Understand the Antigravity Database Instructions and Database Success Criteria.</w:t>
      </w:r>
    </w:p>
    <w:p>
      <w:pPr>
        <w:pStyle w:val="Heading1"/>
        <w:pBdr>
          <w:bottom w:val="single" w:color="C6D2E0" w:sz="4" w:space="4"/>
        </w:pBdr>
        <w:spacing w:after="140" w:before="360"/>
      </w:pPr>
      <w:r>
        <w:rPr>
          <w:b/>
          <w:bCs/>
          <w:color w:val="4A6FA5"/>
          <w:sz w:val="26"/>
          <w:szCs w:val="26"/>
        </w:rPr>
        <w:t xml:space="preserve">11.1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mandatory standards governing all database assets.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platform's authoritative repository of programme information and institutional knowledge.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to operational databases, reporting databases, metadata repositories, audit stores, search indexes, and future analytical data stores.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Database assets that are reliable, secure, performant, and compliant throughout the programme's lifecycle.</w:t>
            </w:r>
          </w:p>
        </w:tc>
      </w:tr>
    </w:tbl>
    <w:p>
      <w:pPr>
        <w:spacing w:after="160"/>
      </w:pPr>
    </w:p>
    <w:p>
      <w:pPr>
        <w:spacing w:after="150" w:line="276"/>
        <w:jc w:val="both"/>
      </w:pPr>
      <w:r>
        <w:t xml:space="preserve">This document establishes the mandatory standards governing the design, implementation, administration, security, performance, governance, and maintenance of all databases supporting the SAPZ Enterprise System Management (ESM) Platform and Central Knowledge Repository (CKR).</w:t>
      </w:r>
    </w:p>
    <w:p>
      <w:pPr>
        <w:spacing w:after="150" w:line="276"/>
        <w:jc w:val="both"/>
      </w:pPr>
      <w:r>
        <w:t xml:space="preserve">The objectives are to ensure that all database assets are:</w:t>
      </w:r>
    </w:p>
    <w:p>
      <w:pPr>
        <w:pStyle w:val="ListParagraph"/>
        <w:numPr>
          <w:ilvl w:val="0"/>
          <w:numId w:val="1"/>
        </w:numPr>
        <w:spacing w:after="90" w:line="264"/>
      </w:pPr>
      <w:r>
        <w:t xml:space="preserve">Reliable</w:t>
      </w:r>
    </w:p>
    <w:p>
      <w:pPr>
        <w:pStyle w:val="ListParagraph"/>
        <w:numPr>
          <w:ilvl w:val="0"/>
          <w:numId w:val="1"/>
        </w:numPr>
        <w:spacing w:after="90" w:line="264"/>
      </w:pPr>
      <w:r>
        <w:t xml:space="preserve">Secure</w:t>
      </w:r>
    </w:p>
    <w:p>
      <w:pPr>
        <w:pStyle w:val="ListParagraph"/>
        <w:numPr>
          <w:ilvl w:val="0"/>
          <w:numId w:val="1"/>
        </w:numPr>
        <w:spacing w:after="90" w:line="264"/>
      </w:pPr>
      <w:r>
        <w:t xml:space="preserve">Scalable</w:t>
      </w:r>
    </w:p>
    <w:p>
      <w:pPr>
        <w:pStyle w:val="ListParagraph"/>
        <w:numPr>
          <w:ilvl w:val="0"/>
          <w:numId w:val="1"/>
        </w:numPr>
        <w:spacing w:after="90" w:line="264"/>
      </w:pPr>
      <w:r>
        <w:t xml:space="preserve">Performant</w:t>
      </w:r>
    </w:p>
    <w:p>
      <w:pPr>
        <w:pStyle w:val="ListParagraph"/>
        <w:numPr>
          <w:ilvl w:val="0"/>
          <w:numId w:val="1"/>
        </w:numPr>
        <w:spacing w:after="90" w:line="264"/>
      </w:pPr>
      <w:r>
        <w:t xml:space="preserve">Consistent</w:t>
      </w:r>
    </w:p>
    <w:p>
      <w:pPr>
        <w:pStyle w:val="ListParagraph"/>
        <w:numPr>
          <w:ilvl w:val="0"/>
          <w:numId w:val="1"/>
        </w:numPr>
        <w:spacing w:after="90" w:line="264"/>
      </w:pPr>
      <w:r>
        <w:t xml:space="preserve">Recoverable</w:t>
      </w:r>
    </w:p>
    <w:p>
      <w:pPr>
        <w:pStyle w:val="ListParagraph"/>
        <w:numPr>
          <w:ilvl w:val="0"/>
          <w:numId w:val="1"/>
        </w:numPr>
        <w:spacing w:after="90" w:line="264"/>
      </w:pPr>
      <w:r>
        <w:t xml:space="preserve">Auditable</w:t>
      </w:r>
    </w:p>
    <w:p>
      <w:pPr>
        <w:pStyle w:val="ListParagraph"/>
        <w:numPr>
          <w:ilvl w:val="0"/>
          <w:numId w:val="1"/>
        </w:numPr>
        <w:spacing w:after="90" w:line="264"/>
      </w:pPr>
      <w:r>
        <w:t xml:space="preserve">Well documented</w:t>
      </w:r>
    </w:p>
    <w:p>
      <w:pPr>
        <w:pStyle w:val="ListParagraph"/>
        <w:numPr>
          <w:ilvl w:val="0"/>
          <w:numId w:val="1"/>
        </w:numPr>
        <w:spacing w:after="90" w:line="264"/>
      </w:pPr>
      <w:r>
        <w:t xml:space="preserve">Maintainable</w:t>
      </w:r>
    </w:p>
    <w:p>
      <w:pPr>
        <w:pStyle w:val="ListParagraph"/>
        <w:numPr>
          <w:ilvl w:val="0"/>
          <w:numId w:val="1"/>
        </w:numPr>
        <w:spacing w:after="90" w:line="264"/>
      </w:pPr>
      <w:r>
        <w:t xml:space="preserve">Compliant with applicable data governance policies</w:t>
      </w:r>
    </w:p>
    <w:p>
      <w:pPr>
        <w:spacing w:after="150" w:line="276"/>
        <w:jc w:val="both"/>
      </w:pPr>
      <w:r>
        <w:t xml:space="preserve">These standards apply to operational databases, reporting databases, metadata repositories, audit stores, search indexes, and future analytical data stores.</w:t>
      </w:r>
    </w:p>
    <w:p>
      <w:pPr>
        <w:pStyle w:val="Heading1"/>
        <w:pBdr>
          <w:bottom w:val="single" w:color="C6D2E0" w:sz="4" w:space="4"/>
        </w:pBdr>
        <w:spacing w:after="140" w:before="360"/>
      </w:pPr>
      <w:r>
        <w:rPr>
          <w:b/>
          <w:bCs/>
          <w:color w:val="4A6FA5"/>
          <w:sz w:val="26"/>
          <w:szCs w:val="26"/>
        </w:rPr>
        <w:t xml:space="preserve">11.2  </w:t>
      </w:r>
      <w:r>
        <w:rPr>
          <w:b/>
          <w:bCs/>
          <w:color w:val="1F3864"/>
          <w:sz w:val="26"/>
          <w:szCs w:val="26"/>
        </w:rPr>
        <w:t xml:space="preserve">Database Engineering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six principles governing all database engineering activities.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data as the platform's most durable and valuable long-term asset.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Chapter 5's Core Engineering Principles specifically to data modeling and administration.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database that remains accurate, secure, and evolvable across the programme's lifetime.</w:t>
            </w:r>
          </w:p>
        </w:tc>
      </w:tr>
    </w:tbl>
    <w:p>
      <w:pPr>
        <w:spacing w:after="160"/>
      </w:pPr>
    </w:p>
    <w:p>
      <w:pPr>
        <w:spacing w:after="150" w:line="276"/>
        <w:jc w:val="both"/>
      </w:pPr>
      <w:r>
        <w:t xml:space="preserve">All database engineering activities shall follow these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Data Integrity First</w:t>
            </w:r>
          </w:p>
        </w:tc>
        <w:tc>
          <w:tcPr>
            <w:tcW w:type="dxa" w:w="7459"/>
            <w:tcMar>
              <w:top w:type="dxa" w:w="70"/>
              <w:left w:type="dxa" w:w="110"/>
              <w:bottom w:type="dxa" w:w="70"/>
              <w:right w:type="dxa" w:w="110"/>
            </w:tcMar>
            <w:vAlign w:val="top"/>
          </w:tcPr>
          <w:p>
            <w:r>
              <w:rPr>
                <w:b w:val="false"/>
                <w:bCs w:val="false"/>
                <w:color w:val="1A1A1A"/>
                <w:sz w:val="16"/>
                <w:szCs w:val="16"/>
              </w:rPr>
              <w:t xml:space="preserve">Protect the accuracy, consistency, and completeness of data through constraints, validation, and controlled transactions.</w:t>
            </w:r>
          </w:p>
        </w:tc>
      </w:tr>
      <w:tr>
        <w:tc>
          <w:tcPr>
            <w:tcW w:type="dxa" w:w="2621"/>
            <w:tcMar>
              <w:top w:type="dxa" w:w="70"/>
              <w:left w:type="dxa" w:w="110"/>
              <w:bottom w:type="dxa" w:w="70"/>
              <w:right w:type="dxa" w:w="110"/>
            </w:tcMar>
            <w:vAlign w:val="top"/>
          </w:tcPr>
          <w:p>
            <w:r>
              <w:rPr>
                <w:b/>
                <w:bCs/>
                <w:color w:val="1A1A1A"/>
                <w:sz w:val="16"/>
                <w:szCs w:val="16"/>
              </w:rPr>
              <w:t xml:space="preserve">Single Source of Truth</w:t>
            </w:r>
          </w:p>
        </w:tc>
        <w:tc>
          <w:tcPr>
            <w:tcW w:type="dxa" w:w="7459"/>
            <w:tcMar>
              <w:top w:type="dxa" w:w="70"/>
              <w:left w:type="dxa" w:w="110"/>
              <w:bottom w:type="dxa" w:w="70"/>
              <w:right w:type="dxa" w:w="110"/>
            </w:tcMar>
            <w:vAlign w:val="top"/>
          </w:tcPr>
          <w:p>
            <w:r>
              <w:rPr>
                <w:b w:val="false"/>
                <w:bCs w:val="false"/>
                <w:color w:val="1A1A1A"/>
                <w:sz w:val="16"/>
                <w:szCs w:val="16"/>
              </w:rPr>
              <w:t xml:space="preserve">Each business entity shall have one authoritative record to eliminate duplication and inconsistency.</w:t>
            </w:r>
          </w:p>
        </w:tc>
      </w:tr>
      <w:tr>
        <w:tc>
          <w:tcPr>
            <w:tcW w:type="dxa" w:w="2621"/>
            <w:tcMar>
              <w:top w:type="dxa" w:w="70"/>
              <w:left w:type="dxa" w:w="110"/>
              <w:bottom w:type="dxa" w:w="70"/>
              <w:right w:type="dxa" w:w="110"/>
            </w:tcMar>
            <w:vAlign w:val="top"/>
          </w:tcPr>
          <w:p>
            <w:r>
              <w:rPr>
                <w:b/>
                <w:bCs/>
                <w:color w:val="1A1A1A"/>
                <w:sz w:val="16"/>
                <w:szCs w:val="16"/>
              </w:rPr>
              <w:t xml:space="preserve">Security by Design</w:t>
            </w:r>
          </w:p>
        </w:tc>
        <w:tc>
          <w:tcPr>
            <w:tcW w:type="dxa" w:w="7459"/>
            <w:tcMar>
              <w:top w:type="dxa" w:w="70"/>
              <w:left w:type="dxa" w:w="110"/>
              <w:bottom w:type="dxa" w:w="70"/>
              <w:right w:type="dxa" w:w="110"/>
            </w:tcMar>
            <w:vAlign w:val="top"/>
          </w:tcPr>
          <w:p>
            <w:r>
              <w:rPr>
                <w:b w:val="false"/>
                <w:bCs w:val="false"/>
                <w:color w:val="1A1A1A"/>
                <w:sz w:val="16"/>
                <w:szCs w:val="16"/>
              </w:rPr>
              <w:t xml:space="preserve">Protect sensitive information using least privilege, encryption, auditing, and secure configuration.</w:t>
            </w:r>
          </w:p>
        </w:tc>
      </w:tr>
      <w:tr>
        <w:tc>
          <w:tcPr>
            <w:tcW w:type="dxa" w:w="2621"/>
            <w:tcMar>
              <w:top w:type="dxa" w:w="70"/>
              <w:left w:type="dxa" w:w="110"/>
              <w:bottom w:type="dxa" w:w="70"/>
              <w:right w:type="dxa" w:w="110"/>
            </w:tcMar>
            <w:vAlign w:val="top"/>
          </w:tcPr>
          <w:p>
            <w:r>
              <w:rPr>
                <w:b/>
                <w:bCs/>
                <w:color w:val="1A1A1A"/>
                <w:sz w:val="16"/>
                <w:szCs w:val="16"/>
              </w:rPr>
              <w:t xml:space="preserve">Performance by Design</w:t>
            </w:r>
          </w:p>
        </w:tc>
        <w:tc>
          <w:tcPr>
            <w:tcW w:type="dxa" w:w="7459"/>
            <w:tcMar>
              <w:top w:type="dxa" w:w="70"/>
              <w:left w:type="dxa" w:w="110"/>
              <w:bottom w:type="dxa" w:w="70"/>
              <w:right w:type="dxa" w:w="110"/>
            </w:tcMar>
            <w:vAlign w:val="top"/>
          </w:tcPr>
          <w:p>
            <w:r>
              <w:rPr>
                <w:b w:val="false"/>
                <w:bCs w:val="false"/>
                <w:color w:val="1A1A1A"/>
                <w:sz w:val="16"/>
                <w:szCs w:val="16"/>
              </w:rPr>
              <w:t xml:space="preserve">Design schemas and queries to support expected workloads while maintaining responsiveness.</w:t>
            </w:r>
          </w:p>
        </w:tc>
      </w:tr>
      <w:tr>
        <w:tc>
          <w:tcPr>
            <w:tcW w:type="dxa" w:w="2621"/>
            <w:tcMar>
              <w:top w:type="dxa" w:w="70"/>
              <w:left w:type="dxa" w:w="110"/>
              <w:bottom w:type="dxa" w:w="70"/>
              <w:right w:type="dxa" w:w="110"/>
            </w:tcMar>
            <w:vAlign w:val="top"/>
          </w:tcPr>
          <w:p>
            <w:r>
              <w:rPr>
                <w:b/>
                <w:bCs/>
                <w:color w:val="1A1A1A"/>
                <w:sz w:val="16"/>
                <w:szCs w:val="16"/>
              </w:rPr>
              <w:t xml:space="preserve">Documentation as Code</w:t>
            </w:r>
          </w:p>
        </w:tc>
        <w:tc>
          <w:tcPr>
            <w:tcW w:type="dxa" w:w="7459"/>
            <w:tcMar>
              <w:top w:type="dxa" w:w="70"/>
              <w:left w:type="dxa" w:w="110"/>
              <w:bottom w:type="dxa" w:w="70"/>
              <w:right w:type="dxa" w:w="110"/>
            </w:tcMar>
            <w:vAlign w:val="top"/>
          </w:tcPr>
          <w:p>
            <w:r>
              <w:rPr>
                <w:b w:val="false"/>
                <w:bCs w:val="false"/>
                <w:color w:val="1A1A1A"/>
                <w:sz w:val="16"/>
                <w:szCs w:val="16"/>
              </w:rPr>
              <w:t xml:space="preserve">Schema definitions, migrations, and metadata shall be version-controlled and documented.</w:t>
            </w:r>
          </w:p>
        </w:tc>
      </w:tr>
      <w:tr>
        <w:tc>
          <w:tcPr>
            <w:tcW w:type="dxa" w:w="2621"/>
            <w:tcMar>
              <w:top w:type="dxa" w:w="70"/>
              <w:left w:type="dxa" w:w="110"/>
              <w:bottom w:type="dxa" w:w="70"/>
              <w:right w:type="dxa" w:w="110"/>
            </w:tcMar>
            <w:vAlign w:val="top"/>
          </w:tcPr>
          <w:p>
            <w:r>
              <w:rPr>
                <w:b/>
                <w:bCs/>
                <w:color w:val="1A1A1A"/>
                <w:sz w:val="16"/>
                <w:szCs w:val="16"/>
              </w:rPr>
              <w:t xml:space="preserve">Evolvability</w:t>
            </w:r>
          </w:p>
        </w:tc>
        <w:tc>
          <w:tcPr>
            <w:tcW w:type="dxa" w:w="7459"/>
            <w:tcMar>
              <w:top w:type="dxa" w:w="70"/>
              <w:left w:type="dxa" w:w="110"/>
              <w:bottom w:type="dxa" w:w="70"/>
              <w:right w:type="dxa" w:w="110"/>
            </w:tcMar>
            <w:vAlign w:val="top"/>
          </w:tcPr>
          <w:p>
            <w:r>
              <w:rPr>
                <w:b w:val="false"/>
                <w:bCs w:val="false"/>
                <w:color w:val="1A1A1A"/>
                <w:sz w:val="16"/>
                <w:szCs w:val="16"/>
              </w:rPr>
              <w:t xml:space="preserve">Database changes shall be implemented through controlled migrations, preserving backward compatibility where practical.</w:t>
            </w:r>
          </w:p>
        </w:tc>
      </w:tr>
    </w:tbl>
    <w:p>
      <w:pPr>
        <w:pStyle w:val="Heading1"/>
        <w:pBdr>
          <w:bottom w:val="single" w:color="C6D2E0" w:sz="4" w:space="4"/>
        </w:pBdr>
        <w:spacing w:after="140" w:before="360"/>
      </w:pPr>
      <w:r>
        <w:rPr>
          <w:b/>
          <w:bCs/>
          <w:color w:val="4A6FA5"/>
          <w:sz w:val="26"/>
          <w:szCs w:val="26"/>
        </w:rPr>
        <w:t xml:space="preserve">11.3  </w:t>
      </w:r>
      <w:r>
        <w:rPr>
          <w:b/>
          <w:bCs/>
          <w:color w:val="1F3864"/>
          <w:sz w:val="26"/>
          <w:szCs w:val="26"/>
        </w:rPr>
        <w:t xml:space="preserve">Database Architecture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layered data architecture adopted for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uncontrolled, direct database access that bypasses business logic and audit trails.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All database access occurs through approved repositories or data access services.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data architecture where every access path is governed, logged, and testable.</w:t>
            </w:r>
          </w:p>
        </w:tc>
      </w:tr>
    </w:tbl>
    <w:p>
      <w:pPr>
        <w:spacing w:after="160"/>
      </w:pPr>
    </w:p>
    <w:p>
      <w:pPr>
        <w:spacing w:after="150" w:line="276"/>
        <w:jc w:val="both"/>
      </w:pPr>
      <w:r>
        <w:t xml:space="preserve">The platform shall adopt a layered data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Application Layer</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Repository / Data Access Layer</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Operational Database (PostgreSQL)</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Search Index (OpenSearch / Elasticsearch)</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Reporting &amp; Analytics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Backup &amp; Disaster Recovery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All database access shall occur through approved repositories or data access services. Direct access from UI components is prohibited.</w:t>
            </w:r>
          </w:p>
        </w:tc>
      </w:tr>
    </w:tbl>
    <w:p>
      <w:pPr>
        <w:pStyle w:val="Heading1"/>
        <w:pBdr>
          <w:bottom w:val="single" w:color="C6D2E0" w:sz="4" w:space="4"/>
        </w:pBdr>
        <w:spacing w:after="140" w:before="360"/>
      </w:pPr>
      <w:r>
        <w:rPr>
          <w:b/>
          <w:bCs/>
          <w:color w:val="4A6FA5"/>
          <w:sz w:val="26"/>
          <w:szCs w:val="26"/>
        </w:rPr>
        <w:t xml:space="preserve">11.4  </w:t>
      </w:r>
      <w:r>
        <w:rPr>
          <w:b/>
          <w:bCs/>
          <w:color w:val="1F3864"/>
          <w:sz w:val="26"/>
          <w:szCs w:val="26"/>
        </w:rPr>
        <w:t xml:space="preserve">Logical Data Model</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logical categories of data managed by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Clarifies ownership and lifecycle expectations for each category of data.</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Relationships across categories are documented using Entity-Relationship Diagrams (ERDs).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logical model that distinguishes master, transactional, reference, and audit data.</w:t>
            </w:r>
          </w:p>
        </w:tc>
      </w:tr>
    </w:tbl>
    <w:p>
      <w:pPr>
        <w:spacing w:after="160"/>
      </w:pPr>
    </w:p>
    <w:p>
      <w:pPr>
        <w:spacing w:after="150" w:line="276"/>
        <w:jc w:val="both"/>
      </w:pPr>
      <w:r>
        <w:t xml:space="preserve">The logical model shall distinguish between:</w:t>
      </w:r>
    </w:p>
    <w:p>
      <w:pPr>
        <w:pStyle w:val="ListParagraph"/>
        <w:numPr>
          <w:ilvl w:val="0"/>
          <w:numId w:val="1"/>
        </w:numPr>
        <w:spacing w:after="90" w:line="264"/>
      </w:pPr>
      <w:r>
        <w:t xml:space="preserve">Master Data (Users, Organizations, Locations)</w:t>
      </w:r>
    </w:p>
    <w:p>
      <w:pPr>
        <w:pStyle w:val="ListParagraph"/>
        <w:numPr>
          <w:ilvl w:val="0"/>
          <w:numId w:val="1"/>
        </w:numPr>
        <w:spacing w:after="90" w:line="264"/>
      </w:pPr>
      <w:r>
        <w:t xml:space="preserve">Transactional Data (Projects, Workflows, Approvals)</w:t>
      </w:r>
    </w:p>
    <w:p>
      <w:pPr>
        <w:pStyle w:val="ListParagraph"/>
        <w:numPr>
          <w:ilvl w:val="0"/>
          <w:numId w:val="1"/>
        </w:numPr>
        <w:spacing w:after="90" w:line="264"/>
      </w:pPr>
      <w:r>
        <w:t xml:space="preserve">Reference Data (Statuses, Categories, Lookup Codes)</w:t>
      </w:r>
    </w:p>
    <w:p>
      <w:pPr>
        <w:pStyle w:val="ListParagraph"/>
        <w:numPr>
          <w:ilvl w:val="0"/>
          <w:numId w:val="1"/>
        </w:numPr>
        <w:spacing w:after="90" w:line="264"/>
      </w:pPr>
      <w:r>
        <w:t xml:space="preserve">Knowledge Assets (Documents, Articles, Media)</w:t>
      </w:r>
    </w:p>
    <w:p>
      <w:pPr>
        <w:pStyle w:val="ListParagraph"/>
        <w:numPr>
          <w:ilvl w:val="0"/>
          <w:numId w:val="1"/>
        </w:numPr>
        <w:spacing w:after="90" w:line="264"/>
      </w:pPr>
      <w:r>
        <w:t xml:space="preserve">Audit Data (Logs, Events, Access History)</w:t>
      </w:r>
    </w:p>
    <w:p>
      <w:pPr>
        <w:pStyle w:val="ListParagraph"/>
        <w:numPr>
          <w:ilvl w:val="0"/>
          <w:numId w:val="1"/>
        </w:numPr>
        <w:spacing w:after="90" w:line="264"/>
      </w:pPr>
      <w:r>
        <w:t xml:space="preserve">Configuration Data (System Settings, Parameters)</w:t>
      </w:r>
    </w:p>
    <w:p>
      <w:pPr>
        <w:pStyle w:val="ListParagraph"/>
        <w:numPr>
          <w:ilvl w:val="0"/>
          <w:numId w:val="1"/>
        </w:numPr>
        <w:spacing w:after="90" w:line="264"/>
      </w:pPr>
      <w:r>
        <w:t xml:space="preserve">Metadata (Taxonomies, Tags, Classifications)</w:t>
      </w:r>
    </w:p>
    <w:p>
      <w:pPr>
        <w:spacing w:after="150" w:line="276"/>
        <w:jc w:val="both"/>
      </w:pPr>
      <w:r>
        <w:t xml:space="preserve">Relationships shall be documented using Entity-Relationship Diagrams (ERDs).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C6D2E0" w:sz="4"/>
              <w:left w:val="dashed" w:color="C6D2E0" w:sz="4"/>
              <w:bottom w:val="dashed" w:color="C6D2E0" w:sz="4"/>
              <w:right w:val="dashed" w:color="C6D2E0" w:sz="4"/>
            </w:tcBorders>
            <w:shd w:fill="FAFBFC" w:val="clear"/>
            <w:tcMar>
              <w:top w:type="dxa" w:w="260"/>
              <w:left w:type="dxa" w:w="180"/>
              <w:bottom w:type="dxa" w:w="260"/>
              <w:right w:type="dxa" w:w="180"/>
            </w:tcMar>
          </w:tcPr>
          <w:p>
            <w:pPr>
              <w:spacing w:after="60"/>
              <w:jc w:val="center"/>
            </w:pPr>
            <w:r>
              <w:rPr>
                <w:b/>
                <w:bCs/>
                <w:color w:val="1F3864"/>
                <w:sz w:val="18"/>
                <w:szCs w:val="18"/>
              </w:rPr>
              <w:t xml:space="preserve">Figure 11-1 — Logical Data Model</w:t>
            </w:r>
          </w:p>
          <w:p>
            <w:pPr>
              <w:spacing w:after="100"/>
              <w:jc w:val="center"/>
            </w:pPr>
            <w:r>
              <w:rPr>
                <w:i/>
                <w:iCs/>
                <w:color w:val="555555"/>
                <w:sz w:val="18"/>
                <w:szCs w:val="18"/>
              </w:rPr>
              <w:t xml:space="preserve">SAPZ ESM/CKR Logical Data Model</w:t>
            </w:r>
          </w:p>
          <w:p>
            <w:pPr>
              <w:jc w:val="center"/>
            </w:pPr>
            <w:r>
              <w:rPr>
                <w:i/>
                <w:iCs/>
                <w:color w:val="888888"/>
                <w:sz w:val="17"/>
                <w:szCs w:val="17"/>
              </w:rPr>
              <w:t xml:space="preserve">[Insert SAPZ ESM/CKR Logical Data Model Diagram]</w:t>
            </w:r>
          </w:p>
        </w:tc>
      </w:tr>
    </w:tbl>
    <w:p>
      <w:pPr>
        <w:pStyle w:val="Heading1"/>
        <w:pBdr>
          <w:bottom w:val="single" w:color="C6D2E0" w:sz="4" w:space="4"/>
        </w:pBdr>
        <w:spacing w:after="140" w:before="360"/>
      </w:pPr>
      <w:r>
        <w:rPr>
          <w:b/>
          <w:bCs/>
          <w:color w:val="4A6FA5"/>
          <w:sz w:val="26"/>
          <w:szCs w:val="26"/>
        </w:rPr>
        <w:t xml:space="preserve">11.5  </w:t>
      </w:r>
      <w:r>
        <w:rPr>
          <w:b/>
          <w:bCs/>
          <w:color w:val="1F3864"/>
          <w:sz w:val="26"/>
          <w:szCs w:val="26"/>
        </w:rPr>
        <w:t xml:space="preserve">Naming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naming across tables, columns, keys, indexes, and constraints.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Improves schema readability and reduces onboarding friction for database engineers.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Consistency across all schemas is mandatory, enforced during schema review.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schema with predictable, self-explanatory object names throughout.</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3830"/>
        <w:gridCol w:w="4435"/>
      </w:tblGrid>
      <w:tr>
        <w:trPr>
          <w:tblHeader/>
        </w:trPr>
        <w:tc>
          <w:tcPr>
            <w:tcW w:type="dxa" w:w="1814"/>
            <w:shd w:fill="1F3864" w:val="clear"/>
            <w:tcMar>
              <w:top w:type="dxa" w:w="70"/>
              <w:left w:type="dxa" w:w="110"/>
              <w:bottom w:type="dxa" w:w="70"/>
              <w:right w:type="dxa" w:w="110"/>
            </w:tcMar>
            <w:vAlign w:val="top"/>
          </w:tcPr>
          <w:p>
            <w:r>
              <w:rPr>
                <w:b/>
                <w:bCs/>
                <w:color w:val="FFFFFF"/>
                <w:sz w:val="17"/>
                <w:szCs w:val="17"/>
              </w:rPr>
              <w:t xml:space="preserve">Object</w:t>
            </w:r>
          </w:p>
        </w:tc>
        <w:tc>
          <w:tcPr>
            <w:tcW w:type="dxa" w:w="3830"/>
            <w:shd w:fill="1F3864" w:val="clear"/>
            <w:tcMar>
              <w:top w:type="dxa" w:w="70"/>
              <w:left w:type="dxa" w:w="110"/>
              <w:bottom w:type="dxa" w:w="70"/>
              <w:right w:type="dxa" w:w="110"/>
            </w:tcMar>
            <w:vAlign w:val="top"/>
          </w:tcPr>
          <w:p>
            <w:r>
              <w:rPr>
                <w:b/>
                <w:bCs/>
                <w:color w:val="FFFFFF"/>
                <w:sz w:val="17"/>
                <w:szCs w:val="17"/>
              </w:rPr>
              <w:t xml:space="preserve">Convention</w:t>
            </w:r>
          </w:p>
        </w:tc>
        <w:tc>
          <w:tcPr>
            <w:tcW w:type="dxa" w:w="4435"/>
            <w:shd w:fill="1F3864" w:val="clear"/>
            <w:tcMar>
              <w:top w:type="dxa" w:w="70"/>
              <w:left w:type="dxa" w:w="110"/>
              <w:bottom w:type="dxa" w:w="70"/>
              <w:right w:type="dxa" w:w="110"/>
            </w:tcMar>
            <w:vAlign w:val="top"/>
          </w:tcPr>
          <w:p>
            <w:r>
              <w:rPr>
                <w:b/>
                <w:bCs/>
                <w:color w:val="FFFFFF"/>
                <w:sz w:val="17"/>
                <w:szCs w:val="17"/>
              </w:rPr>
              <w:t xml:space="preserve">Example</w:t>
            </w:r>
          </w:p>
        </w:tc>
      </w:tr>
      <w:tr>
        <w:tc>
          <w:tcPr>
            <w:tcW w:type="dxa" w:w="1814"/>
            <w:tcMar>
              <w:top w:type="dxa" w:w="70"/>
              <w:left w:type="dxa" w:w="110"/>
              <w:bottom w:type="dxa" w:w="70"/>
              <w:right w:type="dxa" w:w="110"/>
            </w:tcMar>
            <w:vAlign w:val="top"/>
          </w:tcPr>
          <w:p>
            <w:r>
              <w:rPr>
                <w:b/>
                <w:bCs/>
                <w:color w:val="1A1A1A"/>
                <w:sz w:val="15"/>
                <w:szCs w:val="15"/>
              </w:rPr>
              <w:t xml:space="preserve">Tables</w:t>
            </w:r>
          </w:p>
        </w:tc>
        <w:tc>
          <w:tcPr>
            <w:tcW w:type="dxa" w:w="3830"/>
            <w:tcMar>
              <w:top w:type="dxa" w:w="70"/>
              <w:left w:type="dxa" w:w="110"/>
              <w:bottom w:type="dxa" w:w="70"/>
              <w:right w:type="dxa" w:w="110"/>
            </w:tcMar>
            <w:vAlign w:val="top"/>
          </w:tcPr>
          <w:p>
            <w:r>
              <w:rPr>
                <w:b w:val="false"/>
                <w:bCs w:val="false"/>
                <w:color w:val="1A1A1A"/>
                <w:sz w:val="15"/>
                <w:szCs w:val="15"/>
              </w:rPr>
              <w:t xml:space="preserve">Plural, lowercase, snake_case</w:t>
            </w:r>
          </w:p>
        </w:tc>
        <w:tc>
          <w:tcPr>
            <w:tcW w:type="dxa" w:w="4435"/>
            <w:tcMar>
              <w:top w:type="dxa" w:w="70"/>
              <w:left w:type="dxa" w:w="110"/>
              <w:bottom w:type="dxa" w:w="70"/>
              <w:right w:type="dxa" w:w="110"/>
            </w:tcMar>
            <w:vAlign w:val="top"/>
          </w:tcPr>
          <w:p>
            <w:r>
              <w:rPr>
                <w:b w:val="false"/>
                <w:bCs w:val="false"/>
                <w:color w:val="1A1A1A"/>
                <w:sz w:val="15"/>
                <w:szCs w:val="15"/>
              </w:rPr>
              <w:t xml:space="preserve">projects, workflow_instances</w:t>
            </w:r>
          </w:p>
        </w:tc>
      </w:tr>
      <w:tr>
        <w:tc>
          <w:tcPr>
            <w:tcW w:type="dxa" w:w="1814"/>
            <w:tcMar>
              <w:top w:type="dxa" w:w="70"/>
              <w:left w:type="dxa" w:w="110"/>
              <w:bottom w:type="dxa" w:w="70"/>
              <w:right w:type="dxa" w:w="110"/>
            </w:tcMar>
            <w:vAlign w:val="top"/>
          </w:tcPr>
          <w:p>
            <w:r>
              <w:rPr>
                <w:b/>
                <w:bCs/>
                <w:color w:val="1A1A1A"/>
                <w:sz w:val="15"/>
                <w:szCs w:val="15"/>
              </w:rPr>
              <w:t xml:space="preserve">Columns</w:t>
            </w:r>
          </w:p>
        </w:tc>
        <w:tc>
          <w:tcPr>
            <w:tcW w:type="dxa" w:w="3830"/>
            <w:tcMar>
              <w:top w:type="dxa" w:w="70"/>
              <w:left w:type="dxa" w:w="110"/>
              <w:bottom w:type="dxa" w:w="70"/>
              <w:right w:type="dxa" w:w="110"/>
            </w:tcMar>
            <w:vAlign w:val="top"/>
          </w:tcPr>
          <w:p>
            <w:r>
              <w:rPr>
                <w:b w:val="false"/>
                <w:bCs w:val="false"/>
                <w:color w:val="1A1A1A"/>
                <w:sz w:val="15"/>
                <w:szCs w:val="15"/>
              </w:rPr>
              <w:t xml:space="preserve">Lowercase, snake_case</w:t>
            </w:r>
          </w:p>
        </w:tc>
        <w:tc>
          <w:tcPr>
            <w:tcW w:type="dxa" w:w="4435"/>
            <w:tcMar>
              <w:top w:type="dxa" w:w="70"/>
              <w:left w:type="dxa" w:w="110"/>
              <w:bottom w:type="dxa" w:w="70"/>
              <w:right w:type="dxa" w:w="110"/>
            </w:tcMar>
            <w:vAlign w:val="top"/>
          </w:tcPr>
          <w:p>
            <w:r>
              <w:rPr>
                <w:b w:val="false"/>
                <w:bCs w:val="false"/>
                <w:color w:val="1A1A1A"/>
                <w:sz w:val="15"/>
                <w:szCs w:val="15"/>
              </w:rPr>
              <w:t xml:space="preserve">created_at, updated_by</w:t>
            </w:r>
          </w:p>
        </w:tc>
      </w:tr>
      <w:tr>
        <w:tc>
          <w:tcPr>
            <w:tcW w:type="dxa" w:w="1814"/>
            <w:tcMar>
              <w:top w:type="dxa" w:w="70"/>
              <w:left w:type="dxa" w:w="110"/>
              <w:bottom w:type="dxa" w:w="70"/>
              <w:right w:type="dxa" w:w="110"/>
            </w:tcMar>
            <w:vAlign w:val="top"/>
          </w:tcPr>
          <w:p>
            <w:r>
              <w:rPr>
                <w:b/>
                <w:bCs/>
                <w:color w:val="1A1A1A"/>
                <w:sz w:val="15"/>
                <w:szCs w:val="15"/>
              </w:rPr>
              <w:t xml:space="preserve">Primary Keys</w:t>
            </w:r>
          </w:p>
        </w:tc>
        <w:tc>
          <w:tcPr>
            <w:tcW w:type="dxa" w:w="3830"/>
            <w:tcMar>
              <w:top w:type="dxa" w:w="70"/>
              <w:left w:type="dxa" w:w="110"/>
              <w:bottom w:type="dxa" w:w="70"/>
              <w:right w:type="dxa" w:w="110"/>
            </w:tcMar>
            <w:vAlign w:val="top"/>
          </w:tcPr>
          <w:p>
            <w:r>
              <w:rPr>
                <w:b w:val="false"/>
                <w:bCs w:val="false"/>
                <w:color w:val="1A1A1A"/>
                <w:sz w:val="15"/>
                <w:szCs w:val="15"/>
              </w:rPr>
              <w:t xml:space="preserve">id</w:t>
            </w:r>
          </w:p>
        </w:tc>
        <w:tc>
          <w:tcPr>
            <w:tcW w:type="dxa" w:w="4435"/>
            <w:tcMar>
              <w:top w:type="dxa" w:w="70"/>
              <w:left w:type="dxa" w:w="110"/>
              <w:bottom w:type="dxa" w:w="70"/>
              <w:right w:type="dxa" w:w="110"/>
            </w:tcMar>
            <w:vAlign w:val="top"/>
          </w:tcPr>
          <w:p>
            <w:r>
              <w:rPr>
                <w:b w:val="false"/>
                <w:bCs w:val="false"/>
                <w:color w:val="1A1A1A"/>
                <w:sz w:val="15"/>
                <w:szCs w:val="15"/>
              </w:rPr>
              <w:t xml:space="preserve">id</w:t>
            </w:r>
          </w:p>
        </w:tc>
      </w:tr>
      <w:tr>
        <w:tc>
          <w:tcPr>
            <w:tcW w:type="dxa" w:w="1814"/>
            <w:tcMar>
              <w:top w:type="dxa" w:w="70"/>
              <w:left w:type="dxa" w:w="110"/>
              <w:bottom w:type="dxa" w:w="70"/>
              <w:right w:type="dxa" w:w="110"/>
            </w:tcMar>
            <w:vAlign w:val="top"/>
          </w:tcPr>
          <w:p>
            <w:r>
              <w:rPr>
                <w:b/>
                <w:bCs/>
                <w:color w:val="1A1A1A"/>
                <w:sz w:val="15"/>
                <w:szCs w:val="15"/>
              </w:rPr>
              <w:t xml:space="preserve">Foreign Keys</w:t>
            </w:r>
          </w:p>
        </w:tc>
        <w:tc>
          <w:tcPr>
            <w:tcW w:type="dxa" w:w="3830"/>
            <w:tcMar>
              <w:top w:type="dxa" w:w="70"/>
              <w:left w:type="dxa" w:w="110"/>
              <w:bottom w:type="dxa" w:w="70"/>
              <w:right w:type="dxa" w:w="110"/>
            </w:tcMar>
            <w:vAlign w:val="top"/>
          </w:tcPr>
          <w:p>
            <w:r>
              <w:rPr>
                <w:b w:val="false"/>
                <w:bCs w:val="false"/>
                <w:color w:val="1A1A1A"/>
                <w:sz w:val="15"/>
                <w:szCs w:val="15"/>
              </w:rPr>
              <w:t xml:space="preserve">&lt;entity&gt;_id</w:t>
            </w:r>
          </w:p>
        </w:tc>
        <w:tc>
          <w:tcPr>
            <w:tcW w:type="dxa" w:w="4435"/>
            <w:tcMar>
              <w:top w:type="dxa" w:w="70"/>
              <w:left w:type="dxa" w:w="110"/>
              <w:bottom w:type="dxa" w:w="70"/>
              <w:right w:type="dxa" w:w="110"/>
            </w:tcMar>
            <w:vAlign w:val="top"/>
          </w:tcPr>
          <w:p>
            <w:r>
              <w:rPr>
                <w:b w:val="false"/>
                <w:bCs w:val="false"/>
                <w:color w:val="1A1A1A"/>
                <w:sz w:val="15"/>
                <w:szCs w:val="15"/>
              </w:rPr>
              <w:t xml:space="preserve">project_id, user_id</w:t>
            </w:r>
          </w:p>
        </w:tc>
      </w:tr>
      <w:tr>
        <w:tc>
          <w:tcPr>
            <w:tcW w:type="dxa" w:w="1814"/>
            <w:tcMar>
              <w:top w:type="dxa" w:w="70"/>
              <w:left w:type="dxa" w:w="110"/>
              <w:bottom w:type="dxa" w:w="70"/>
              <w:right w:type="dxa" w:w="110"/>
            </w:tcMar>
            <w:vAlign w:val="top"/>
          </w:tcPr>
          <w:p>
            <w:r>
              <w:rPr>
                <w:b/>
                <w:bCs/>
                <w:color w:val="1A1A1A"/>
                <w:sz w:val="15"/>
                <w:szCs w:val="15"/>
              </w:rPr>
              <w:t xml:space="preserve">Indexes</w:t>
            </w:r>
          </w:p>
        </w:tc>
        <w:tc>
          <w:tcPr>
            <w:tcW w:type="dxa" w:w="3830"/>
            <w:tcMar>
              <w:top w:type="dxa" w:w="70"/>
              <w:left w:type="dxa" w:w="110"/>
              <w:bottom w:type="dxa" w:w="70"/>
              <w:right w:type="dxa" w:w="110"/>
            </w:tcMar>
            <w:vAlign w:val="top"/>
          </w:tcPr>
          <w:p>
            <w:r>
              <w:rPr>
                <w:b w:val="false"/>
                <w:bCs w:val="false"/>
                <w:color w:val="1A1A1A"/>
                <w:sz w:val="15"/>
                <w:szCs w:val="15"/>
              </w:rPr>
              <w:t xml:space="preserve">idx_&lt;table&gt;_&lt;column&gt;</w:t>
            </w:r>
          </w:p>
        </w:tc>
        <w:tc>
          <w:tcPr>
            <w:tcW w:type="dxa" w:w="4435"/>
            <w:tcMar>
              <w:top w:type="dxa" w:w="70"/>
              <w:left w:type="dxa" w:w="110"/>
              <w:bottom w:type="dxa" w:w="70"/>
              <w:right w:type="dxa" w:w="110"/>
            </w:tcMar>
            <w:vAlign w:val="top"/>
          </w:tcPr>
          <w:p>
            <w:r>
              <w:rPr>
                <w:b w:val="false"/>
                <w:bCs w:val="false"/>
                <w:color w:val="1A1A1A"/>
                <w:sz w:val="15"/>
                <w:szCs w:val="15"/>
              </w:rPr>
              <w:t xml:space="preserve">idx_projects_status</w:t>
            </w:r>
          </w:p>
        </w:tc>
      </w:tr>
      <w:tr>
        <w:tc>
          <w:tcPr>
            <w:tcW w:type="dxa" w:w="1814"/>
            <w:tcMar>
              <w:top w:type="dxa" w:w="70"/>
              <w:left w:type="dxa" w:w="110"/>
              <w:bottom w:type="dxa" w:w="70"/>
              <w:right w:type="dxa" w:w="110"/>
            </w:tcMar>
            <w:vAlign w:val="top"/>
          </w:tcPr>
          <w:p>
            <w:r>
              <w:rPr>
                <w:b/>
                <w:bCs/>
                <w:color w:val="1A1A1A"/>
                <w:sz w:val="15"/>
                <w:szCs w:val="15"/>
              </w:rPr>
              <w:t xml:space="preserve">Constraints</w:t>
            </w:r>
          </w:p>
        </w:tc>
        <w:tc>
          <w:tcPr>
            <w:tcW w:type="dxa" w:w="3830"/>
            <w:tcMar>
              <w:top w:type="dxa" w:w="70"/>
              <w:left w:type="dxa" w:w="110"/>
              <w:bottom w:type="dxa" w:w="70"/>
              <w:right w:type="dxa" w:w="110"/>
            </w:tcMar>
            <w:vAlign w:val="top"/>
          </w:tcPr>
          <w:p>
            <w:r>
              <w:rPr>
                <w:b w:val="false"/>
                <w:bCs w:val="false"/>
                <w:color w:val="1A1A1A"/>
                <w:sz w:val="15"/>
                <w:szCs w:val="15"/>
              </w:rPr>
              <w:t xml:space="preserve">fk_/chk_/uq_&lt;table&gt;_&lt;column|rule&gt;</w:t>
            </w:r>
          </w:p>
        </w:tc>
        <w:tc>
          <w:tcPr>
            <w:tcW w:type="dxa" w:w="4435"/>
            <w:tcMar>
              <w:top w:type="dxa" w:w="70"/>
              <w:left w:type="dxa" w:w="110"/>
              <w:bottom w:type="dxa" w:w="70"/>
              <w:right w:type="dxa" w:w="110"/>
            </w:tcMar>
            <w:vAlign w:val="top"/>
          </w:tcPr>
          <w:p>
            <w:r>
              <w:rPr>
                <w:b w:val="false"/>
                <w:bCs w:val="false"/>
                <w:color w:val="1A1A1A"/>
                <w:sz w:val="15"/>
                <w:szCs w:val="15"/>
              </w:rPr>
              <w:t xml:space="preserve">fk_projects_owner_id, chk_projects_status, uq_users_email</w:t>
            </w:r>
          </w:p>
        </w:tc>
      </w:tr>
    </w:tbl>
    <w:p>
      <w:pPr>
        <w:spacing w:after="150" w:line="276"/>
        <w:jc w:val="both"/>
      </w:pPr>
      <w:r>
        <w:t xml:space="preserve">Consistency across all schemas is mandatory.</w:t>
      </w:r>
    </w:p>
    <w:p>
      <w:pPr>
        <w:pStyle w:val="Heading1"/>
        <w:pBdr>
          <w:bottom w:val="single" w:color="C6D2E0" w:sz="4" w:space="4"/>
        </w:pBdr>
        <w:spacing w:after="140" w:before="360"/>
      </w:pPr>
      <w:r>
        <w:rPr>
          <w:b/>
          <w:bCs/>
          <w:color w:val="4A6FA5"/>
          <w:sz w:val="26"/>
          <w:szCs w:val="26"/>
        </w:rPr>
        <w:t xml:space="preserve">11.6  </w:t>
      </w:r>
      <w:r>
        <w:rPr>
          <w:b/>
          <w:bCs/>
          <w:color w:val="1F3864"/>
          <w:sz w:val="26"/>
          <w:szCs w:val="26"/>
        </w:rPr>
        <w:t xml:space="preserve">Schema Design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schema design requirements.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Balances data integrity with practical performance needs.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Third Normal Form (3NF) by default; denormalization only where justified for performance.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Schemas that are normalized, constrained, and fully audit-enabled by default.</w:t>
            </w:r>
          </w:p>
        </w:tc>
      </w:tr>
    </w:tbl>
    <w:p>
      <w:pPr>
        <w:spacing w:after="160"/>
      </w:pPr>
    </w:p>
    <w:p>
      <w:pPr>
        <w:spacing w:after="150" w:line="276"/>
        <w:jc w:val="both"/>
      </w:pPr>
      <w:r>
        <w:t xml:space="preserve">Requirements include:</w:t>
      </w:r>
    </w:p>
    <w:p>
      <w:pPr>
        <w:pStyle w:val="ListParagraph"/>
        <w:numPr>
          <w:ilvl w:val="0"/>
          <w:numId w:val="1"/>
        </w:numPr>
        <w:spacing w:after="90" w:line="264"/>
      </w:pPr>
      <w:r>
        <w:t xml:space="preserve">Third Normal Form (3NF) by default.</w:t>
      </w:r>
    </w:p>
    <w:p>
      <w:pPr>
        <w:pStyle w:val="ListParagraph"/>
        <w:numPr>
          <w:ilvl w:val="0"/>
          <w:numId w:val="1"/>
        </w:numPr>
        <w:spacing w:after="90" w:line="264"/>
      </w:pPr>
      <w:r>
        <w:t xml:space="preserve">Denormalization only where justified for performance.</w:t>
      </w:r>
    </w:p>
    <w:p>
      <w:pPr>
        <w:pStyle w:val="ListParagraph"/>
        <w:numPr>
          <w:ilvl w:val="0"/>
          <w:numId w:val="1"/>
        </w:numPr>
        <w:spacing w:after="90" w:line="264"/>
      </w:pPr>
      <w:r>
        <w:t xml:space="preserve">Mandatory primary keys.</w:t>
      </w:r>
    </w:p>
    <w:p>
      <w:pPr>
        <w:pStyle w:val="ListParagraph"/>
        <w:numPr>
          <w:ilvl w:val="0"/>
          <w:numId w:val="1"/>
        </w:numPr>
        <w:spacing w:after="90" w:line="264"/>
      </w:pPr>
      <w:r>
        <w:t xml:space="preserve">Foreign key constraints.</w:t>
      </w:r>
    </w:p>
    <w:p>
      <w:pPr>
        <w:pStyle w:val="ListParagraph"/>
        <w:numPr>
          <w:ilvl w:val="0"/>
          <w:numId w:val="1"/>
        </w:numPr>
        <w:spacing w:after="90" w:line="264"/>
      </w:pPr>
      <w:r>
        <w:t xml:space="preserve">Check constraints for business rules.</w:t>
      </w:r>
    </w:p>
    <w:p>
      <w:pPr>
        <w:pStyle w:val="ListParagraph"/>
        <w:numPr>
          <w:ilvl w:val="0"/>
          <w:numId w:val="1"/>
        </w:numPr>
        <w:spacing w:after="90" w:line="264"/>
      </w:pPr>
      <w:r>
        <w:t xml:space="preserve">Default values where appropriate.</w:t>
      </w:r>
    </w:p>
    <w:p>
      <w:pPr>
        <w:pStyle w:val="ListParagraph"/>
        <w:numPr>
          <w:ilvl w:val="0"/>
          <w:numId w:val="1"/>
        </w:numPr>
        <w:spacing w:after="90" w:line="264"/>
      </w:pPr>
      <w:r>
        <w:t xml:space="preserve">Audit fields (created_at, created_by, updated_at, updated_by).</w:t>
      </w:r>
    </w:p>
    <w:p>
      <w:pPr>
        <w:pStyle w:val="ListParagraph"/>
        <w:numPr>
          <w:ilvl w:val="0"/>
          <w:numId w:val="1"/>
        </w:numPr>
        <w:spacing w:after="90" w:line="264"/>
      </w:pPr>
      <w:r>
        <w:t xml:space="preserve">Soft delete (deleted_at, deleted_by) where business processes require record retention.</w:t>
      </w:r>
    </w:p>
    <w:p>
      <w:pPr>
        <w:pStyle w:val="Heading1"/>
        <w:pBdr>
          <w:bottom w:val="single" w:color="C6D2E0" w:sz="4" w:space="4"/>
        </w:pBdr>
        <w:spacing w:after="140" w:before="360"/>
      </w:pPr>
      <w:r>
        <w:rPr>
          <w:b/>
          <w:bCs/>
          <w:color w:val="4A6FA5"/>
          <w:sz w:val="26"/>
          <w:szCs w:val="26"/>
        </w:rPr>
        <w:t xml:space="preserve">11.7  </w:t>
      </w:r>
      <w:r>
        <w:rPr>
          <w:b/>
          <w:bCs/>
          <w:color w:val="1F3864"/>
          <w:sz w:val="26"/>
          <w:szCs w:val="26"/>
        </w:rPr>
        <w:t xml:space="preserve">Data Integrity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mechanisms enforcing data integrity.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platform from silent data corruption or inconsistency.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Structural integrity is enforced by the database; business validation occurs in the application layer.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Data that remains structurally valid regardless of which application writes to it.</w:t>
            </w:r>
          </w:p>
        </w:tc>
      </w:tr>
    </w:tbl>
    <w:p>
      <w:pPr>
        <w:spacing w:after="160"/>
      </w:pPr>
    </w:p>
    <w:p>
      <w:pPr>
        <w:spacing w:after="150" w:line="276"/>
        <w:jc w:val="both"/>
      </w:pPr>
      <w:r>
        <w:t xml:space="preserve">Data integrity shall be enforced through:</w:t>
      </w:r>
    </w:p>
    <w:p>
      <w:pPr>
        <w:pStyle w:val="ListParagraph"/>
        <w:numPr>
          <w:ilvl w:val="0"/>
          <w:numId w:val="1"/>
        </w:numPr>
        <w:spacing w:after="90" w:line="264"/>
      </w:pPr>
      <w:r>
        <w:t xml:space="preserve">Foreign key constraints.</w:t>
      </w:r>
    </w:p>
    <w:p>
      <w:pPr>
        <w:pStyle w:val="ListParagraph"/>
        <w:numPr>
          <w:ilvl w:val="0"/>
          <w:numId w:val="1"/>
        </w:numPr>
        <w:spacing w:after="90" w:line="264"/>
      </w:pPr>
      <w:r>
        <w:t xml:space="preserve">Unique constraints.</w:t>
      </w:r>
    </w:p>
    <w:p>
      <w:pPr>
        <w:pStyle w:val="ListParagraph"/>
        <w:numPr>
          <w:ilvl w:val="0"/>
          <w:numId w:val="1"/>
        </w:numPr>
        <w:spacing w:after="90" w:line="264"/>
      </w:pPr>
      <w:r>
        <w:t xml:space="preserve">NOT NULL constraints.</w:t>
      </w:r>
    </w:p>
    <w:p>
      <w:pPr>
        <w:pStyle w:val="ListParagraph"/>
        <w:numPr>
          <w:ilvl w:val="0"/>
          <w:numId w:val="1"/>
        </w:numPr>
        <w:spacing w:after="90" w:line="264"/>
      </w:pPr>
      <w:r>
        <w:t xml:space="preserve">Check constraints.</w:t>
      </w:r>
    </w:p>
    <w:p>
      <w:pPr>
        <w:pStyle w:val="ListParagraph"/>
        <w:numPr>
          <w:ilvl w:val="0"/>
          <w:numId w:val="1"/>
        </w:numPr>
        <w:spacing w:after="90" w:line="264"/>
      </w:pPr>
      <w:r>
        <w:t xml:space="preserve">Transactions with ACID guarantees.</w:t>
      </w:r>
    </w:p>
    <w:p>
      <w:pPr>
        <w:pStyle w:val="ListParagraph"/>
        <w:numPr>
          <w:ilvl w:val="0"/>
          <w:numId w:val="1"/>
        </w:numPr>
        <w:spacing w:after="90" w:line="264"/>
      </w:pPr>
      <w:r>
        <w:t xml:space="preserve">Referential integrity.</w:t>
      </w:r>
    </w:p>
    <w:p>
      <w:pPr>
        <w:pStyle w:val="ListParagraph"/>
        <w:numPr>
          <w:ilvl w:val="0"/>
          <w:numId w:val="1"/>
        </w:numPr>
        <w:spacing w:after="90" w:line="264"/>
      </w:pPr>
      <w:r>
        <w:t xml:space="preserve">Controlled cascading updates/deletes.</w:t>
      </w:r>
    </w:p>
    <w:p>
      <w:pPr>
        <w:spacing w:after="150" w:line="276"/>
        <w:jc w:val="both"/>
      </w:pPr>
      <w:r>
        <w:t xml:space="preserve">Business validation should occur in the application layer, while structural integrity remains enforced by the database.</w:t>
      </w:r>
    </w:p>
    <w:p>
      <w:pPr>
        <w:pStyle w:val="Heading1"/>
        <w:pBdr>
          <w:bottom w:val="single" w:color="C6D2E0" w:sz="4" w:space="4"/>
        </w:pBdr>
        <w:spacing w:after="140" w:before="360"/>
      </w:pPr>
      <w:r>
        <w:rPr>
          <w:b/>
          <w:bCs/>
          <w:color w:val="4A6FA5"/>
          <w:sz w:val="26"/>
          <w:szCs w:val="26"/>
        </w:rPr>
        <w:t xml:space="preserve">11.8  </w:t>
      </w:r>
      <w:r>
        <w:rPr>
          <w:b/>
          <w:bCs/>
          <w:color w:val="1F3864"/>
          <w:sz w:val="26"/>
          <w:szCs w:val="26"/>
        </w:rPr>
        <w:t xml:space="preserve">Indexing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indexes are selected and maintained.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Balances query performance against write overhead and storage cost.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Indexing decisions are validated through performance testing, not assumption.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indexing strategy grounded in observed query patterns, reviewed periodically.</w:t>
            </w:r>
          </w:p>
        </w:tc>
      </w:tr>
    </w:tbl>
    <w:p>
      <w:pPr>
        <w:spacing w:after="160"/>
      </w:pPr>
    </w:p>
    <w:p>
      <w:pPr>
        <w:spacing w:after="150" w:line="276"/>
        <w:jc w:val="both"/>
      </w:pPr>
      <w:r>
        <w:t xml:space="preserve">Indexes shall be created based on expected query patterns. Guidelines:</w:t>
      </w:r>
    </w:p>
    <w:p>
      <w:pPr>
        <w:pStyle w:val="ListParagraph"/>
        <w:numPr>
          <w:ilvl w:val="0"/>
          <w:numId w:val="1"/>
        </w:numPr>
        <w:spacing w:after="90" w:line="264"/>
      </w:pPr>
      <w:r>
        <w:t xml:space="preserve">Index primary and foreign keys.</w:t>
      </w:r>
    </w:p>
    <w:p>
      <w:pPr>
        <w:pStyle w:val="ListParagraph"/>
        <w:numPr>
          <w:ilvl w:val="0"/>
          <w:numId w:val="1"/>
        </w:numPr>
        <w:spacing w:after="90" w:line="264"/>
      </w:pPr>
      <w:r>
        <w:t xml:space="preserve">Index frequently filtered columns.</w:t>
      </w:r>
    </w:p>
    <w:p>
      <w:pPr>
        <w:pStyle w:val="ListParagraph"/>
        <w:numPr>
          <w:ilvl w:val="0"/>
          <w:numId w:val="1"/>
        </w:numPr>
        <w:spacing w:after="90" w:line="264"/>
      </w:pPr>
      <w:r>
        <w:t xml:space="preserve">Avoid excessive indexing that degrades write performance.</w:t>
      </w:r>
    </w:p>
    <w:p>
      <w:pPr>
        <w:pStyle w:val="ListParagraph"/>
        <w:numPr>
          <w:ilvl w:val="0"/>
          <w:numId w:val="1"/>
        </w:numPr>
        <w:spacing w:after="90" w:line="264"/>
      </w:pPr>
      <w:r>
        <w:t xml:space="preserve">Review index usage periodically.</w:t>
      </w:r>
    </w:p>
    <w:p>
      <w:pPr>
        <w:pStyle w:val="ListParagraph"/>
        <w:numPr>
          <w:ilvl w:val="0"/>
          <w:numId w:val="1"/>
        </w:numPr>
        <w:spacing w:after="90" w:line="264"/>
      </w:pPr>
      <w:r>
        <w:t xml:space="preserve">Remove unused indexes after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1FB" w:sz="2"/>
              <w:left w:val="single" w:color="2E5395" w:sz="24"/>
              <w:bottom w:val="single" w:color="EAF1FB" w:sz="2"/>
              <w:right w:val="single" w:color="EAF1FB" w:sz="2"/>
            </w:tcBorders>
            <w:shd w:fill="EAF1FB" w:val="clear"/>
            <w:tcMar>
              <w:top w:type="dxa" w:w="120"/>
              <w:left w:type="dxa" w:w="180"/>
              <w:bottom w:type="dxa" w:w="120"/>
              <w:right w:type="dxa" w:w="180"/>
            </w:tcMar>
          </w:tcPr>
          <w:p>
            <w:pPr>
              <w:spacing w:after="60"/>
            </w:pPr>
            <w:r>
              <w:rPr>
                <w:b/>
                <w:bCs/>
                <w:color w:val="2E5395"/>
                <w:sz w:val="17"/>
                <w:szCs w:val="17"/>
              </w:rPr>
              <w:t xml:space="preserve">RECOMMENDATION</w:t>
            </w:r>
          </w:p>
          <w:p>
            <w:pPr>
              <w:spacing w:after="0"/>
            </w:pPr>
            <w:r>
              <w:rPr>
                <w:sz w:val="18"/>
                <w:szCs w:val="18"/>
              </w:rPr>
              <w:t xml:space="preserve">Performance testing shall validate indexing decisions.</w:t>
            </w:r>
          </w:p>
        </w:tc>
      </w:tr>
    </w:tbl>
    <w:p>
      <w:pPr>
        <w:pStyle w:val="Heading1"/>
        <w:pBdr>
          <w:bottom w:val="single" w:color="C6D2E0" w:sz="4" w:space="4"/>
        </w:pBdr>
        <w:spacing w:after="140" w:before="360"/>
      </w:pPr>
      <w:r>
        <w:rPr>
          <w:b/>
          <w:bCs/>
          <w:color w:val="4A6FA5"/>
          <w:sz w:val="26"/>
          <w:szCs w:val="26"/>
        </w:rPr>
        <w:t xml:space="preserve">11.9  </w:t>
      </w:r>
      <w:r>
        <w:rPr>
          <w:b/>
          <w:bCs/>
          <w:color w:val="1F3864"/>
          <w:sz w:val="26"/>
          <w:szCs w:val="26"/>
        </w:rPr>
        <w:t xml:space="preserve">Transaction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behavior for transactional operations.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data corruption and lock contention under concurrent load.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Distributed transactions should be avoided unless clearly justified.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Transactions that are atomic, short-lived, and safe under concurrency.</w:t>
            </w:r>
          </w:p>
        </w:tc>
      </w:tr>
    </w:tbl>
    <w:p>
      <w:pPr>
        <w:spacing w:after="160"/>
      </w:pPr>
    </w:p>
    <w:p>
      <w:pPr>
        <w:spacing w:after="150" w:line="276"/>
        <w:jc w:val="both"/>
      </w:pPr>
      <w:r>
        <w:t xml:space="preserve">All transactional operations shall:</w:t>
      </w:r>
    </w:p>
    <w:p>
      <w:pPr>
        <w:pStyle w:val="ListParagraph"/>
        <w:numPr>
          <w:ilvl w:val="0"/>
          <w:numId w:val="1"/>
        </w:numPr>
        <w:spacing w:after="90" w:line="264"/>
      </w:pPr>
      <w:r>
        <w:t xml:space="preserve">Be atomic.</w:t>
      </w:r>
    </w:p>
    <w:p>
      <w:pPr>
        <w:pStyle w:val="ListParagraph"/>
        <w:numPr>
          <w:ilvl w:val="0"/>
          <w:numId w:val="1"/>
        </w:numPr>
        <w:spacing w:after="90" w:line="264"/>
      </w:pPr>
      <w:r>
        <w:t xml:space="preserve">Use appropriate isolation levels.</w:t>
      </w:r>
    </w:p>
    <w:p>
      <w:pPr>
        <w:pStyle w:val="ListParagraph"/>
        <w:numPr>
          <w:ilvl w:val="0"/>
          <w:numId w:val="1"/>
        </w:numPr>
        <w:spacing w:after="90" w:line="264"/>
      </w:pPr>
      <w:r>
        <w:t xml:space="preserve">Roll back on failure.</w:t>
      </w:r>
    </w:p>
    <w:p>
      <w:pPr>
        <w:pStyle w:val="ListParagraph"/>
        <w:numPr>
          <w:ilvl w:val="0"/>
          <w:numId w:val="1"/>
        </w:numPr>
        <w:spacing w:after="90" w:line="264"/>
      </w:pPr>
      <w:r>
        <w:t xml:space="preserve">Minimize lock duration.</w:t>
      </w:r>
    </w:p>
    <w:p>
      <w:pPr>
        <w:pStyle w:val="ListParagraph"/>
        <w:numPr>
          <w:ilvl w:val="0"/>
          <w:numId w:val="1"/>
        </w:numPr>
        <w:spacing w:after="90" w:line="264"/>
      </w:pPr>
      <w:r>
        <w:t xml:space="preserve">Avoid long-running transactions.</w:t>
      </w:r>
    </w:p>
    <w:p>
      <w:pPr>
        <w:pStyle w:val="ListParagraph"/>
        <w:numPr>
          <w:ilvl w:val="0"/>
          <w:numId w:val="1"/>
        </w:numPr>
        <w:spacing w:after="90" w:line="264"/>
      </w:pPr>
      <w:r>
        <w:t xml:space="preserve">Be idempotent where applicable.</w:t>
      </w:r>
    </w:p>
    <w:p>
      <w:pPr>
        <w:spacing w:after="150" w:line="276"/>
        <w:jc w:val="both"/>
      </w:pPr>
      <w:r>
        <w:t xml:space="preserve">Distributed transactions should be avoided unless clearly justified.</w:t>
      </w:r>
    </w:p>
    <w:p>
      <w:pPr>
        <w:pStyle w:val="Heading1"/>
        <w:pBdr>
          <w:bottom w:val="single" w:color="C6D2E0" w:sz="4" w:space="4"/>
        </w:pBdr>
        <w:spacing w:after="140" w:before="360"/>
      </w:pPr>
      <w:r>
        <w:rPr>
          <w:b/>
          <w:bCs/>
          <w:color w:val="4A6FA5"/>
          <w:sz w:val="26"/>
          <w:szCs w:val="26"/>
        </w:rPr>
        <w:t xml:space="preserve">11.10  </w:t>
      </w:r>
      <w:r>
        <w:rPr>
          <w:b/>
          <w:bCs/>
          <w:color w:val="1F3864"/>
          <w:sz w:val="26"/>
          <w:szCs w:val="26"/>
        </w:rPr>
        <w:t xml:space="preserve">Security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database-level security controls.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platform's most sensitive asset — the data itself.</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platform-wide Security Standards in Section 7.8 and Chapter 14.</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database hardened against unauthorized access at every layer.</w:t>
            </w:r>
          </w:p>
        </w:tc>
      </w:tr>
    </w:tbl>
    <w:p>
      <w:pPr>
        <w:spacing w:after="160"/>
      </w:pPr>
    </w:p>
    <w:p>
      <w:pPr>
        <w:spacing w:after="150" w:line="276"/>
        <w:jc w:val="both"/>
      </w:pPr>
      <w:r>
        <w:t xml:space="preserve">Database security shall include:</w:t>
      </w:r>
    </w:p>
    <w:p>
      <w:pPr>
        <w:pStyle w:val="ListParagraph"/>
        <w:numPr>
          <w:ilvl w:val="0"/>
          <w:numId w:val="1"/>
        </w:numPr>
        <w:spacing w:after="90" w:line="264"/>
      </w:pPr>
      <w:r>
        <w:t xml:space="preserve">Least-privilege access.</w:t>
      </w:r>
    </w:p>
    <w:p>
      <w:pPr>
        <w:pStyle w:val="ListParagraph"/>
        <w:numPr>
          <w:ilvl w:val="0"/>
          <w:numId w:val="1"/>
        </w:numPr>
        <w:spacing w:after="90" w:line="264"/>
      </w:pPr>
      <w:r>
        <w:t xml:space="preserve">Role-based database accounts.</w:t>
      </w:r>
    </w:p>
    <w:p>
      <w:pPr>
        <w:pStyle w:val="ListParagraph"/>
        <w:numPr>
          <w:ilvl w:val="0"/>
          <w:numId w:val="1"/>
        </w:numPr>
        <w:spacing w:after="90" w:line="264"/>
      </w:pPr>
      <w:r>
        <w:t xml:space="preserve">Encryption at rest.</w:t>
      </w:r>
    </w:p>
    <w:p>
      <w:pPr>
        <w:pStyle w:val="ListParagraph"/>
        <w:numPr>
          <w:ilvl w:val="0"/>
          <w:numId w:val="1"/>
        </w:numPr>
        <w:spacing w:after="90" w:line="264"/>
      </w:pPr>
      <w:r>
        <w:t xml:space="preserve">TLS encryption in transit.</w:t>
      </w:r>
    </w:p>
    <w:p>
      <w:pPr>
        <w:pStyle w:val="ListParagraph"/>
        <w:numPr>
          <w:ilvl w:val="0"/>
          <w:numId w:val="1"/>
        </w:numPr>
        <w:spacing w:after="90" w:line="264"/>
      </w:pPr>
      <w:r>
        <w:t xml:space="preserve">Secrets management for credentials.</w:t>
      </w:r>
    </w:p>
    <w:p>
      <w:pPr>
        <w:pStyle w:val="ListParagraph"/>
        <w:numPr>
          <w:ilvl w:val="0"/>
          <w:numId w:val="1"/>
        </w:numPr>
        <w:spacing w:after="90" w:line="264"/>
      </w:pPr>
      <w:r>
        <w:t xml:space="preserve">Database auditing.</w:t>
      </w:r>
    </w:p>
    <w:p>
      <w:pPr>
        <w:pStyle w:val="ListParagraph"/>
        <w:numPr>
          <w:ilvl w:val="0"/>
          <w:numId w:val="1"/>
        </w:numPr>
        <w:spacing w:after="90" w:line="264"/>
      </w:pPr>
      <w:r>
        <w:t xml:space="preserve">Secure backups.</w:t>
      </w:r>
    </w:p>
    <w:p>
      <w:pPr>
        <w:pStyle w:val="ListParagraph"/>
        <w:numPr>
          <w:ilvl w:val="0"/>
          <w:numId w:val="1"/>
        </w:numPr>
        <w:spacing w:after="90" w:line="264"/>
      </w:pPr>
      <w:r>
        <w:t xml:space="preserve">Regular patching.</w:t>
      </w:r>
    </w:p>
    <w:p>
      <w:pPr>
        <w:pStyle w:val="ListParagraph"/>
        <w:numPr>
          <w:ilvl w:val="0"/>
          <w:numId w:val="1"/>
        </w:numPr>
        <w:spacing w:after="90" w:line="264"/>
      </w:pPr>
      <w:r>
        <w:t xml:space="preserve">Network segmentation.</w:t>
      </w:r>
    </w:p>
    <w:p>
      <w:pPr>
        <w:pStyle w:val="ListParagraph"/>
        <w:numPr>
          <w:ilvl w:val="0"/>
          <w:numId w:val="1"/>
        </w:numPr>
        <w:spacing w:after="90" w:line="264"/>
      </w:pPr>
      <w:r>
        <w:t xml:space="preserve">Multi-factor authentication for administrative access where supported.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No application account shall have unnecessary administrative privileges.</w:t>
            </w:r>
          </w:p>
        </w:tc>
      </w:tr>
    </w:tbl>
    <w:p>
      <w:pPr>
        <w:pStyle w:val="Heading1"/>
        <w:pBdr>
          <w:bottom w:val="single" w:color="C6D2E0" w:sz="4" w:space="4"/>
        </w:pBdr>
        <w:spacing w:after="140" w:before="360"/>
      </w:pPr>
      <w:r>
        <w:rPr>
          <w:b/>
          <w:bCs/>
          <w:color w:val="4A6FA5"/>
          <w:sz w:val="26"/>
          <w:szCs w:val="26"/>
        </w:rPr>
        <w:t xml:space="preserve">11.11  </w:t>
      </w:r>
      <w:r>
        <w:rPr>
          <w:b/>
          <w:bCs/>
          <w:color w:val="1F3864"/>
          <w:sz w:val="26"/>
          <w:szCs w:val="26"/>
        </w:rPr>
        <w:t xml:space="preserve">Backup and Recovery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platform's backup cadence and recovery objectives.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programme against catastrophic data loss.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Recovery procedures are documented and rehearsed, not merely defined on paper.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verified, tested capability to restore service within defined recovery objectives.</w:t>
            </w:r>
          </w:p>
        </w:tc>
      </w:tr>
    </w:tbl>
    <w:p>
      <w:pPr>
        <w:spacing w:after="160"/>
      </w:pPr>
    </w:p>
    <w:p>
      <w:pPr>
        <w:spacing w:after="150" w:line="276"/>
        <w:jc w:val="both"/>
      </w:pPr>
      <w:r>
        <w:t xml:space="preserve">Backup strategy shall include:</w:t>
      </w:r>
    </w:p>
    <w:p>
      <w:pPr>
        <w:pStyle w:val="ListParagraph"/>
        <w:numPr>
          <w:ilvl w:val="0"/>
          <w:numId w:val="1"/>
        </w:numPr>
        <w:spacing w:after="90" w:line="264"/>
      </w:pPr>
      <w:r>
        <w:t xml:space="preserve">Daily incremental backups.</w:t>
      </w:r>
    </w:p>
    <w:p>
      <w:pPr>
        <w:pStyle w:val="ListParagraph"/>
        <w:numPr>
          <w:ilvl w:val="0"/>
          <w:numId w:val="1"/>
        </w:numPr>
        <w:spacing w:after="90" w:line="264"/>
      </w:pPr>
      <w:r>
        <w:t xml:space="preserve">Weekly full backups.</w:t>
      </w:r>
    </w:p>
    <w:p>
      <w:pPr>
        <w:pStyle w:val="ListParagraph"/>
        <w:numPr>
          <w:ilvl w:val="0"/>
          <w:numId w:val="1"/>
        </w:numPr>
        <w:spacing w:after="90" w:line="264"/>
      </w:pPr>
      <w:r>
        <w:t xml:space="preserve">Secure off-site storage.</w:t>
      </w:r>
    </w:p>
    <w:p>
      <w:pPr>
        <w:pStyle w:val="ListParagraph"/>
        <w:numPr>
          <w:ilvl w:val="0"/>
          <w:numId w:val="1"/>
        </w:numPr>
        <w:spacing w:after="90" w:line="264"/>
      </w:pPr>
      <w:r>
        <w:t xml:space="preserve">Encrypted backup files.</w:t>
      </w:r>
    </w:p>
    <w:p>
      <w:pPr>
        <w:pStyle w:val="ListParagraph"/>
        <w:numPr>
          <w:ilvl w:val="0"/>
          <w:numId w:val="1"/>
        </w:numPr>
        <w:spacing w:after="90" w:line="264"/>
      </w:pPr>
      <w:r>
        <w:t xml:space="preserve">Periodic restoration testing.</w:t>
      </w:r>
    </w:p>
    <w:p>
      <w:pPr>
        <w:pStyle w:val="ListParagraph"/>
        <w:numPr>
          <w:ilvl w:val="0"/>
          <w:numId w:val="1"/>
        </w:numPr>
        <w:spacing w:after="90" w:line="264"/>
      </w:pPr>
      <w:r>
        <w:t xml:space="preserve">Defined Recovery Point Objective (RPO).</w:t>
      </w:r>
    </w:p>
    <w:p>
      <w:pPr>
        <w:pStyle w:val="ListParagraph"/>
        <w:numPr>
          <w:ilvl w:val="0"/>
          <w:numId w:val="1"/>
        </w:numPr>
        <w:spacing w:after="90" w:line="264"/>
      </w:pPr>
      <w:r>
        <w:t xml:space="preserve">Defined Recovery Time Objective (RTO).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Recovery procedures shall be documented and rehearsed.</w:t>
            </w:r>
          </w:p>
        </w:tc>
      </w:tr>
    </w:tbl>
    <w:p>
      <w:pPr>
        <w:pStyle w:val="Heading1"/>
        <w:pBdr>
          <w:bottom w:val="single" w:color="C6D2E0" w:sz="4" w:space="4"/>
        </w:pBdr>
        <w:spacing w:after="140" w:before="360"/>
      </w:pPr>
      <w:r>
        <w:rPr>
          <w:b/>
          <w:bCs/>
          <w:color w:val="4A6FA5"/>
          <w:sz w:val="26"/>
          <w:szCs w:val="26"/>
        </w:rPr>
        <w:t xml:space="preserve">11.12  </w:t>
      </w:r>
      <w:r>
        <w:rPr>
          <w:b/>
          <w:bCs/>
          <w:color w:val="1F3864"/>
          <w:sz w:val="26"/>
          <w:szCs w:val="26"/>
        </w:rPr>
        <w:t xml:space="preserve">Performance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the database is monitored for and how tuning decisions are made.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database performance keeps pace with growing data volume and user load.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Performance tuning is evidence-based and documented, not speculative.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database that performs predictably as usage and data volume grow.</w:t>
            </w:r>
          </w:p>
        </w:tc>
      </w:tr>
    </w:tbl>
    <w:p>
      <w:pPr>
        <w:spacing w:after="160"/>
      </w:pPr>
    </w:p>
    <w:p>
      <w:pPr>
        <w:spacing w:after="150" w:line="276"/>
        <w:jc w:val="both"/>
      </w:pPr>
      <w:r>
        <w:t xml:space="preserve">The database shall be monitored for:</w:t>
      </w:r>
    </w:p>
    <w:p>
      <w:pPr>
        <w:pStyle w:val="ListParagraph"/>
        <w:numPr>
          <w:ilvl w:val="0"/>
          <w:numId w:val="1"/>
        </w:numPr>
        <w:spacing w:after="90" w:line="264"/>
      </w:pPr>
      <w:r>
        <w:t xml:space="preserve">Query execution times.</w:t>
      </w:r>
    </w:p>
    <w:p>
      <w:pPr>
        <w:pStyle w:val="ListParagraph"/>
        <w:numPr>
          <w:ilvl w:val="0"/>
          <w:numId w:val="1"/>
        </w:numPr>
        <w:spacing w:after="90" w:line="264"/>
      </w:pPr>
      <w:r>
        <w:t xml:space="preserve">Slow queries.</w:t>
      </w:r>
    </w:p>
    <w:p>
      <w:pPr>
        <w:pStyle w:val="ListParagraph"/>
        <w:numPr>
          <w:ilvl w:val="0"/>
          <w:numId w:val="1"/>
        </w:numPr>
        <w:spacing w:after="90" w:line="264"/>
      </w:pPr>
      <w:r>
        <w:t xml:space="preserve">Lock contention.</w:t>
      </w:r>
    </w:p>
    <w:p>
      <w:pPr>
        <w:pStyle w:val="ListParagraph"/>
        <w:numPr>
          <w:ilvl w:val="0"/>
          <w:numId w:val="1"/>
        </w:numPr>
        <w:spacing w:after="90" w:line="264"/>
      </w:pPr>
      <w:r>
        <w:t xml:space="preserve">Connection pool utilization.</w:t>
      </w:r>
    </w:p>
    <w:p>
      <w:pPr>
        <w:pStyle w:val="ListParagraph"/>
        <w:numPr>
          <w:ilvl w:val="0"/>
          <w:numId w:val="1"/>
        </w:numPr>
        <w:spacing w:after="90" w:line="264"/>
      </w:pPr>
      <w:r>
        <w:t xml:space="preserve">Index efficiency.</w:t>
      </w:r>
    </w:p>
    <w:p>
      <w:pPr>
        <w:pStyle w:val="ListParagraph"/>
        <w:numPr>
          <w:ilvl w:val="0"/>
          <w:numId w:val="1"/>
        </w:numPr>
        <w:spacing w:after="90" w:line="264"/>
      </w:pPr>
      <w:r>
        <w:t xml:space="preserve">Storage growth.</w:t>
      </w:r>
    </w:p>
    <w:p>
      <w:pPr>
        <w:pStyle w:val="ListParagraph"/>
        <w:numPr>
          <w:ilvl w:val="0"/>
          <w:numId w:val="1"/>
        </w:numPr>
        <w:spacing w:after="90" w:line="264"/>
      </w:pPr>
      <w:r>
        <w:t xml:space="preserve">Replication lag (if applicable).</w:t>
      </w:r>
    </w:p>
    <w:p>
      <w:pPr>
        <w:pStyle w:val="ListParagraph"/>
        <w:numPr>
          <w:ilvl w:val="0"/>
          <w:numId w:val="1"/>
        </w:numPr>
        <w:spacing w:after="90" w:line="264"/>
      </w:pPr>
      <w:r>
        <w:t xml:space="preserve">Resource consumption.</w:t>
      </w:r>
    </w:p>
    <w:p>
      <w:pPr>
        <w:spacing w:after="150" w:line="276"/>
        <w:jc w:val="both"/>
      </w:pPr>
      <w:r>
        <w:t xml:space="preserve">Performance tuning shall be evidence-based and documented.</w:t>
      </w:r>
    </w:p>
    <w:p>
      <w:pPr>
        <w:pStyle w:val="Heading1"/>
        <w:pBdr>
          <w:bottom w:val="single" w:color="C6D2E0" w:sz="4" w:space="4"/>
        </w:pBdr>
        <w:spacing w:after="140" w:before="360"/>
      </w:pPr>
      <w:r>
        <w:rPr>
          <w:b/>
          <w:bCs/>
          <w:color w:val="4A6FA5"/>
          <w:sz w:val="26"/>
          <w:szCs w:val="26"/>
        </w:rPr>
        <w:t xml:space="preserve">11.13  </w:t>
      </w:r>
      <w:r>
        <w:rPr>
          <w:b/>
          <w:bCs/>
          <w:color w:val="1F3864"/>
          <w:sz w:val="26"/>
          <w:szCs w:val="26"/>
        </w:rPr>
        <w:t xml:space="preserve">Data Governance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formal governance model for data ownership and stewardship.</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Establishes clear accountability for data quality, retention, and classification.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Overseen by the Data Governance Committee established in Chapter 6.</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Data that is owned, classified, and governed, not merely stored.</w:t>
            </w:r>
          </w:p>
        </w:tc>
      </w:tr>
    </w:tbl>
    <w:p>
      <w:pPr>
        <w:spacing w:after="160"/>
      </w:pPr>
    </w:p>
    <w:p>
      <w:pPr>
        <w:spacing w:after="150" w:line="276"/>
        <w:jc w:val="both"/>
      </w:pPr>
      <w:r>
        <w:t xml:space="preserve">A formal governance model shall define:</w:t>
      </w:r>
    </w:p>
    <w:p>
      <w:pPr>
        <w:pStyle w:val="ListParagraph"/>
        <w:numPr>
          <w:ilvl w:val="0"/>
          <w:numId w:val="1"/>
        </w:numPr>
        <w:spacing w:after="90" w:line="264"/>
      </w:pPr>
      <w:r>
        <w:t xml:space="preserve">Data owners.</w:t>
      </w:r>
    </w:p>
    <w:p>
      <w:pPr>
        <w:pStyle w:val="ListParagraph"/>
        <w:numPr>
          <w:ilvl w:val="0"/>
          <w:numId w:val="1"/>
        </w:numPr>
        <w:spacing w:after="90" w:line="264"/>
      </w:pPr>
      <w:r>
        <w:t xml:space="preserve">Data stewards.</w:t>
      </w:r>
    </w:p>
    <w:p>
      <w:pPr>
        <w:pStyle w:val="ListParagraph"/>
        <w:numPr>
          <w:ilvl w:val="0"/>
          <w:numId w:val="1"/>
        </w:numPr>
        <w:spacing w:after="90" w:line="264"/>
      </w:pPr>
      <w:r>
        <w:t xml:space="preserve">Data classification.</w:t>
      </w:r>
    </w:p>
    <w:p>
      <w:pPr>
        <w:pStyle w:val="ListParagraph"/>
        <w:numPr>
          <w:ilvl w:val="0"/>
          <w:numId w:val="1"/>
        </w:numPr>
        <w:spacing w:after="90" w:line="264"/>
      </w:pPr>
      <w:r>
        <w:t xml:space="preserve">Retention schedules.</w:t>
      </w:r>
    </w:p>
    <w:p>
      <w:pPr>
        <w:pStyle w:val="ListParagraph"/>
        <w:numPr>
          <w:ilvl w:val="0"/>
          <w:numId w:val="1"/>
        </w:numPr>
        <w:spacing w:after="90" w:line="264"/>
      </w:pPr>
      <w:r>
        <w:t xml:space="preserve">Archiving policies.</w:t>
      </w:r>
    </w:p>
    <w:p>
      <w:pPr>
        <w:pStyle w:val="ListParagraph"/>
        <w:numPr>
          <w:ilvl w:val="0"/>
          <w:numId w:val="1"/>
        </w:numPr>
        <w:spacing w:after="90" w:line="264"/>
      </w:pPr>
      <w:r>
        <w:t xml:space="preserve">Data quality rules.</w:t>
      </w:r>
    </w:p>
    <w:p>
      <w:pPr>
        <w:pStyle w:val="ListParagraph"/>
        <w:numPr>
          <w:ilvl w:val="0"/>
          <w:numId w:val="1"/>
        </w:numPr>
        <w:spacing w:after="90" w:line="264"/>
      </w:pPr>
      <w:r>
        <w:t xml:space="preserve">Metadata management.</w:t>
      </w:r>
    </w:p>
    <w:p>
      <w:pPr>
        <w:pStyle w:val="ListParagraph"/>
        <w:numPr>
          <w:ilvl w:val="0"/>
          <w:numId w:val="1"/>
        </w:numPr>
        <w:spacing w:after="90" w:line="264"/>
      </w:pPr>
      <w:r>
        <w:t xml:space="preserve">Change approval processes.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 Data Governance Committee shall oversee compliance.</w:t>
            </w:r>
          </w:p>
        </w:tc>
      </w:tr>
    </w:tbl>
    <w:p>
      <w:pPr>
        <w:pStyle w:val="Heading1"/>
        <w:pBdr>
          <w:bottom w:val="single" w:color="C6D2E0" w:sz="4" w:space="4"/>
        </w:pBdr>
        <w:spacing w:after="140" w:before="360"/>
      </w:pPr>
      <w:r>
        <w:rPr>
          <w:b/>
          <w:bCs/>
          <w:color w:val="4A6FA5"/>
          <w:sz w:val="26"/>
          <w:szCs w:val="26"/>
        </w:rPr>
        <w:t xml:space="preserve">11.14  </w:t>
      </w:r>
      <w:r>
        <w:rPr>
          <w:b/>
          <w:bCs/>
          <w:color w:val="1F3864"/>
          <w:sz w:val="26"/>
          <w:szCs w:val="26"/>
        </w:rPr>
        <w:t xml:space="preserve">Audit and Compliance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database audit capabilities must record.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Provides an evidentiary trail for compliance reviews and incident investigation.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Audit records are tamper-evident and retained according to approved policies.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complete, tamper-evident record of every sensitive database operation.</w:t>
            </w:r>
          </w:p>
        </w:tc>
      </w:tr>
    </w:tbl>
    <w:p>
      <w:pPr>
        <w:spacing w:after="160"/>
      </w:pPr>
    </w:p>
    <w:p>
      <w:pPr>
        <w:spacing w:after="150" w:line="276"/>
        <w:jc w:val="both"/>
      </w:pPr>
      <w:r>
        <w:t xml:space="preserve">Audit capabilities shall record:</w:t>
      </w:r>
    </w:p>
    <w:p>
      <w:pPr>
        <w:pStyle w:val="ListParagraph"/>
        <w:numPr>
          <w:ilvl w:val="0"/>
          <w:numId w:val="1"/>
        </w:numPr>
        <w:spacing w:after="90" w:line="264"/>
      </w:pPr>
      <w:r>
        <w:t xml:space="preserve">User logins.</w:t>
      </w:r>
    </w:p>
    <w:p>
      <w:pPr>
        <w:pStyle w:val="ListParagraph"/>
        <w:numPr>
          <w:ilvl w:val="0"/>
          <w:numId w:val="1"/>
        </w:numPr>
        <w:spacing w:after="90" w:line="264"/>
      </w:pPr>
      <w:r>
        <w:t xml:space="preserve">Data creation.</w:t>
      </w:r>
    </w:p>
    <w:p>
      <w:pPr>
        <w:pStyle w:val="ListParagraph"/>
        <w:numPr>
          <w:ilvl w:val="0"/>
          <w:numId w:val="1"/>
        </w:numPr>
        <w:spacing w:after="90" w:line="264"/>
      </w:pPr>
      <w:r>
        <w:t xml:space="preserve">Data modification.</w:t>
      </w:r>
    </w:p>
    <w:p>
      <w:pPr>
        <w:pStyle w:val="ListParagraph"/>
        <w:numPr>
          <w:ilvl w:val="0"/>
          <w:numId w:val="1"/>
        </w:numPr>
        <w:spacing w:after="90" w:line="264"/>
      </w:pPr>
      <w:r>
        <w:t xml:space="preserve">Data deletion.</w:t>
      </w:r>
    </w:p>
    <w:p>
      <w:pPr>
        <w:pStyle w:val="ListParagraph"/>
        <w:numPr>
          <w:ilvl w:val="0"/>
          <w:numId w:val="1"/>
        </w:numPr>
        <w:spacing w:after="90" w:line="264"/>
      </w:pPr>
      <w:r>
        <w:t xml:space="preserve">Permission changes.</w:t>
      </w:r>
    </w:p>
    <w:p>
      <w:pPr>
        <w:pStyle w:val="ListParagraph"/>
        <w:numPr>
          <w:ilvl w:val="0"/>
          <w:numId w:val="1"/>
        </w:numPr>
        <w:spacing w:after="90" w:line="264"/>
      </w:pPr>
      <w:r>
        <w:t xml:space="preserve">Administrative actions.</w:t>
      </w:r>
    </w:p>
    <w:p>
      <w:pPr>
        <w:pStyle w:val="ListParagraph"/>
        <w:numPr>
          <w:ilvl w:val="0"/>
          <w:numId w:val="1"/>
        </w:numPr>
        <w:spacing w:after="90" w:line="264"/>
      </w:pPr>
      <w:r>
        <w:t xml:space="preserve">Failed access attempts.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COMPLIANCE REQUIREMENT</w:t>
            </w:r>
          </w:p>
          <w:p>
            <w:pPr>
              <w:spacing w:after="0"/>
            </w:pPr>
            <w:r>
              <w:rPr>
                <w:sz w:val="18"/>
                <w:szCs w:val="18"/>
              </w:rPr>
              <w:t xml:space="preserve">Audit records shall be tamper-evident and retained according to approved policies.</w:t>
            </w:r>
          </w:p>
        </w:tc>
      </w:tr>
    </w:tbl>
    <w:p>
      <w:pPr>
        <w:pStyle w:val="Heading1"/>
        <w:pBdr>
          <w:bottom w:val="single" w:color="C6D2E0" w:sz="4" w:space="4"/>
        </w:pBdr>
        <w:spacing w:after="140" w:before="360"/>
      </w:pPr>
      <w:r>
        <w:rPr>
          <w:b/>
          <w:bCs/>
          <w:color w:val="4A6FA5"/>
          <w:sz w:val="26"/>
          <w:szCs w:val="26"/>
        </w:rPr>
        <w:t xml:space="preserve">11.15  </w:t>
      </w:r>
      <w:r>
        <w:rPr>
          <w:b/>
          <w:bCs/>
          <w:color w:val="1F3864"/>
          <w:sz w:val="26"/>
          <w:szCs w:val="26"/>
        </w:rPr>
        <w:t xml:space="preserve">Database Testing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required database testing categories.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untested schema or migration changes from reaching production.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Database changes are not promoted without successful testing.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Schema and migration changes verified before they reach any shared environment.</w:t>
            </w:r>
          </w:p>
        </w:tc>
      </w:tr>
    </w:tbl>
    <w:p>
      <w:pPr>
        <w:spacing w:after="160"/>
      </w:pPr>
    </w:p>
    <w:p>
      <w:pPr>
        <w:spacing w:after="150" w:line="276"/>
        <w:jc w:val="both"/>
      </w:pPr>
      <w:r>
        <w:t xml:space="preserve">Testing shall include:</w:t>
      </w:r>
    </w:p>
    <w:p>
      <w:pPr>
        <w:pStyle w:val="ListParagraph"/>
        <w:numPr>
          <w:ilvl w:val="0"/>
          <w:numId w:val="1"/>
        </w:numPr>
        <w:spacing w:after="90" w:line="264"/>
      </w:pPr>
      <w:r>
        <w:t xml:space="preserve">Schema validation.</w:t>
      </w:r>
    </w:p>
    <w:p>
      <w:pPr>
        <w:pStyle w:val="ListParagraph"/>
        <w:numPr>
          <w:ilvl w:val="0"/>
          <w:numId w:val="1"/>
        </w:numPr>
        <w:spacing w:after="90" w:line="264"/>
      </w:pPr>
      <w:r>
        <w:t xml:space="preserve">Migration testing.</w:t>
      </w:r>
    </w:p>
    <w:p>
      <w:pPr>
        <w:pStyle w:val="ListParagraph"/>
        <w:numPr>
          <w:ilvl w:val="0"/>
          <w:numId w:val="1"/>
        </w:numPr>
        <w:spacing w:after="90" w:line="264"/>
      </w:pPr>
      <w:r>
        <w:t xml:space="preserve">Constraint verification.</w:t>
      </w:r>
    </w:p>
    <w:p>
      <w:pPr>
        <w:pStyle w:val="ListParagraph"/>
        <w:numPr>
          <w:ilvl w:val="0"/>
          <w:numId w:val="1"/>
        </w:numPr>
        <w:spacing w:after="90" w:line="264"/>
      </w:pPr>
      <w:r>
        <w:t xml:space="preserve">Performance benchmarking.</w:t>
      </w:r>
    </w:p>
    <w:p>
      <w:pPr>
        <w:pStyle w:val="ListParagraph"/>
        <w:numPr>
          <w:ilvl w:val="0"/>
          <w:numId w:val="1"/>
        </w:numPr>
        <w:spacing w:after="90" w:line="264"/>
      </w:pPr>
      <w:r>
        <w:t xml:space="preserve">Backup restoration tests.</w:t>
      </w:r>
    </w:p>
    <w:p>
      <w:pPr>
        <w:pStyle w:val="ListParagraph"/>
        <w:numPr>
          <w:ilvl w:val="0"/>
          <w:numId w:val="1"/>
        </w:numPr>
        <w:spacing w:after="90" w:line="264"/>
      </w:pPr>
      <w:r>
        <w:t xml:space="preserve">Security testing.</w:t>
      </w:r>
    </w:p>
    <w:p>
      <w:pPr>
        <w:pStyle w:val="ListParagraph"/>
        <w:numPr>
          <w:ilvl w:val="0"/>
          <w:numId w:val="1"/>
        </w:numPr>
        <w:spacing w:after="90" w:line="264"/>
      </w:pPr>
      <w:r>
        <w:t xml:space="preserve">Failover testing (where applicable).</w:t>
      </w:r>
    </w:p>
    <w:p>
      <w:pPr>
        <w:pStyle w:val="ListParagraph"/>
        <w:numPr>
          <w:ilvl w:val="0"/>
          <w:numId w:val="1"/>
        </w:numPr>
        <w:spacing w:after="90" w:line="264"/>
      </w:pPr>
      <w:r>
        <w:t xml:space="preserve">Data quality validation.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Database changes shall not be promoted without successful testing.</w:t>
            </w:r>
          </w:p>
        </w:tc>
      </w:tr>
    </w:tbl>
    <w:p>
      <w:pPr>
        <w:pStyle w:val="Heading1"/>
        <w:pBdr>
          <w:bottom w:val="single" w:color="C6D2E0" w:sz="4" w:space="4"/>
        </w:pBdr>
        <w:spacing w:after="140" w:before="360"/>
      </w:pPr>
      <w:r>
        <w:rPr>
          <w:b/>
          <w:bCs/>
          <w:color w:val="4A6FA5"/>
          <w:sz w:val="26"/>
          <w:szCs w:val="26"/>
        </w:rPr>
        <w:t xml:space="preserve">11.16  </w:t>
      </w:r>
      <w:r>
        <w:rPr>
          <w:b/>
          <w:bCs/>
          <w:color w:val="1F3864"/>
          <w:sz w:val="26"/>
          <w:szCs w:val="26"/>
        </w:rPr>
        <w:t xml:space="preserve">Change Management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process for schema modifications.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unreviewed, unreversible changes from reaching production data.</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All schema changes flow through version-controlled, peer-reviewed migrations.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schema change history that is fully traceable and reversible.</w:t>
            </w:r>
          </w:p>
        </w:tc>
      </w:tr>
    </w:tbl>
    <w:p>
      <w:pPr>
        <w:spacing w:after="160"/>
      </w:pPr>
    </w:p>
    <w:p>
      <w:pPr>
        <w:spacing w:after="150" w:line="276"/>
        <w:jc w:val="both"/>
      </w:pPr>
      <w:r>
        <w:t xml:space="preserve">All schema modifications shall:</w:t>
      </w:r>
    </w:p>
    <w:p>
      <w:pPr>
        <w:pStyle w:val="ListParagraph"/>
        <w:numPr>
          <w:ilvl w:val="0"/>
          <w:numId w:val="1"/>
        </w:numPr>
        <w:spacing w:after="90" w:line="264"/>
      </w:pPr>
      <w:r>
        <w:t xml:space="preserve">Be implemented through version-controlled migration scripts.</w:t>
      </w:r>
    </w:p>
    <w:p>
      <w:pPr>
        <w:pStyle w:val="ListParagraph"/>
        <w:numPr>
          <w:ilvl w:val="0"/>
          <w:numId w:val="1"/>
        </w:numPr>
        <w:spacing w:after="90" w:line="264"/>
      </w:pPr>
      <w:r>
        <w:t xml:space="preserve">Be peer reviewed.</w:t>
      </w:r>
    </w:p>
    <w:p>
      <w:pPr>
        <w:pStyle w:val="ListParagraph"/>
        <w:numPr>
          <w:ilvl w:val="0"/>
          <w:numId w:val="1"/>
        </w:numPr>
        <w:spacing w:after="90" w:line="264"/>
      </w:pPr>
      <w:r>
        <w:t xml:space="preserve">Include rollback procedures.</w:t>
      </w:r>
    </w:p>
    <w:p>
      <w:pPr>
        <w:pStyle w:val="ListParagraph"/>
        <w:numPr>
          <w:ilvl w:val="0"/>
          <w:numId w:val="1"/>
        </w:numPr>
        <w:spacing w:after="90" w:line="264"/>
      </w:pPr>
      <w:r>
        <w:t xml:space="preserve">Update the Data Dictionary and ERDs.</w:t>
      </w:r>
    </w:p>
    <w:p>
      <w:pPr>
        <w:pStyle w:val="ListParagraph"/>
        <w:numPr>
          <w:ilvl w:val="0"/>
          <w:numId w:val="1"/>
        </w:numPr>
        <w:spacing w:after="90" w:line="264"/>
      </w:pPr>
      <w:r>
        <w:t xml:space="preserve">Be approved through the Architecture Governance process.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Manual production schema changes are prohibited.</w:t>
            </w:r>
          </w:p>
        </w:tc>
      </w:tr>
    </w:tbl>
    <w:p>
      <w:pPr>
        <w:pStyle w:val="Heading1"/>
        <w:pBdr>
          <w:bottom w:val="single" w:color="C6D2E0" w:sz="4" w:space="4"/>
        </w:pBdr>
        <w:spacing w:after="140" w:before="360"/>
      </w:pPr>
      <w:r>
        <w:rPr>
          <w:b/>
          <w:bCs/>
          <w:color w:val="4A6FA5"/>
          <w:sz w:val="26"/>
          <w:szCs w:val="26"/>
        </w:rPr>
        <w:t xml:space="preserve">11.17  </w:t>
      </w:r>
      <w:r>
        <w:rPr>
          <w:b/>
          <w:bCs/>
          <w:color w:val="1F3864"/>
          <w:sz w:val="26"/>
          <w:szCs w:val="26"/>
        </w:rPr>
        <w:t xml:space="preserve">Documentation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minimum documentation the database repository must maintain.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Preserves institutional knowledge about the platform's most critical asset.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Documentation is updated with every approved database change.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database repository that is fully self-documenting.</w:t>
            </w:r>
          </w:p>
        </w:tc>
      </w:tr>
    </w:tbl>
    <w:p>
      <w:pPr>
        <w:spacing w:after="160"/>
      </w:pPr>
    </w:p>
    <w:p>
      <w:pPr>
        <w:spacing w:after="150" w:line="276"/>
        <w:jc w:val="both"/>
      </w:pPr>
      <w:r>
        <w:t xml:space="preserve">The database repository shall maintain:</w:t>
      </w:r>
    </w:p>
    <w:p>
      <w:pPr>
        <w:pStyle w:val="ListParagraph"/>
        <w:numPr>
          <w:ilvl w:val="0"/>
          <w:numId w:val="1"/>
        </w:numPr>
        <w:spacing w:after="90" w:line="264"/>
      </w:pPr>
      <w:r>
        <w:t xml:space="preserve">Entity-Relationship Diagrams (ERDs).</w:t>
      </w:r>
    </w:p>
    <w:p>
      <w:pPr>
        <w:pStyle w:val="ListParagraph"/>
        <w:numPr>
          <w:ilvl w:val="0"/>
          <w:numId w:val="1"/>
        </w:numPr>
        <w:spacing w:after="90" w:line="264"/>
      </w:pPr>
      <w:r>
        <w:t xml:space="preserve">Data Dictionary.</w:t>
      </w:r>
    </w:p>
    <w:p>
      <w:pPr>
        <w:pStyle w:val="ListParagraph"/>
        <w:numPr>
          <w:ilvl w:val="0"/>
          <w:numId w:val="1"/>
        </w:numPr>
        <w:spacing w:after="90" w:line="264"/>
      </w:pPr>
      <w:r>
        <w:t xml:space="preserve">Schema definitions.</w:t>
      </w:r>
    </w:p>
    <w:p>
      <w:pPr>
        <w:pStyle w:val="ListParagraph"/>
        <w:numPr>
          <w:ilvl w:val="0"/>
          <w:numId w:val="1"/>
        </w:numPr>
        <w:spacing w:after="90" w:line="264"/>
      </w:pPr>
      <w:r>
        <w:t xml:space="preserve">Migration history.</w:t>
      </w:r>
    </w:p>
    <w:p>
      <w:pPr>
        <w:pStyle w:val="ListParagraph"/>
        <w:numPr>
          <w:ilvl w:val="0"/>
          <w:numId w:val="1"/>
        </w:numPr>
        <w:spacing w:after="90" w:line="264"/>
      </w:pPr>
      <w:r>
        <w:t xml:space="preserve">Index inventory.</w:t>
      </w:r>
    </w:p>
    <w:p>
      <w:pPr>
        <w:pStyle w:val="ListParagraph"/>
        <w:numPr>
          <w:ilvl w:val="0"/>
          <w:numId w:val="1"/>
        </w:numPr>
        <w:spacing w:after="90" w:line="264"/>
      </w:pPr>
      <w:r>
        <w:t xml:space="preserve">Stored procedures/functions documentation.</w:t>
      </w:r>
    </w:p>
    <w:p>
      <w:pPr>
        <w:pStyle w:val="ListParagraph"/>
        <w:numPr>
          <w:ilvl w:val="0"/>
          <w:numId w:val="1"/>
        </w:numPr>
        <w:spacing w:after="90" w:line="264"/>
      </w:pPr>
      <w:r>
        <w:t xml:space="preserve">Backup and recovery procedures.</w:t>
      </w:r>
    </w:p>
    <w:p>
      <w:pPr>
        <w:pStyle w:val="ListParagraph"/>
        <w:numPr>
          <w:ilvl w:val="0"/>
          <w:numId w:val="1"/>
        </w:numPr>
        <w:spacing w:after="90" w:line="264"/>
      </w:pPr>
      <w:r>
        <w:t xml:space="preserve">Operational runbooks.</w:t>
      </w:r>
    </w:p>
    <w:p>
      <w:pPr>
        <w:spacing w:after="150" w:line="276"/>
        <w:jc w:val="both"/>
      </w:pPr>
      <w:r>
        <w:t xml:space="preserve">Documentation shall be updated with every approved database change.</w:t>
      </w:r>
    </w:p>
    <w:p>
      <w:pPr>
        <w:pStyle w:val="Heading1"/>
        <w:pBdr>
          <w:bottom w:val="single" w:color="C6D2E0" w:sz="4" w:space="4"/>
        </w:pBdr>
        <w:spacing w:after="140" w:before="360"/>
      </w:pPr>
      <w:r>
        <w:rPr>
          <w:b/>
          <w:bCs/>
          <w:color w:val="4A6FA5"/>
          <w:sz w:val="26"/>
          <w:szCs w:val="26"/>
        </w:rPr>
        <w:t xml:space="preserve">11.18  </w:t>
      </w:r>
      <w:r>
        <w:rPr>
          <w:b/>
          <w:bCs/>
          <w:color w:val="1F3864"/>
          <w:sz w:val="26"/>
          <w:szCs w:val="26"/>
        </w:rPr>
        <w:t xml:space="preserve">Monitoring and Observability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operational monitoring must cover.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early detection of database issues before they affect users.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Alerts are configured for thresholds that could impact service availability.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Real-time visibility into database health, capacity, and performance trends.</w:t>
            </w:r>
          </w:p>
        </w:tc>
      </w:tr>
    </w:tbl>
    <w:p>
      <w:pPr>
        <w:spacing w:after="160"/>
      </w:pPr>
    </w:p>
    <w:p>
      <w:pPr>
        <w:spacing w:after="150" w:line="276"/>
        <w:jc w:val="both"/>
      </w:pPr>
      <w:r>
        <w:t xml:space="preserve">Operational monitoring shall include:</w:t>
      </w:r>
    </w:p>
    <w:p>
      <w:pPr>
        <w:pStyle w:val="ListParagraph"/>
        <w:numPr>
          <w:ilvl w:val="0"/>
          <w:numId w:val="1"/>
        </w:numPr>
        <w:spacing w:after="90" w:line="264"/>
      </w:pPr>
      <w:r>
        <w:t xml:space="preserve">Database availability.</w:t>
      </w:r>
    </w:p>
    <w:p>
      <w:pPr>
        <w:pStyle w:val="ListParagraph"/>
        <w:numPr>
          <w:ilvl w:val="0"/>
          <w:numId w:val="1"/>
        </w:numPr>
        <w:spacing w:after="90" w:line="264"/>
      </w:pPr>
      <w:r>
        <w:t xml:space="preserve">Replication status.</w:t>
      </w:r>
    </w:p>
    <w:p>
      <w:pPr>
        <w:pStyle w:val="ListParagraph"/>
        <w:numPr>
          <w:ilvl w:val="0"/>
          <w:numId w:val="1"/>
        </w:numPr>
        <w:spacing w:after="90" w:line="264"/>
      </w:pPr>
      <w:r>
        <w:t xml:space="preserve">Backup success/failure.</w:t>
      </w:r>
    </w:p>
    <w:p>
      <w:pPr>
        <w:pStyle w:val="ListParagraph"/>
        <w:numPr>
          <w:ilvl w:val="0"/>
          <w:numId w:val="1"/>
        </w:numPr>
        <w:spacing w:after="90" w:line="264"/>
      </w:pPr>
      <w:r>
        <w:t xml:space="preserve">Storage utilization.</w:t>
      </w:r>
    </w:p>
    <w:p>
      <w:pPr>
        <w:pStyle w:val="ListParagraph"/>
        <w:numPr>
          <w:ilvl w:val="0"/>
          <w:numId w:val="1"/>
        </w:numPr>
        <w:spacing w:after="90" w:line="264"/>
      </w:pPr>
      <w:r>
        <w:t xml:space="preserve">Query latency.</w:t>
      </w:r>
    </w:p>
    <w:p>
      <w:pPr>
        <w:pStyle w:val="ListParagraph"/>
        <w:numPr>
          <w:ilvl w:val="0"/>
          <w:numId w:val="1"/>
        </w:numPr>
        <w:spacing w:after="90" w:line="264"/>
      </w:pPr>
      <w:r>
        <w:t xml:space="preserve">Error rates.</w:t>
      </w:r>
    </w:p>
    <w:p>
      <w:pPr>
        <w:pStyle w:val="ListParagraph"/>
        <w:numPr>
          <w:ilvl w:val="0"/>
          <w:numId w:val="1"/>
        </w:numPr>
        <w:spacing w:after="90" w:line="264"/>
      </w:pPr>
      <w:r>
        <w:t xml:space="preserve">Deadlocks.</w:t>
      </w:r>
    </w:p>
    <w:p>
      <w:pPr>
        <w:pStyle w:val="ListParagraph"/>
        <w:numPr>
          <w:ilvl w:val="0"/>
          <w:numId w:val="1"/>
        </w:numPr>
        <w:spacing w:after="90" w:line="264"/>
      </w:pPr>
      <w:r>
        <w:t xml:space="preserve">Connection counts.</w:t>
      </w:r>
    </w:p>
    <w:p>
      <w:pPr>
        <w:pStyle w:val="ListParagraph"/>
        <w:numPr>
          <w:ilvl w:val="0"/>
          <w:numId w:val="1"/>
        </w:numPr>
        <w:spacing w:after="90" w:line="264"/>
      </w:pPr>
      <w:r>
        <w:t xml:space="preserve">Capacity trends.</w:t>
      </w:r>
    </w:p>
    <w:p>
      <w:pPr>
        <w:spacing w:after="150" w:line="276"/>
        <w:jc w:val="both"/>
      </w:pPr>
      <w:r>
        <w:t xml:space="preserve">Alerts shall be configured for thresholds that could impact service availability.</w:t>
      </w:r>
    </w:p>
    <w:p>
      <w:pPr>
        <w:pStyle w:val="Heading1"/>
        <w:pBdr>
          <w:bottom w:val="single" w:color="C6D2E0" w:sz="4" w:space="4"/>
        </w:pBdr>
        <w:spacing w:after="140" w:before="360"/>
      </w:pPr>
      <w:r>
        <w:rPr>
          <w:b/>
          <w:bCs/>
          <w:color w:val="4A6FA5"/>
          <w:sz w:val="26"/>
          <w:szCs w:val="26"/>
        </w:rPr>
        <w:t xml:space="preserve">11.19  </w:t>
      </w:r>
      <w:r>
        <w:rPr>
          <w:b/>
          <w:bCs/>
          <w:color w:val="1F3864"/>
          <w:sz w:val="26"/>
          <w:szCs w:val="26"/>
        </w:rPr>
        <w:t xml:space="preserve">Antigravity Database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generates database artifacts.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AI-generated schema changes follow the same standards as human-authored changes.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generated schema maintains synchronization with the Data Dictionary, API contracts, and application models.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Production-ready, fully documented database artifacts on first generation.</w:t>
            </w:r>
          </w:p>
        </w:tc>
      </w:tr>
    </w:tbl>
    <w:p>
      <w:pPr>
        <w:spacing w:after="160"/>
      </w:pPr>
    </w:p>
    <w:p>
      <w:pPr>
        <w:spacing w:after="150" w:line="276"/>
        <w:jc w:val="both"/>
      </w:pPr>
      <w:r>
        <w:t xml:space="preserve">When generating database artifacts, Antigravity shall:</w:t>
      </w:r>
    </w:p>
    <w:p>
      <w:pPr>
        <w:spacing w:after="90" w:line="264"/>
      </w:pPr>
      <w:r>
        <w:rPr>
          <w:b/>
          <w:bCs/>
          <w:color w:val="1F3864"/>
        </w:rPr>
        <w:t xml:space="preserve">1. </w:t>
      </w:r>
      <w:r>
        <w:t xml:space="preserve">Produce normalized schemas with documented relationships.</w:t>
      </w:r>
    </w:p>
    <w:p>
      <w:pPr>
        <w:spacing w:after="90" w:line="264"/>
      </w:pPr>
      <w:r>
        <w:rPr>
          <w:b/>
          <w:bCs/>
          <w:color w:val="1F3864"/>
        </w:rPr>
        <w:t xml:space="preserve">2. </w:t>
      </w:r>
      <w:r>
        <w:t xml:space="preserve">Generate migration scripts for all schema changes.</w:t>
      </w:r>
    </w:p>
    <w:p>
      <w:pPr>
        <w:spacing w:after="90" w:line="264"/>
      </w:pPr>
      <w:r>
        <w:rPr>
          <w:b/>
          <w:bCs/>
          <w:color w:val="1F3864"/>
        </w:rPr>
        <w:t xml:space="preserve">3. </w:t>
      </w:r>
      <w:r>
        <w:t xml:space="preserve">Include constraints, indexes, and audit fields by default.</w:t>
      </w:r>
    </w:p>
    <w:p>
      <w:pPr>
        <w:spacing w:after="90" w:line="264"/>
      </w:pPr>
      <w:r>
        <w:rPr>
          <w:b/>
          <w:bCs/>
          <w:color w:val="1F3864"/>
        </w:rPr>
        <w:t xml:space="preserve">4. </w:t>
      </w:r>
      <w:r>
        <w:t xml:space="preserve">Maintain synchronization between the database schema, Data Dictionary, API contracts, and application models.</w:t>
      </w:r>
    </w:p>
    <w:p>
      <w:pPr>
        <w:spacing w:after="90" w:line="264"/>
      </w:pPr>
      <w:r>
        <w:rPr>
          <w:b/>
          <w:bCs/>
          <w:color w:val="1F3864"/>
        </w:rPr>
        <w:t xml:space="preserve">5. </w:t>
      </w:r>
      <w:r>
        <w:t xml:space="preserve">Avoid database-specific features that hinder portability unless explicitly approved.</w:t>
      </w:r>
    </w:p>
    <w:p>
      <w:pPr>
        <w:spacing w:after="90" w:line="264"/>
      </w:pPr>
      <w:r>
        <w:rPr>
          <w:b/>
          <w:bCs/>
          <w:color w:val="1F3864"/>
        </w:rPr>
        <w:t xml:space="preserve">6. </w:t>
      </w:r>
      <w:r>
        <w:t xml:space="preserve">Generate ERDs and supporting documentation alongside schema definitions.</w:t>
      </w:r>
    </w:p>
    <w:p>
      <w:pPr>
        <w:spacing w:after="90" w:line="264"/>
      </w:pPr>
      <w:r>
        <w:rPr>
          <w:b/>
          <w:bCs/>
          <w:color w:val="1F3864"/>
        </w:rPr>
        <w:t xml:space="preserve">7. </w:t>
      </w:r>
      <w:r>
        <w:t xml:space="preserve">Include rollback scripts and test data where appropriate.</w:t>
      </w:r>
    </w:p>
    <w:p>
      <w:pPr>
        <w:spacing w:after="90" w:line="264"/>
      </w:pPr>
      <w:r>
        <w:rPr>
          <w:b/>
          <w:bCs/>
          <w:color w:val="1F3864"/>
        </w:rPr>
        <w:t xml:space="preserve">8. </w:t>
      </w:r>
      <w:r>
        <w:t xml:space="preserve">Clearly identify assumptions and future enhancement opportunities.</w:t>
      </w:r>
    </w:p>
    <w:p>
      <w:pPr>
        <w:pStyle w:val="Heading1"/>
        <w:pBdr>
          <w:bottom w:val="single" w:color="C6D2E0" w:sz="4" w:space="4"/>
        </w:pBdr>
        <w:spacing w:after="140" w:before="360"/>
      </w:pPr>
      <w:r>
        <w:rPr>
          <w:b/>
          <w:bCs/>
          <w:color w:val="4A6FA5"/>
          <w:sz w:val="26"/>
          <w:szCs w:val="26"/>
        </w:rPr>
        <w:t xml:space="preserve">11.20  </w:t>
      </w:r>
      <w:r>
        <w:rPr>
          <w:b/>
          <w:bCs/>
          <w:color w:val="1F3864"/>
          <w:sz w:val="26"/>
          <w:szCs w:val="26"/>
        </w:rPr>
        <w:t xml:space="preserve">Database 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database engineering effort.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database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database is the authoritative repository of programme information and institutional knowledge.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resilient, well-governed data platform supporting current operations and future transformation.</w:t>
            </w:r>
          </w:p>
        </w:tc>
      </w:tr>
    </w:tbl>
    <w:p>
      <w:pPr>
        <w:spacing w:after="160"/>
      </w:pPr>
    </w:p>
    <w:p>
      <w:pPr>
        <w:spacing w:after="150" w:line="276"/>
        <w:jc w:val="both"/>
      </w:pPr>
      <w:r>
        <w:t xml:space="preserve">The database engineering effort will be considered successful when:</w:t>
      </w:r>
    </w:p>
    <w:p>
      <w:pPr>
        <w:pStyle w:val="ListParagraph"/>
        <w:numPr>
          <w:ilvl w:val="0"/>
          <w:numId w:val="1"/>
        </w:numPr>
        <w:spacing w:after="90" w:line="264"/>
      </w:pPr>
      <w:r>
        <w:t xml:space="preserve">Data integrity is consistently maintained.</w:t>
      </w:r>
    </w:p>
    <w:p>
      <w:pPr>
        <w:pStyle w:val="ListParagraph"/>
        <w:numPr>
          <w:ilvl w:val="0"/>
          <w:numId w:val="1"/>
        </w:numPr>
        <w:spacing w:after="90" w:line="264"/>
      </w:pPr>
      <w:r>
        <w:t xml:space="preserve">Performance meets agreed service-level objectives.</w:t>
      </w:r>
    </w:p>
    <w:p>
      <w:pPr>
        <w:pStyle w:val="ListParagraph"/>
        <w:numPr>
          <w:ilvl w:val="0"/>
          <w:numId w:val="1"/>
        </w:numPr>
        <w:spacing w:after="90" w:line="264"/>
      </w:pPr>
      <w:r>
        <w:t xml:space="preserve">Security controls protect sensitive information.</w:t>
      </w:r>
    </w:p>
    <w:p>
      <w:pPr>
        <w:pStyle w:val="ListParagraph"/>
        <w:numPr>
          <w:ilvl w:val="0"/>
          <w:numId w:val="1"/>
        </w:numPr>
        <w:spacing w:after="90" w:line="264"/>
      </w:pPr>
      <w:r>
        <w:t xml:space="preserve">Backups and recovery procedures are verified and reliable.</w:t>
      </w:r>
    </w:p>
    <w:p>
      <w:pPr>
        <w:pStyle w:val="ListParagraph"/>
        <w:numPr>
          <w:ilvl w:val="0"/>
          <w:numId w:val="1"/>
        </w:numPr>
        <w:spacing w:after="90" w:line="264"/>
      </w:pPr>
      <w:r>
        <w:t xml:space="preserve">Schema evolution is controlled, documented, and reversible.</w:t>
      </w:r>
    </w:p>
    <w:p>
      <w:pPr>
        <w:pStyle w:val="ListParagraph"/>
        <w:numPr>
          <w:ilvl w:val="0"/>
          <w:numId w:val="1"/>
        </w:numPr>
        <w:spacing w:after="90" w:line="264"/>
      </w:pPr>
      <w:r>
        <w:t xml:space="preserve">Data governance responsibilities are clearly assigned and followed.</w:t>
      </w:r>
    </w:p>
    <w:p>
      <w:pPr>
        <w:pStyle w:val="ListParagraph"/>
        <w:numPr>
          <w:ilvl w:val="0"/>
          <w:numId w:val="1"/>
        </w:numPr>
        <w:spacing w:after="90" w:line="264"/>
      </w:pPr>
      <w:r>
        <w:t xml:space="preserve">Operational monitoring provides early warning of issues.</w:t>
      </w:r>
    </w:p>
    <w:p>
      <w:pPr>
        <w:pStyle w:val="ListParagraph"/>
        <w:numPr>
          <w:ilvl w:val="0"/>
          <w:numId w:val="1"/>
        </w:numPr>
        <w:spacing w:after="90" w:line="264"/>
      </w:pPr>
      <w:r>
        <w:t xml:space="preserve">Documentation remains synchronized with the implemented schema.</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 database is the authoritative repository of programme information and institutional knowledge for the SAPZ ESM and CKR platforms. It must therefore be engineered to the highest enterprise standards, ensuring that data remains accurate, secure, recoverable, and trustworthy throughout the lifecycle of the programme. Every schema, relationship, migration, and operational procedure should contribute to a resilient and well-governed data platform capable of supporting current operations and future digital transformation initiatives.</w:t>
            </w:r>
          </w:p>
        </w:tc>
      </w:tr>
    </w:tbl>
    <w:p>
      <w:pPr>
        <w:pStyle w:val="Heading1"/>
        <w:pBdr>
          <w:bottom w:val="single" w:color="C6D2E0" w:sz="4" w:space="4"/>
        </w:pBdr>
        <w:spacing w:after="140" w:before="360"/>
      </w:pPr>
      <w:r>
        <w:rPr>
          <w:b/>
          <w:bCs/>
          <w:color w:val="4A6FA5"/>
          <w:sz w:val="26"/>
          <w:szCs w:val="26"/>
        </w:rPr>
        <w:t xml:space="preserve">11.21  </w:t>
      </w:r>
      <w:r>
        <w:rPr>
          <w:b/>
          <w:bCs/>
          <w:color w:val="1F3864"/>
          <w:sz w:val="26"/>
          <w:szCs w:val="26"/>
        </w:rPr>
        <w:t xml:space="preserve">Chapter Summary</w:t>
      </w:r>
    </w:p>
    <w:p>
      <w:pPr>
        <w:spacing w:after="150" w:line="276"/>
        <w:jc w:val="both"/>
      </w:pPr>
      <w:r>
        <w:t xml:space="preserve">This chapter established the standards governing the entire data lifecycle: six Database Engineering Principles, the layered database architecture, the logical data model, naming and schema design standards, data integrity, indexing, and transaction standards, security, backup and recovery, performance, data governance, audit and compliance, testing, change management, documentation, and monitoring standards, together with the Antigravity Database Instructions.</w:t>
      </w:r>
    </w:p>
    <w:p>
      <w:pPr>
        <w:pStyle w:val="Heading2"/>
        <w:spacing w:after="110" w:before="260"/>
      </w:pPr>
      <w:r>
        <w:rPr>
          <w:b/>
          <w:bCs/>
          <w:color w:val="4A6FA5"/>
          <w:sz w:val="21"/>
          <w:szCs w:val="21"/>
        </w:rPr>
        <w:t xml:space="preserve">11.21.1  </w:t>
      </w:r>
      <w:r>
        <w:rPr>
          <w:b/>
          <w:bCs/>
          <w:color w:val="1F3864"/>
          <w:sz w:val="21"/>
          <w:szCs w:val="21"/>
        </w:rPr>
        <w:t xml:space="preserve">Key Engineering Principles</w:t>
      </w:r>
    </w:p>
    <w:p>
      <w:pPr>
        <w:pStyle w:val="ListParagraph"/>
        <w:numPr>
          <w:ilvl w:val="0"/>
          <w:numId w:val="1"/>
        </w:numPr>
        <w:spacing w:after="90" w:line="264"/>
      </w:pPr>
      <w:r>
        <w:t xml:space="preserve">All database access occurs through approved repositories — never directly from UI components (Section 11.3).</w:t>
      </w:r>
    </w:p>
    <w:p>
      <w:pPr>
        <w:pStyle w:val="ListParagraph"/>
        <w:numPr>
          <w:ilvl w:val="0"/>
          <w:numId w:val="1"/>
        </w:numPr>
        <w:spacing w:after="90" w:line="264"/>
      </w:pPr>
      <w:r>
        <w:t xml:space="preserve">Manual production schema changes are prohibited; all changes flow through version-controlled migrations (Section 11.16).</w:t>
      </w:r>
    </w:p>
    <w:p>
      <w:pPr>
        <w:pStyle w:val="ListParagraph"/>
        <w:numPr>
          <w:ilvl w:val="0"/>
          <w:numId w:val="1"/>
        </w:numPr>
        <w:spacing w:after="90" w:line="264"/>
      </w:pPr>
      <w:r>
        <w:t xml:space="preserve">No application account holds unnecessary administrative privileges (Section 11.10).</w:t>
      </w:r>
    </w:p>
    <w:p>
      <w:pPr>
        <w:pStyle w:val="ListParagraph"/>
        <w:numPr>
          <w:ilvl w:val="0"/>
          <w:numId w:val="1"/>
        </w:numPr>
        <w:spacing w:after="90" w:line="264"/>
      </w:pPr>
      <w:r>
        <w:t xml:space="preserve">Recovery procedures are documented and rehearsed, with defined RPO and RTO (Section 11.11).</w:t>
      </w:r>
    </w:p>
    <w:p>
      <w:pPr>
        <w:pStyle w:val="Heading2"/>
        <w:spacing w:after="110" w:before="260"/>
      </w:pPr>
      <w:r>
        <w:rPr>
          <w:b/>
          <w:bCs/>
          <w:color w:val="4A6FA5"/>
          <w:sz w:val="21"/>
          <w:szCs w:val="21"/>
        </w:rPr>
        <w:t xml:space="preserve">11.21.2  </w:t>
      </w:r>
      <w:r>
        <w:rPr>
          <w:b/>
          <w:bCs/>
          <w:color w:val="1F3864"/>
          <w:sz w:val="21"/>
          <w:szCs w:val="21"/>
        </w:rPr>
        <w:t xml:space="preserve">Implementation Checklist</w:t>
      </w:r>
    </w:p>
    <w:p>
      <w:pPr>
        <w:pStyle w:val="ListParagraph"/>
        <w:numPr>
          <w:ilvl w:val="0"/>
          <w:numId w:val="1"/>
        </w:numPr>
        <w:spacing w:after="90" w:line="264"/>
      </w:pPr>
      <w:r>
        <w:t xml:space="preserve">☐ Confirm naming conventions (Section 11.5) are enforced across every schema.</w:t>
      </w:r>
    </w:p>
    <w:p>
      <w:pPr>
        <w:pStyle w:val="ListParagraph"/>
        <w:numPr>
          <w:ilvl w:val="0"/>
          <w:numId w:val="1"/>
        </w:numPr>
        <w:spacing w:after="90" w:line="264"/>
      </w:pPr>
      <w:r>
        <w:t xml:space="preserve">☐ Confirm audit fields and soft-delete conventions (Section 11.6) are applied to all applicable tables.</w:t>
      </w:r>
    </w:p>
    <w:p>
      <w:pPr>
        <w:pStyle w:val="ListParagraph"/>
        <w:numPr>
          <w:ilvl w:val="0"/>
          <w:numId w:val="1"/>
        </w:numPr>
        <w:spacing w:after="90" w:line="264"/>
      </w:pPr>
      <w:r>
        <w:t xml:space="preserve">☐ Confirm backup, restoration testing, and RPO/RTO (Section 11.11) are documented and current.</w:t>
      </w:r>
    </w:p>
    <w:p>
      <w:pPr>
        <w:pStyle w:val="ListParagraph"/>
        <w:numPr>
          <w:ilvl w:val="0"/>
          <w:numId w:val="1"/>
        </w:numPr>
        <w:spacing w:after="90" w:line="264"/>
      </w:pPr>
      <w:r>
        <w:t xml:space="preserve">☐ Confirm the Data Dictionary and ERDs (Section 11.17) are updated with every approved change.</w:t>
      </w:r>
    </w:p>
    <w:p>
      <w:pPr>
        <w:pStyle w:val="Heading2"/>
        <w:spacing w:after="110" w:before="260"/>
      </w:pPr>
      <w:r>
        <w:rPr>
          <w:b/>
          <w:bCs/>
          <w:color w:val="4A6FA5"/>
          <w:sz w:val="21"/>
          <w:szCs w:val="21"/>
        </w:rPr>
        <w:t xml:space="preserve">11.21.3  </w:t>
      </w:r>
      <w:r>
        <w:rPr>
          <w:b/>
          <w:bCs/>
          <w:color w:val="1F3864"/>
          <w:sz w:val="21"/>
          <w:szCs w:val="21"/>
        </w:rPr>
        <w:t xml:space="preserve">Related Chapters</w:t>
      </w:r>
    </w:p>
    <w:p>
      <w:pPr>
        <w:pStyle w:val="ListParagraph"/>
        <w:numPr>
          <w:ilvl w:val="0"/>
          <w:numId w:val="1"/>
        </w:numPr>
        <w:spacing w:after="90" w:line="264"/>
      </w:pPr>
      <w:r>
        <w:t xml:space="preserve">Chapter 6 — Architecture Governance</w:t>
      </w:r>
    </w:p>
    <w:p>
      <w:pPr>
        <w:pStyle w:val="ListParagraph"/>
        <w:numPr>
          <w:ilvl w:val="0"/>
          <w:numId w:val="1"/>
        </w:numPr>
        <w:spacing w:after="90" w:line="264"/>
      </w:pPr>
      <w:r>
        <w:t xml:space="preserve">Chapter 9 — Backend Engineering Standards</w:t>
      </w:r>
    </w:p>
    <w:p>
      <w:pPr>
        <w:pStyle w:val="ListParagraph"/>
        <w:numPr>
          <w:ilvl w:val="0"/>
          <w:numId w:val="1"/>
        </w:numPr>
        <w:spacing w:after="90" w:line="264"/>
      </w:pPr>
      <w:r>
        <w:t xml:space="preserve">Chapter 14 — Security and Compliance Standards</w:t>
      </w:r>
    </w:p>
    <w:p>
      <w:pPr>
        <w:pStyle w:val="ListParagraph"/>
        <w:numPr>
          <w:ilvl w:val="0"/>
          <w:numId w:val="1"/>
        </w:numPr>
        <w:spacing w:after="90" w:line="264"/>
      </w:pPr>
      <w:r>
        <w:t xml:space="preserve">Chapter 15 — DevSecOps and Infrastructure Standards</w:t>
      </w:r>
    </w:p>
    <w:p>
      <w:pPr>
        <w:pStyle w:val="ListParagraph"/>
        <w:numPr>
          <w:ilvl w:val="0"/>
          <w:numId w:val="1"/>
        </w:numPr>
        <w:spacing w:after="90" w:line="264"/>
      </w:pPr>
      <w:r>
        <w:t xml:space="preserve">Chapter 21 — Risk and Change Management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2026-07-19T18:59:23.024Z</dcterms:created>
  <dcterms:modified xsi:type="dcterms:W3CDTF">2026-07-19T18:59:23.025Z</dcterms:modified>
</cp:coreProperties>
</file>

<file path=docProps/custom.xml><?xml version="1.0" encoding="utf-8"?>
<Properties xmlns="http://schemas.openxmlformats.org/officeDocument/2006/custom-properties" xmlns:vt="http://schemas.openxmlformats.org/officeDocument/2006/docPropsVTypes"/>
</file>