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pPr>
    </w:p>
    <w:p>
      <w:pPr>
        <w:spacing w:after="100"/>
        <w:jc w:val="center"/>
      </w:pPr>
      <w:r>
        <w:rPr>
          <w:b/>
          <w:bCs/>
          <w:caps/>
          <w:color w:val="4A6FA5"/>
          <w:sz w:val="22"/>
          <w:szCs w:val="22"/>
        </w:rPr>
        <w:t xml:space="preserve">SAPZ ENTERPRISE ENGINEERING HANDBOOK</w:t>
      </w:r>
    </w:p>
    <w:p>
      <w:pPr>
        <w:spacing w:after="260"/>
        <w:jc w:val="center"/>
      </w:pPr>
      <w:r>
        <w:rPr>
          <w:b/>
          <w:bCs/>
          <w:color w:val="152238"/>
          <w:sz w:val="28"/>
          <w:szCs w:val="28"/>
        </w:rPr>
        <w:t xml:space="preserve">Chapter 14</w:t>
      </w:r>
    </w:p>
    <w:p>
      <w:pPr>
        <w:pBdr>
          <w:bottom w:val="single" w:color="1F3864" w:sz="14" w:space="10"/>
        </w:pBdr>
        <w:spacing w:after="160"/>
        <w:jc w:val="center"/>
      </w:pPr>
      <w:r>
        <w:rPr>
          <w:b/>
          <w:bCs/>
          <w:color w:val="152238"/>
          <w:sz w:val="40"/>
          <w:szCs w:val="40"/>
        </w:rPr>
        <w:t xml:space="preserve">Security and Compliance Standards</w:t>
      </w:r>
    </w:p>
    <w:p>
      <w:pPr>
        <w:spacing w:after="40" w:before="300"/>
        <w:jc w:val="center"/>
      </w:pPr>
      <w:r>
        <w:rPr>
          <w:color w:val="555555"/>
          <w:sz w:val="20"/>
          <w:szCs w:val="20"/>
        </w:rPr>
        <w:t xml:space="preserve">Enterprise System Management (ESM) Platform &amp;</w:t>
      </w:r>
    </w:p>
    <w:p>
      <w:pPr>
        <w:spacing w:after="40"/>
        <w:jc w:val="center"/>
      </w:pPr>
      <w:r>
        <w:rPr>
          <w:color w:val="555555"/>
          <w:sz w:val="20"/>
          <w:szCs w:val="20"/>
        </w:rPr>
        <w:t xml:space="preserve">Central Knowledge Repository (CKR)</w:t>
      </w:r>
    </w:p>
    <w:p>
      <w:pPr>
        <w:spacing w:after="40"/>
        <w:jc w:val="center"/>
      </w:pPr>
      <w:r>
        <w:rPr>
          <w:color w:val="555555"/>
          <w:sz w:val="20"/>
          <w:szCs w:val="20"/>
        </w:rPr>
        <w:t xml:space="preserve">Special Agro-Industrial Processing Zones (SAPZ) Programme</w:t>
      </w:r>
    </w:p>
    <w:p>
      <w:pPr>
        <w:spacing w:after="300"/>
        <w:jc w:val="center"/>
      </w:pPr>
      <w:r>
        <w:rPr>
          <w:color w:val="555555"/>
          <w:sz w:val="20"/>
          <w:szCs w:val="20"/>
        </w:rPr>
        <w:t xml:space="preserve">Federal Republic of Nigeria</w:t>
      </w:r>
    </w:p>
    <w:p>
      <w:pPr>
        <w:spacing w:before="600"/>
        <w:jc w:val="center"/>
      </w:pPr>
      <w:r>
        <w:rPr>
          <w:i/>
          <w:iCs/>
          <w:color w:val="888888"/>
          <w:sz w:val="17"/>
          <w:szCs w:val="17"/>
        </w:rPr>
        <w:t xml:space="preserve">Master Engineering Prompt — The Enterprise Security Handbook</w:t>
      </w:r>
    </w:p>
    <w:p>
      <w:r>
        <w:br w:type="page"/>
      </w:r>
    </w:p>
    <w:p>
      <w:pPr>
        <w:spacing w:after="40"/>
        <w:jc w:val="left"/>
      </w:pPr>
      <w:r>
        <w:rPr>
          <w:b/>
          <w:bCs/>
          <w:caps/>
          <w:color w:val="4A6FA5"/>
          <w:sz w:val="22"/>
          <w:szCs w:val="22"/>
        </w:rPr>
        <w:t xml:space="preserve">CHAPTER 14</w:t>
      </w:r>
    </w:p>
    <w:p>
      <w:pPr>
        <w:pBdr>
          <w:bottom w:val="single" w:color="1F3864" w:sz="12" w:space="8"/>
        </w:pBdr>
        <w:spacing w:after="200"/>
        <w:jc w:val="left"/>
      </w:pPr>
      <w:r>
        <w:rPr>
          <w:b/>
          <w:bCs/>
          <w:color w:val="152238"/>
          <w:sz w:val="44"/>
          <w:szCs w:val="44"/>
        </w:rPr>
        <w:t xml:space="preserve">Security and Compliance Standards</w:t>
      </w:r>
    </w:p>
    <w:p>
      <w:pPr>
        <w:spacing w:after="90" w:before="180"/>
      </w:pPr>
      <w:r>
        <w:rPr>
          <w:b/>
          <w:bCs/>
          <w:color w:val="152238"/>
          <w:sz w:val="19"/>
          <w:szCs w:val="19"/>
        </w:rPr>
        <w:t xml:space="preserve">Chapter Overview</w:t>
      </w:r>
    </w:p>
    <w:p>
      <w:pPr>
        <w:spacing w:after="150" w:line="276"/>
        <w:jc w:val="both"/>
      </w:pPr>
      <w:r>
        <w:t xml:space="preserve">This chapter establishes the mandatory security, privacy, compliance, governance, and operational standards governing the design, development, deployment, operation, and maintenance of the Enterprise System Management (ESM) Platform and Central Knowledge Repository (CKR). For an IFAD-funded government enterprise platform, security encompasses Enterprise Security Architecture, the Secure Software Development Lifecycle (SSDLC), Zero Trust, compliance, privacy, identity management, auditability, business continuity, and operational security — written to a standard capable of passing review by an Information Security Office or government auditor.</w:t>
      </w:r>
    </w:p>
    <w:p>
      <w:pPr>
        <w:spacing w:after="90" w:before="180"/>
      </w:pPr>
      <w:r>
        <w:rPr>
          <w:b/>
          <w:bCs/>
          <w:color w:val="152238"/>
          <w:sz w:val="19"/>
          <w:szCs w:val="19"/>
        </w:rPr>
        <w:t xml:space="preserve">Purpose</w:t>
      </w:r>
    </w:p>
    <w:p>
      <w:pPr>
        <w:spacing w:after="150" w:line="276"/>
        <w:jc w:val="both"/>
      </w:pPr>
      <w:r>
        <w:t xml:space="preserve">To protect confidential programme information, preserve the integrity and availability of critical services, support secure collaboration across federal and state institutions, meet applicable Nigerian laws and donor expectations, embed security throughout the software development lifecycle, and maintain user trust through robust governance and auditability.</w:t>
      </w:r>
    </w:p>
    <w:p>
      <w:pPr>
        <w:spacing w:after="90" w:before="180"/>
      </w:pPr>
      <w:r>
        <w:rPr>
          <w:b/>
          <w:bCs/>
          <w:color w:val="152238"/>
          <w:sz w:val="19"/>
          <w:szCs w:val="19"/>
        </w:rPr>
        <w:t xml:space="preserve">Objectives</w:t>
      </w:r>
    </w:p>
    <w:p>
      <w:pPr>
        <w:pStyle w:val="ListParagraph"/>
        <w:numPr>
          <w:ilvl w:val="0"/>
          <w:numId w:val="1"/>
        </w:numPr>
        <w:spacing w:after="90" w:line="264"/>
      </w:pPr>
      <w:r>
        <w:t xml:space="preserve">Understand the six Security Engineering Principles and the layered Security Architecture.</w:t>
      </w:r>
    </w:p>
    <w:p>
      <w:pPr>
        <w:pStyle w:val="ListParagraph"/>
        <w:numPr>
          <w:ilvl w:val="0"/>
          <w:numId w:val="1"/>
        </w:numPr>
        <w:spacing w:after="90" w:line="264"/>
      </w:pPr>
      <w:r>
        <w:t xml:space="preserve">Understand Identity and Access Management, authentication, and authorization standards.</w:t>
      </w:r>
    </w:p>
    <w:p>
      <w:pPr>
        <w:pStyle w:val="ListParagraph"/>
        <w:numPr>
          <w:ilvl w:val="0"/>
          <w:numId w:val="1"/>
        </w:numPr>
        <w:spacing w:after="90" w:line="264"/>
      </w:pPr>
      <w:r>
        <w:t xml:space="preserve">Understand data protection, application, API, and infrastructure security standards.</w:t>
      </w:r>
    </w:p>
    <w:p>
      <w:pPr>
        <w:pStyle w:val="ListParagraph"/>
        <w:numPr>
          <w:ilvl w:val="0"/>
          <w:numId w:val="1"/>
        </w:numPr>
        <w:spacing w:after="90" w:line="264"/>
      </w:pPr>
      <w:r>
        <w:t xml:space="preserve">Understand the Secure Software Development Lifecycle (SSDLC), compliance alignment, incident response, and the Antigravity Security Instructions.</w:t>
      </w:r>
    </w:p>
    <w:p>
      <w:pPr>
        <w:pStyle w:val="Heading1"/>
        <w:pBdr>
          <w:bottom w:val="single" w:color="C6D2E0" w:sz="4" w:space="4"/>
        </w:pBdr>
        <w:spacing w:after="140" w:before="360"/>
      </w:pPr>
      <w:r>
        <w:rPr>
          <w:b/>
          <w:bCs/>
          <w:color w:val="4A6FA5"/>
          <w:sz w:val="26"/>
          <w:szCs w:val="26"/>
        </w:rPr>
        <w:t xml:space="preserve">14.1  </w:t>
      </w:r>
      <w:r>
        <w:rPr>
          <w:b/>
          <w:bCs/>
          <w:color w:val="1F3864"/>
          <w:sz w:val="26"/>
          <w:szCs w:val="26"/>
        </w:rPr>
        <w:t xml:space="preserve">Purpose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Establish mandatory security, privacy, compliance, and operational standards.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confidential programme information and preserves user and donor trust.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is treated as a continuous engineering discipline, not a post-development activity.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that meets applicable Nigerian laws and donor expectations by design.</w:t>
            </w:r>
          </w:p>
        </w:tc>
      </w:tr>
    </w:tbl>
    <w:p>
      <w:pPr>
        <w:spacing w:after="160"/>
      </w:pPr>
    </w:p>
    <w:p>
      <w:pPr>
        <w:spacing w:after="150" w:line="276"/>
        <w:jc w:val="both"/>
      </w:pPr>
      <w:r>
        <w:t xml:space="preserve">This document establishes the mandatory security, privacy, compliance, governance, and operational standards governing the design, development, deployment, operation, and maintenance of the SAPZ Enterprise System Management (ESM) Platform and Central Knowledge Repository (CKR).</w:t>
      </w:r>
    </w:p>
    <w:p>
      <w:pPr>
        <w:spacing w:after="150" w:line="276"/>
        <w:jc w:val="both"/>
      </w:pPr>
      <w:r>
        <w:t xml:space="preserve">The objectives are to ensure that the platform:</w:t>
      </w:r>
    </w:p>
    <w:p>
      <w:pPr>
        <w:pStyle w:val="ListParagraph"/>
        <w:numPr>
          <w:ilvl w:val="0"/>
          <w:numId w:val="1"/>
        </w:numPr>
        <w:spacing w:after="90" w:line="264"/>
      </w:pPr>
      <w:r>
        <w:t xml:space="preserve">Protects confidential programme information.</w:t>
      </w:r>
    </w:p>
    <w:p>
      <w:pPr>
        <w:pStyle w:val="ListParagraph"/>
        <w:numPr>
          <w:ilvl w:val="0"/>
          <w:numId w:val="1"/>
        </w:numPr>
        <w:spacing w:after="90" w:line="264"/>
      </w:pPr>
      <w:r>
        <w:t xml:space="preserve">Preserves the integrity and availability of critical services.</w:t>
      </w:r>
    </w:p>
    <w:p>
      <w:pPr>
        <w:pStyle w:val="ListParagraph"/>
        <w:numPr>
          <w:ilvl w:val="0"/>
          <w:numId w:val="1"/>
        </w:numPr>
        <w:spacing w:after="90" w:line="264"/>
      </w:pPr>
      <w:r>
        <w:t xml:space="preserve">Supports secure collaboration across federal and state institutions.</w:t>
      </w:r>
    </w:p>
    <w:p>
      <w:pPr>
        <w:pStyle w:val="ListParagraph"/>
        <w:numPr>
          <w:ilvl w:val="0"/>
          <w:numId w:val="1"/>
        </w:numPr>
        <w:spacing w:after="90" w:line="264"/>
      </w:pPr>
      <w:r>
        <w:t xml:space="preserve">Meets applicable Nigerian laws and donor expectations.</w:t>
      </w:r>
    </w:p>
    <w:p>
      <w:pPr>
        <w:pStyle w:val="ListParagraph"/>
        <w:numPr>
          <w:ilvl w:val="0"/>
          <w:numId w:val="1"/>
        </w:numPr>
        <w:spacing w:after="90" w:line="264"/>
      </w:pPr>
      <w:r>
        <w:t xml:space="preserve">Embeds security throughout the software development lifecycle.</w:t>
      </w:r>
    </w:p>
    <w:p>
      <w:pPr>
        <w:pStyle w:val="ListParagraph"/>
        <w:numPr>
          <w:ilvl w:val="0"/>
          <w:numId w:val="1"/>
        </w:numPr>
        <w:spacing w:after="90" w:line="264"/>
      </w:pPr>
      <w:r>
        <w:t xml:space="preserve">Maintains user trust through robust governance and auditability.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Security shall be treated as a continuous engineering discipline rather than a post-development activity.</w:t>
            </w:r>
          </w:p>
        </w:tc>
      </w:tr>
    </w:tbl>
    <w:p>
      <w:pPr>
        <w:pStyle w:val="Heading1"/>
        <w:pBdr>
          <w:bottom w:val="single" w:color="C6D2E0" w:sz="4" w:space="4"/>
        </w:pBdr>
        <w:spacing w:after="140" w:before="360"/>
      </w:pPr>
      <w:r>
        <w:rPr>
          <w:b/>
          <w:bCs/>
          <w:color w:val="4A6FA5"/>
          <w:sz w:val="26"/>
          <w:szCs w:val="26"/>
        </w:rPr>
        <w:t xml:space="preserve">14.2  </w:t>
      </w:r>
      <w:r>
        <w:rPr>
          <w:b/>
          <w:bCs/>
          <w:color w:val="1F3864"/>
          <w:sz w:val="26"/>
          <w:szCs w:val="26"/>
        </w:rPr>
        <w:t xml:space="preserve">Security Engineering Principles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six foundational principles governing platform security.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Establishes security as an architectural property, not a bolt-on feature.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Applies Chapter 5's Core Engineering Principles specifically to security architecture.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where no user, device, or service is inherently trusted.</w:t>
            </w:r>
          </w:p>
        </w:tc>
      </w:tr>
    </w:tbl>
    <w:p>
      <w:pPr>
        <w:spacing w:after="160"/>
      </w:pPr>
    </w:p>
    <w:p>
      <w:pPr>
        <w:spacing w:after="150" w:line="276"/>
        <w:jc w:val="both"/>
      </w:pPr>
      <w:r>
        <w:t xml:space="preserve">The platform shall adopt the following foundational principles.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621"/>
        <w:gridCol w:w="7459"/>
      </w:tblGrid>
      <w:tr>
        <w:trPr>
          <w:tblHeader/>
        </w:trPr>
        <w:tc>
          <w:tcPr>
            <w:tcW w:type="dxa" w:w="2621"/>
            <w:shd w:fill="1F3864" w:val="clear"/>
            <w:tcMar>
              <w:top w:type="dxa" w:w="70"/>
              <w:left w:type="dxa" w:w="110"/>
              <w:bottom w:type="dxa" w:w="70"/>
              <w:right w:type="dxa" w:w="110"/>
            </w:tcMar>
            <w:vAlign w:val="top"/>
          </w:tcPr>
          <w:p>
            <w:r>
              <w:rPr>
                <w:b/>
                <w:bCs/>
                <w:color w:val="FFFFFF"/>
                <w:sz w:val="17"/>
                <w:szCs w:val="17"/>
              </w:rPr>
              <w:t xml:space="preserve">Principle</w:t>
            </w:r>
          </w:p>
        </w:tc>
        <w:tc>
          <w:tcPr>
            <w:tcW w:type="dxa" w:w="7459"/>
            <w:shd w:fill="1F3864" w:val="clear"/>
            <w:tcMar>
              <w:top w:type="dxa" w:w="70"/>
              <w:left w:type="dxa" w:w="110"/>
              <w:bottom w:type="dxa" w:w="70"/>
              <w:right w:type="dxa" w:w="110"/>
            </w:tcMar>
            <w:vAlign w:val="top"/>
          </w:tcPr>
          <w:p>
            <w:r>
              <w:rPr>
                <w:b/>
                <w:bCs/>
                <w:color w:val="FFFFFF"/>
                <w:sz w:val="17"/>
                <w:szCs w:val="17"/>
              </w:rPr>
              <w:t xml:space="preserve">Description</w:t>
            </w:r>
          </w:p>
        </w:tc>
      </w:tr>
      <w:tr>
        <w:tc>
          <w:tcPr>
            <w:tcW w:type="dxa" w:w="2621"/>
            <w:tcMar>
              <w:top w:type="dxa" w:w="70"/>
              <w:left w:type="dxa" w:w="110"/>
              <w:bottom w:type="dxa" w:w="70"/>
              <w:right w:type="dxa" w:w="110"/>
            </w:tcMar>
            <w:vAlign w:val="top"/>
          </w:tcPr>
          <w:p>
            <w:r>
              <w:rPr>
                <w:b/>
                <w:bCs/>
                <w:color w:val="1A1A1A"/>
                <w:sz w:val="16"/>
                <w:szCs w:val="16"/>
              </w:rPr>
              <w:t xml:space="preserve">Security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Security requirements shall be incorporated from project inception through retirement.</w:t>
            </w:r>
          </w:p>
        </w:tc>
      </w:tr>
      <w:tr>
        <w:tc>
          <w:tcPr>
            <w:tcW w:type="dxa" w:w="2621"/>
            <w:tcMar>
              <w:top w:type="dxa" w:w="70"/>
              <w:left w:type="dxa" w:w="110"/>
              <w:bottom w:type="dxa" w:w="70"/>
              <w:right w:type="dxa" w:w="110"/>
            </w:tcMar>
            <w:vAlign w:val="top"/>
          </w:tcPr>
          <w:p>
            <w:r>
              <w:rPr>
                <w:b/>
                <w:bCs/>
                <w:color w:val="1A1A1A"/>
                <w:sz w:val="16"/>
                <w:szCs w:val="16"/>
              </w:rPr>
              <w:t xml:space="preserve">Privacy by Design</w:t>
            </w:r>
          </w:p>
        </w:tc>
        <w:tc>
          <w:tcPr>
            <w:tcW w:type="dxa" w:w="7459"/>
            <w:tcMar>
              <w:top w:type="dxa" w:w="70"/>
              <w:left w:type="dxa" w:w="110"/>
              <w:bottom w:type="dxa" w:w="70"/>
              <w:right w:type="dxa" w:w="110"/>
            </w:tcMar>
            <w:vAlign w:val="top"/>
          </w:tcPr>
          <w:p>
            <w:r>
              <w:rPr>
                <w:b w:val="false"/>
                <w:bCs w:val="false"/>
                <w:color w:val="1A1A1A"/>
                <w:sz w:val="16"/>
                <w:szCs w:val="16"/>
              </w:rPr>
              <w:t xml:space="preserve">Personal and sensitive information shall be protected throughout its lifecycle.</w:t>
            </w:r>
          </w:p>
        </w:tc>
      </w:tr>
      <w:tr>
        <w:tc>
          <w:tcPr>
            <w:tcW w:type="dxa" w:w="2621"/>
            <w:tcMar>
              <w:top w:type="dxa" w:w="70"/>
              <w:left w:type="dxa" w:w="110"/>
              <w:bottom w:type="dxa" w:w="70"/>
              <w:right w:type="dxa" w:w="110"/>
            </w:tcMar>
            <w:vAlign w:val="top"/>
          </w:tcPr>
          <w:p>
            <w:r>
              <w:rPr>
                <w:b/>
                <w:bCs/>
                <w:color w:val="1A1A1A"/>
                <w:sz w:val="16"/>
                <w:szCs w:val="16"/>
              </w:rPr>
              <w:t xml:space="preserve">Zero Trust Architecture</w:t>
            </w:r>
          </w:p>
        </w:tc>
        <w:tc>
          <w:tcPr>
            <w:tcW w:type="dxa" w:w="7459"/>
            <w:tcMar>
              <w:top w:type="dxa" w:w="70"/>
              <w:left w:type="dxa" w:w="110"/>
              <w:bottom w:type="dxa" w:w="70"/>
              <w:right w:type="dxa" w:w="110"/>
            </w:tcMar>
            <w:vAlign w:val="top"/>
          </w:tcPr>
          <w:p>
            <w:r>
              <w:rPr>
                <w:b w:val="false"/>
                <w:bCs w:val="false"/>
                <w:color w:val="1A1A1A"/>
                <w:sz w:val="16"/>
                <w:szCs w:val="16"/>
              </w:rPr>
              <w:t xml:space="preserve">No user, device, or service shall be inherently trusted. Every request must be authenticated, authorized, and evaluated based on context.</w:t>
            </w:r>
          </w:p>
        </w:tc>
      </w:tr>
      <w:tr>
        <w:tc>
          <w:tcPr>
            <w:tcW w:type="dxa" w:w="2621"/>
            <w:tcMar>
              <w:top w:type="dxa" w:w="70"/>
              <w:left w:type="dxa" w:w="110"/>
              <w:bottom w:type="dxa" w:w="70"/>
              <w:right w:type="dxa" w:w="110"/>
            </w:tcMar>
            <w:vAlign w:val="top"/>
          </w:tcPr>
          <w:p>
            <w:r>
              <w:rPr>
                <w:b/>
                <w:bCs/>
                <w:color w:val="1A1A1A"/>
                <w:sz w:val="16"/>
                <w:szCs w:val="16"/>
              </w:rPr>
              <w:t xml:space="preserve">Least Privilege</w:t>
            </w:r>
          </w:p>
        </w:tc>
        <w:tc>
          <w:tcPr>
            <w:tcW w:type="dxa" w:w="7459"/>
            <w:tcMar>
              <w:top w:type="dxa" w:w="70"/>
              <w:left w:type="dxa" w:w="110"/>
              <w:bottom w:type="dxa" w:w="70"/>
              <w:right w:type="dxa" w:w="110"/>
            </w:tcMar>
            <w:vAlign w:val="top"/>
          </w:tcPr>
          <w:p>
            <w:r>
              <w:rPr>
                <w:b w:val="false"/>
                <w:bCs w:val="false"/>
                <w:color w:val="1A1A1A"/>
                <w:sz w:val="16"/>
                <w:szCs w:val="16"/>
              </w:rPr>
              <w:t xml:space="preserve">Users, applications, and services shall receive only the permissions required to perform their authorized functions.</w:t>
            </w:r>
          </w:p>
        </w:tc>
      </w:tr>
      <w:tr>
        <w:tc>
          <w:tcPr>
            <w:tcW w:type="dxa" w:w="2621"/>
            <w:tcMar>
              <w:top w:type="dxa" w:w="70"/>
              <w:left w:type="dxa" w:w="110"/>
              <w:bottom w:type="dxa" w:w="70"/>
              <w:right w:type="dxa" w:w="110"/>
            </w:tcMar>
            <w:vAlign w:val="top"/>
          </w:tcPr>
          <w:p>
            <w:r>
              <w:rPr>
                <w:b/>
                <w:bCs/>
                <w:color w:val="1A1A1A"/>
                <w:sz w:val="16"/>
                <w:szCs w:val="16"/>
              </w:rPr>
              <w:t xml:space="preserve">Defense in Depth</w:t>
            </w:r>
          </w:p>
        </w:tc>
        <w:tc>
          <w:tcPr>
            <w:tcW w:type="dxa" w:w="7459"/>
            <w:tcMar>
              <w:top w:type="dxa" w:w="70"/>
              <w:left w:type="dxa" w:w="110"/>
              <w:bottom w:type="dxa" w:w="70"/>
              <w:right w:type="dxa" w:w="110"/>
            </w:tcMar>
            <w:vAlign w:val="top"/>
          </w:tcPr>
          <w:p>
            <w:r>
              <w:rPr>
                <w:b w:val="false"/>
                <w:bCs w:val="false"/>
                <w:color w:val="1A1A1A"/>
                <w:sz w:val="16"/>
                <w:szCs w:val="16"/>
              </w:rPr>
              <w:t xml:space="preserve">Multiple complementary security controls shall protect every critical asset.</w:t>
            </w:r>
          </w:p>
        </w:tc>
      </w:tr>
      <w:tr>
        <w:tc>
          <w:tcPr>
            <w:tcW w:type="dxa" w:w="2621"/>
            <w:tcMar>
              <w:top w:type="dxa" w:w="70"/>
              <w:left w:type="dxa" w:w="110"/>
              <w:bottom w:type="dxa" w:w="70"/>
              <w:right w:type="dxa" w:w="110"/>
            </w:tcMar>
            <w:vAlign w:val="top"/>
          </w:tcPr>
          <w:p>
            <w:r>
              <w:rPr>
                <w:b/>
                <w:bCs/>
                <w:color w:val="1A1A1A"/>
                <w:sz w:val="16"/>
                <w:szCs w:val="16"/>
              </w:rPr>
              <w:t xml:space="preserve">Secure by Default</w:t>
            </w:r>
          </w:p>
        </w:tc>
        <w:tc>
          <w:tcPr>
            <w:tcW w:type="dxa" w:w="7459"/>
            <w:tcMar>
              <w:top w:type="dxa" w:w="70"/>
              <w:left w:type="dxa" w:w="110"/>
              <w:bottom w:type="dxa" w:w="70"/>
              <w:right w:type="dxa" w:w="110"/>
            </w:tcMar>
            <w:vAlign w:val="top"/>
          </w:tcPr>
          <w:p>
            <w:r>
              <w:rPr>
                <w:b w:val="false"/>
                <w:bCs w:val="false"/>
                <w:color w:val="1A1A1A"/>
                <w:sz w:val="16"/>
                <w:szCs w:val="16"/>
              </w:rPr>
              <w:t xml:space="preserve">All services shall deploy with secure default configurations.</w:t>
            </w:r>
          </w:p>
        </w:tc>
      </w:tr>
    </w:tbl>
    <w:p>
      <w:pPr>
        <w:pStyle w:val="Heading1"/>
        <w:pBdr>
          <w:bottom w:val="single" w:color="C6D2E0" w:sz="4" w:space="4"/>
        </w:pBdr>
        <w:spacing w:after="140" w:before="360"/>
      </w:pPr>
      <w:r>
        <w:rPr>
          <w:b/>
          <w:bCs/>
          <w:color w:val="4A6FA5"/>
          <w:sz w:val="26"/>
          <w:szCs w:val="26"/>
        </w:rPr>
        <w:t xml:space="preserve">14.3  </w:t>
      </w:r>
      <w:r>
        <w:rPr>
          <w:b/>
          <w:bCs/>
          <w:color w:val="1F3864"/>
          <w:sz w:val="26"/>
          <w:szCs w:val="26"/>
        </w:rPr>
        <w:t xml:space="preserve">Security Architecture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layered security architecture of the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no single control failure compromises the entire platform.</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Every layer contributes independent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defense-in-depth architecture spanning identity through infrastructure and monitoring.</w:t>
            </w:r>
          </w:p>
        </w:tc>
      </w:tr>
    </w:tbl>
    <w:p>
      <w:pPr>
        <w:spacing w:after="160"/>
      </w:pPr>
    </w:p>
    <w:p>
      <w:pPr>
        <w:spacing w:after="150" w:line="276"/>
        <w:jc w:val="both"/>
      </w:pPr>
      <w:r>
        <w:t xml:space="preserve">The platform shall implement layered security:</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C6D2E0" w:sz="2"/>
              <w:left w:val="single" w:color="C6D2E0" w:sz="2"/>
              <w:bottom w:val="single" w:color="C6D2E0" w:sz="2"/>
              <w:right w:val="single" w:color="C6D2E0" w:sz="2"/>
            </w:tcBorders>
            <w:shd w:fill="EEF2F7" w:val="clear"/>
            <w:tcMar>
              <w:top w:type="dxa" w:w="140"/>
              <w:left w:type="dxa" w:w="200"/>
              <w:bottom w:type="dxa" w:w="140"/>
              <w:right w:type="dxa" w:w="200"/>
            </w:tcMar>
          </w:tcPr>
          <w:p>
            <w:pPr>
              <w:spacing w:after="0" w:line="240"/>
            </w:pPr>
            <w:r>
              <w:rPr>
                <w:rFonts w:ascii="Consolas" w:cs="Consolas" w:eastAsia="Consolas" w:hAnsi="Consolas"/>
                <w:color w:val="152238"/>
                <w:sz w:val="17"/>
                <w:szCs w:val="17"/>
              </w:rPr>
              <w:t xml:space="preserve">Users</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Identity &amp; Access Management</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API Gateway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Authentication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Authorization</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Application Layer</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Database Security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Infrastructure Security</w:t>
            </w:r>
          </w:p>
          <w:p>
            <w:pPr>
              <w:spacing w:after="0" w:line="240"/>
            </w:pPr>
            <w:r>
              <w:rPr>
                <w:rFonts w:ascii="Consolas" w:cs="Consolas" w:eastAsia="Consolas" w:hAnsi="Consolas"/>
                <w:color w:val="152238"/>
                <w:sz w:val="17"/>
                <w:szCs w:val="17"/>
              </w:rPr>
              <w:t xml:space="preserve">    │</w:t>
            </w:r>
          </w:p>
          <w:p>
            <w:pPr>
              <w:spacing w:after="0" w:line="240"/>
            </w:pPr>
            <w:r>
              <w:rPr>
                <w:rFonts w:ascii="Consolas" w:cs="Consolas" w:eastAsia="Consolas" w:hAnsi="Consolas"/>
                <w:color w:val="152238"/>
                <w:sz w:val="17"/>
                <w:szCs w:val="17"/>
              </w:rPr>
              <w:t xml:space="preserve">Monitoring &amp; SIEM</w:t>
            </w:r>
          </w:p>
        </w:tc>
      </w:tr>
    </w:tbl>
    <w:p>
      <w:pPr>
        <w:spacing w:after="150" w:line="276"/>
        <w:jc w:val="both"/>
      </w:pPr>
      <w:r>
        <w:t xml:space="preserve">Every layer shall contribute independent security controls.</w:t>
      </w:r>
    </w:p>
    <w:p>
      <w:pPr>
        <w:pStyle w:val="Heading1"/>
        <w:pBdr>
          <w:bottom w:val="single" w:color="C6D2E0" w:sz="4" w:space="4"/>
        </w:pBdr>
        <w:spacing w:after="140" w:before="360"/>
      </w:pPr>
      <w:r>
        <w:rPr>
          <w:b/>
          <w:bCs/>
          <w:color w:val="4A6FA5"/>
          <w:sz w:val="26"/>
          <w:szCs w:val="26"/>
        </w:rPr>
        <w:t xml:space="preserve">14.4  </w:t>
      </w:r>
      <w:r>
        <w:rPr>
          <w:b/>
          <w:bCs/>
          <w:color w:val="1F3864"/>
          <w:sz w:val="26"/>
          <w:szCs w:val="26"/>
        </w:rPr>
        <w:t xml:space="preserve">Identity and Access Management (IAM)</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identity management capabilities.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user access is provisioned, monitored, and revoked in a controlled, auditable manner.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User provisioning and de-provisioning follow approved governance processes.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An identity system capable of Single Sign-On (SSO) readiness and fine-grained permission control.</w:t>
            </w:r>
          </w:p>
        </w:tc>
      </w:tr>
    </w:tbl>
    <w:p>
      <w:pPr>
        <w:spacing w:after="160"/>
      </w:pPr>
    </w:p>
    <w:p>
      <w:pPr>
        <w:spacing w:after="150" w:line="276"/>
        <w:jc w:val="both"/>
      </w:pPr>
      <w:r>
        <w:t xml:space="preserve">Identity management shall include:</w:t>
      </w:r>
    </w:p>
    <w:p>
      <w:pPr>
        <w:pStyle w:val="ListParagraph"/>
        <w:numPr>
          <w:ilvl w:val="0"/>
          <w:numId w:val="1"/>
        </w:numPr>
        <w:spacing w:after="90" w:line="264"/>
      </w:pPr>
      <w:r>
        <w:t xml:space="preserve">Single Sign-On (SSO) readiness.</w:t>
      </w:r>
    </w:p>
    <w:p>
      <w:pPr>
        <w:pStyle w:val="ListParagraph"/>
        <w:numPr>
          <w:ilvl w:val="0"/>
          <w:numId w:val="1"/>
        </w:numPr>
        <w:spacing w:after="90" w:line="264"/>
      </w:pPr>
      <w:r>
        <w:t xml:space="preserve">OAuth 2.0 / OpenID Connect.</w:t>
      </w:r>
    </w:p>
    <w:p>
      <w:pPr>
        <w:pStyle w:val="ListParagraph"/>
        <w:numPr>
          <w:ilvl w:val="0"/>
          <w:numId w:val="1"/>
        </w:numPr>
        <w:spacing w:after="90" w:line="264"/>
      </w:pPr>
      <w:r>
        <w:t xml:space="preserve">Multi-Factor Authentication (MFA) for privileged users.</w:t>
      </w:r>
    </w:p>
    <w:p>
      <w:pPr>
        <w:pStyle w:val="ListParagraph"/>
        <w:numPr>
          <w:ilvl w:val="0"/>
          <w:numId w:val="1"/>
        </w:numPr>
        <w:spacing w:after="90" w:line="264"/>
      </w:pPr>
      <w:r>
        <w:t xml:space="preserve">Role-Based Access Control (RBAC).</w:t>
      </w:r>
    </w:p>
    <w:p>
      <w:pPr>
        <w:pStyle w:val="ListParagraph"/>
        <w:numPr>
          <w:ilvl w:val="0"/>
          <w:numId w:val="1"/>
        </w:numPr>
        <w:spacing w:after="90" w:line="264"/>
      </w:pPr>
      <w:r>
        <w:t xml:space="preserve">Fine-grained permission model.</w:t>
      </w:r>
    </w:p>
    <w:p>
      <w:pPr>
        <w:pStyle w:val="ListParagraph"/>
        <w:numPr>
          <w:ilvl w:val="0"/>
          <w:numId w:val="1"/>
        </w:numPr>
        <w:spacing w:after="90" w:line="264"/>
      </w:pPr>
      <w:r>
        <w:t xml:space="preserve">Password policy enforcement.</w:t>
      </w:r>
    </w:p>
    <w:p>
      <w:pPr>
        <w:pStyle w:val="ListParagraph"/>
        <w:numPr>
          <w:ilvl w:val="0"/>
          <w:numId w:val="1"/>
        </w:numPr>
        <w:spacing w:after="90" w:line="264"/>
      </w:pPr>
      <w:r>
        <w:t xml:space="preserve">Session timeout.</w:t>
      </w:r>
    </w:p>
    <w:p>
      <w:pPr>
        <w:pStyle w:val="ListParagraph"/>
        <w:numPr>
          <w:ilvl w:val="0"/>
          <w:numId w:val="1"/>
        </w:numPr>
        <w:spacing w:after="90" w:line="264"/>
      </w:pPr>
      <w:r>
        <w:t xml:space="preserve">Account lockout.</w:t>
      </w:r>
    </w:p>
    <w:p>
      <w:pPr>
        <w:pStyle w:val="ListParagraph"/>
        <w:numPr>
          <w:ilvl w:val="0"/>
          <w:numId w:val="1"/>
        </w:numPr>
        <w:spacing w:after="90" w:line="264"/>
      </w:pPr>
      <w:r>
        <w:t xml:space="preserve">Password reset workflow.</w:t>
      </w:r>
    </w:p>
    <w:p>
      <w:pPr>
        <w:pStyle w:val="ListParagraph"/>
        <w:numPr>
          <w:ilvl w:val="0"/>
          <w:numId w:val="1"/>
        </w:numPr>
        <w:spacing w:after="90" w:line="264"/>
      </w:pPr>
      <w:r>
        <w:t xml:space="preserve">User lifecycle management.</w:t>
      </w:r>
    </w:p>
    <w:p>
      <w:pPr>
        <w:spacing w:after="150" w:line="276"/>
        <w:jc w:val="both"/>
      </w:pPr>
      <w:r>
        <w:t xml:space="preserve">User provisioning and de-provisioning shall follow approved governance processes.</w:t>
      </w:r>
    </w:p>
    <w:p>
      <w:pPr>
        <w:pStyle w:val="Heading1"/>
        <w:pBdr>
          <w:bottom w:val="single" w:color="C6D2E0" w:sz="4" w:space="4"/>
        </w:pBdr>
        <w:spacing w:after="140" w:before="360"/>
      </w:pPr>
      <w:r>
        <w:rPr>
          <w:b/>
          <w:bCs/>
          <w:color w:val="4A6FA5"/>
          <w:sz w:val="26"/>
          <w:szCs w:val="26"/>
        </w:rPr>
        <w:t xml:space="preserve">14.5  </w:t>
      </w:r>
      <w:r>
        <w:rPr>
          <w:b/>
          <w:bCs/>
          <w:color w:val="1F3864"/>
          <w:sz w:val="26"/>
          <w:szCs w:val="26"/>
        </w:rPr>
        <w:t xml:space="preserve">Authentication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authentication mechanisms.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unauthorized access through weak or compromised credentials.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Authentication always occurs over encrypted channels.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Authentication resilient to brute-force and credential-stuffing attacks.</w:t>
            </w:r>
          </w:p>
        </w:tc>
      </w:tr>
    </w:tbl>
    <w:p>
      <w:pPr>
        <w:spacing w:after="160"/>
      </w:pPr>
    </w:p>
    <w:p>
      <w:pPr>
        <w:spacing w:after="150" w:line="276"/>
        <w:jc w:val="both"/>
      </w:pPr>
      <w:r>
        <w:t xml:space="preserve">Authentication requirements include:</w:t>
      </w:r>
    </w:p>
    <w:p>
      <w:pPr>
        <w:pStyle w:val="ListParagraph"/>
        <w:numPr>
          <w:ilvl w:val="0"/>
          <w:numId w:val="1"/>
        </w:numPr>
        <w:spacing w:after="90" w:line="264"/>
      </w:pPr>
      <w:r>
        <w:t xml:space="preserve">Secure credential storage using Argon2 or bcrypt.</w:t>
      </w:r>
    </w:p>
    <w:p>
      <w:pPr>
        <w:pStyle w:val="ListParagraph"/>
        <w:numPr>
          <w:ilvl w:val="0"/>
          <w:numId w:val="1"/>
        </w:numPr>
        <w:spacing w:after="90" w:line="264"/>
      </w:pPr>
      <w:r>
        <w:t xml:space="preserve">JWT access tokens with expiration.</w:t>
      </w:r>
    </w:p>
    <w:p>
      <w:pPr>
        <w:pStyle w:val="ListParagraph"/>
        <w:numPr>
          <w:ilvl w:val="0"/>
          <w:numId w:val="1"/>
        </w:numPr>
        <w:spacing w:after="90" w:line="264"/>
      </w:pPr>
      <w:r>
        <w:t xml:space="preserve">Refresh token rotation.</w:t>
      </w:r>
    </w:p>
    <w:p>
      <w:pPr>
        <w:pStyle w:val="ListParagraph"/>
        <w:numPr>
          <w:ilvl w:val="0"/>
          <w:numId w:val="1"/>
        </w:numPr>
        <w:spacing w:after="90" w:line="264"/>
      </w:pPr>
      <w:r>
        <w:t xml:space="preserve">Secure cookie handling where applicable.</w:t>
      </w:r>
    </w:p>
    <w:p>
      <w:pPr>
        <w:pStyle w:val="ListParagraph"/>
        <w:numPr>
          <w:ilvl w:val="0"/>
          <w:numId w:val="1"/>
        </w:numPr>
        <w:spacing w:after="90" w:line="264"/>
      </w:pPr>
      <w:r>
        <w:t xml:space="preserve">Device/session management.</w:t>
      </w:r>
    </w:p>
    <w:p>
      <w:pPr>
        <w:pStyle w:val="ListParagraph"/>
        <w:numPr>
          <w:ilvl w:val="0"/>
          <w:numId w:val="1"/>
        </w:numPr>
        <w:spacing w:after="90" w:line="264"/>
      </w:pPr>
      <w:r>
        <w:t xml:space="preserve">Login anomaly detection.</w:t>
      </w:r>
    </w:p>
    <w:p>
      <w:pPr>
        <w:pStyle w:val="ListParagraph"/>
        <w:numPr>
          <w:ilvl w:val="0"/>
          <w:numId w:val="1"/>
        </w:numPr>
        <w:spacing w:after="90" w:line="264"/>
      </w:pPr>
      <w:r>
        <w:t xml:space="preserve">Brute-force protection.</w:t>
      </w:r>
    </w:p>
    <w:p>
      <w:pPr>
        <w:pStyle w:val="ListParagraph"/>
        <w:numPr>
          <w:ilvl w:val="0"/>
          <w:numId w:val="1"/>
        </w:numPr>
        <w:spacing w:after="90" w:line="264"/>
      </w:pPr>
      <w:r>
        <w:t xml:space="preserve">CAPTCHA for repeated failed attempts where appropriate.</w:t>
      </w:r>
    </w:p>
    <w:p>
      <w:pPr>
        <w:spacing w:after="150" w:line="276"/>
        <w:jc w:val="both"/>
      </w:pPr>
      <w:r>
        <w:t xml:space="preserve">Authentication shall always occur over encrypted channels.</w:t>
      </w:r>
    </w:p>
    <w:p>
      <w:pPr>
        <w:pStyle w:val="Heading1"/>
        <w:pBdr>
          <w:bottom w:val="single" w:color="C6D2E0" w:sz="4" w:space="4"/>
        </w:pBdr>
        <w:spacing w:after="140" w:before="360"/>
      </w:pPr>
      <w:r>
        <w:rPr>
          <w:b/>
          <w:bCs/>
          <w:color w:val="4A6FA5"/>
          <w:sz w:val="26"/>
          <w:szCs w:val="26"/>
        </w:rPr>
        <w:t xml:space="preserve">14.6  </w:t>
      </w:r>
      <w:r>
        <w:rPr>
          <w:b/>
          <w:bCs/>
          <w:color w:val="1F3864"/>
          <w:sz w:val="26"/>
          <w:szCs w:val="26"/>
        </w:rPr>
        <w:t xml:space="preserve">Authorization Standards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where and how authorization decisions are enforced.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every user role — from system administrator to auditor — receives only appropriate access.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Authorization decisions are centrally managed and auditable.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Consistent authorization enforcement at every architectural layer.</w:t>
            </w:r>
          </w:p>
        </w:tc>
      </w:tr>
    </w:tbl>
    <w:p>
      <w:pPr>
        <w:spacing w:after="160"/>
      </w:pPr>
    </w:p>
    <w:p>
      <w:pPr>
        <w:spacing w:after="150" w:line="276"/>
        <w:jc w:val="both"/>
      </w:pPr>
      <w:r>
        <w:t xml:space="preserve">Authorization shall be enforced at multiple layers:</w:t>
      </w:r>
    </w:p>
    <w:p>
      <w:pPr>
        <w:pStyle w:val="ListParagraph"/>
        <w:numPr>
          <w:ilvl w:val="0"/>
          <w:numId w:val="1"/>
        </w:numPr>
        <w:spacing w:after="90" w:line="264"/>
      </w:pPr>
      <w:r>
        <w:t xml:space="preserve">UI.</w:t>
      </w:r>
    </w:p>
    <w:p>
      <w:pPr>
        <w:pStyle w:val="ListParagraph"/>
        <w:numPr>
          <w:ilvl w:val="0"/>
          <w:numId w:val="1"/>
        </w:numPr>
        <w:spacing w:after="90" w:line="264"/>
      </w:pPr>
      <w:r>
        <w:t xml:space="preserve">API.</w:t>
      </w:r>
    </w:p>
    <w:p>
      <w:pPr>
        <w:pStyle w:val="ListParagraph"/>
        <w:numPr>
          <w:ilvl w:val="0"/>
          <w:numId w:val="1"/>
        </w:numPr>
        <w:spacing w:after="90" w:line="264"/>
      </w:pPr>
      <w:r>
        <w:t xml:space="preserve">Service.</w:t>
      </w:r>
    </w:p>
    <w:p>
      <w:pPr>
        <w:pStyle w:val="ListParagraph"/>
        <w:numPr>
          <w:ilvl w:val="0"/>
          <w:numId w:val="1"/>
        </w:numPr>
        <w:spacing w:after="90" w:line="264"/>
      </w:pPr>
      <w:r>
        <w:t xml:space="preserve">Database (where applicable).</w:t>
      </w:r>
    </w:p>
    <w:p>
      <w:pPr>
        <w:spacing w:after="150" w:line="276"/>
        <w:jc w:val="both"/>
      </w:pPr>
      <w:r>
        <w:t xml:space="preserve">Permissions shall support:</w:t>
      </w:r>
    </w:p>
    <w:p>
      <w:pPr>
        <w:pStyle w:val="ListParagraph"/>
        <w:numPr>
          <w:ilvl w:val="0"/>
          <w:numId w:val="1"/>
        </w:numPr>
        <w:spacing w:after="90" w:line="264"/>
      </w:pPr>
      <w:r>
        <w:t xml:space="preserve">System Administrators.</w:t>
      </w:r>
    </w:p>
    <w:p>
      <w:pPr>
        <w:pStyle w:val="ListParagraph"/>
        <w:numPr>
          <w:ilvl w:val="0"/>
          <w:numId w:val="1"/>
        </w:numPr>
        <w:spacing w:after="90" w:line="264"/>
      </w:pPr>
      <w:r>
        <w:t xml:space="preserve">Programme Managers.</w:t>
      </w:r>
    </w:p>
    <w:p>
      <w:pPr>
        <w:pStyle w:val="ListParagraph"/>
        <w:numPr>
          <w:ilvl w:val="0"/>
          <w:numId w:val="1"/>
        </w:numPr>
        <w:spacing w:after="90" w:line="264"/>
      </w:pPr>
      <w:r>
        <w:t xml:space="preserve">State Coordinators.</w:t>
      </w:r>
    </w:p>
    <w:p>
      <w:pPr>
        <w:pStyle w:val="ListParagraph"/>
        <w:numPr>
          <w:ilvl w:val="0"/>
          <w:numId w:val="1"/>
        </w:numPr>
        <w:spacing w:after="90" w:line="264"/>
      </w:pPr>
      <w:r>
        <w:t xml:space="preserve">Knowledge Managers.</w:t>
      </w:r>
    </w:p>
    <w:p>
      <w:pPr>
        <w:pStyle w:val="ListParagraph"/>
        <w:numPr>
          <w:ilvl w:val="0"/>
          <w:numId w:val="1"/>
        </w:numPr>
        <w:spacing w:after="90" w:line="264"/>
      </w:pPr>
      <w:r>
        <w:t xml:space="preserve">Monitoring &amp; Evaluation Officers.</w:t>
      </w:r>
    </w:p>
    <w:p>
      <w:pPr>
        <w:pStyle w:val="ListParagraph"/>
        <w:numPr>
          <w:ilvl w:val="0"/>
          <w:numId w:val="1"/>
        </w:numPr>
        <w:spacing w:after="90" w:line="264"/>
      </w:pPr>
      <w:r>
        <w:t xml:space="preserve">External Partners.</w:t>
      </w:r>
    </w:p>
    <w:p>
      <w:pPr>
        <w:pStyle w:val="ListParagraph"/>
        <w:numPr>
          <w:ilvl w:val="0"/>
          <w:numId w:val="1"/>
        </w:numPr>
        <w:spacing w:after="90" w:line="264"/>
      </w:pPr>
      <w:r>
        <w:t xml:space="preserve">Auditors.</w:t>
      </w:r>
    </w:p>
    <w:p>
      <w:pPr>
        <w:pStyle w:val="ListParagraph"/>
        <w:numPr>
          <w:ilvl w:val="0"/>
          <w:numId w:val="1"/>
        </w:numPr>
        <w:spacing w:after="90" w:line="264"/>
      </w:pPr>
      <w:r>
        <w:t xml:space="preserve">Read-only users.</w:t>
      </w:r>
    </w:p>
    <w:p>
      <w:pPr>
        <w:spacing w:after="150" w:line="276"/>
        <w:jc w:val="both"/>
      </w:pPr>
      <w:r>
        <w:t xml:space="preserve">Authorization decisions shall be centrally managed and auditable.</w:t>
      </w:r>
    </w:p>
    <w:p>
      <w:pPr>
        <w:pStyle w:val="Heading1"/>
        <w:pBdr>
          <w:bottom w:val="single" w:color="C6D2E0" w:sz="4" w:space="4"/>
        </w:pBdr>
        <w:spacing w:after="140" w:before="360"/>
      </w:pPr>
      <w:r>
        <w:rPr>
          <w:b/>
          <w:bCs/>
          <w:color w:val="4A6FA5"/>
          <w:sz w:val="26"/>
          <w:szCs w:val="26"/>
        </w:rPr>
        <w:t xml:space="preserve">14.7  </w:t>
      </w:r>
      <w:r>
        <w:rPr>
          <w:b/>
          <w:bCs/>
          <w:color w:val="1F3864"/>
          <w:sz w:val="26"/>
          <w:szCs w:val="26"/>
        </w:rPr>
        <w:t xml:space="preserve">Data Protection</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information classification and mandatory data protection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Ensures the level of protection matches the sensitivity of the information.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Sensitive information is only accessible to authorized users, enforced at every layer.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Information classified and protected consistently, from public to restricted.</w:t>
            </w:r>
          </w:p>
        </w:tc>
      </w:tr>
    </w:tbl>
    <w:p>
      <w:pPr>
        <w:spacing w:after="160"/>
      </w:pPr>
    </w:p>
    <w:p>
      <w:pPr>
        <w:spacing w:after="150" w:line="276"/>
        <w:jc w:val="both"/>
      </w:pPr>
      <w:r>
        <w:t xml:space="preserve">The platform shall classify information into categories such as:</w:t>
      </w:r>
    </w:p>
    <w:p>
      <w:pPr>
        <w:pStyle w:val="ListParagraph"/>
        <w:numPr>
          <w:ilvl w:val="0"/>
          <w:numId w:val="1"/>
        </w:numPr>
        <w:spacing w:after="90" w:line="264"/>
      </w:pPr>
      <w:r>
        <w:t xml:space="preserve">Public.</w:t>
      </w:r>
    </w:p>
    <w:p>
      <w:pPr>
        <w:pStyle w:val="ListParagraph"/>
        <w:numPr>
          <w:ilvl w:val="0"/>
          <w:numId w:val="1"/>
        </w:numPr>
        <w:spacing w:after="90" w:line="264"/>
      </w:pPr>
      <w:r>
        <w:t xml:space="preserve">Internal.</w:t>
      </w:r>
    </w:p>
    <w:p>
      <w:pPr>
        <w:pStyle w:val="ListParagraph"/>
        <w:numPr>
          <w:ilvl w:val="0"/>
          <w:numId w:val="1"/>
        </w:numPr>
        <w:spacing w:after="90" w:line="264"/>
      </w:pPr>
      <w:r>
        <w:t xml:space="preserve">Confidential.</w:t>
      </w:r>
    </w:p>
    <w:p>
      <w:pPr>
        <w:pStyle w:val="ListParagraph"/>
        <w:numPr>
          <w:ilvl w:val="0"/>
          <w:numId w:val="1"/>
        </w:numPr>
        <w:spacing w:after="90" w:line="264"/>
      </w:pPr>
      <w:r>
        <w:t xml:space="preserve">Restricted.</w:t>
      </w:r>
    </w:p>
    <w:p>
      <w:pPr>
        <w:spacing w:after="150" w:line="276"/>
        <w:jc w:val="both"/>
      </w:pPr>
      <w:r>
        <w:t xml:space="preserve">Controls shall include:</w:t>
      </w:r>
    </w:p>
    <w:p>
      <w:pPr>
        <w:pStyle w:val="ListParagraph"/>
        <w:numPr>
          <w:ilvl w:val="0"/>
          <w:numId w:val="1"/>
        </w:numPr>
        <w:spacing w:after="90" w:line="264"/>
      </w:pPr>
      <w:r>
        <w:t xml:space="preserve">Encryption at rest (AES-256 or equivalent).</w:t>
      </w:r>
    </w:p>
    <w:p>
      <w:pPr>
        <w:pStyle w:val="ListParagraph"/>
        <w:numPr>
          <w:ilvl w:val="0"/>
          <w:numId w:val="1"/>
        </w:numPr>
        <w:spacing w:after="90" w:line="264"/>
      </w:pPr>
      <w:r>
        <w:t xml:space="preserve">Encryption in transit (TLS 1.2+).</w:t>
      </w:r>
    </w:p>
    <w:p>
      <w:pPr>
        <w:pStyle w:val="ListParagraph"/>
        <w:numPr>
          <w:ilvl w:val="0"/>
          <w:numId w:val="1"/>
        </w:numPr>
        <w:spacing w:after="90" w:line="264"/>
      </w:pPr>
      <w:r>
        <w:t xml:space="preserve">Secure key management.</w:t>
      </w:r>
    </w:p>
    <w:p>
      <w:pPr>
        <w:pStyle w:val="ListParagraph"/>
        <w:numPr>
          <w:ilvl w:val="0"/>
          <w:numId w:val="1"/>
        </w:numPr>
        <w:spacing w:after="90" w:line="264"/>
      </w:pPr>
      <w:r>
        <w:t xml:space="preserve">Data masking where appropriate.</w:t>
      </w:r>
    </w:p>
    <w:p>
      <w:pPr>
        <w:pStyle w:val="ListParagraph"/>
        <w:numPr>
          <w:ilvl w:val="0"/>
          <w:numId w:val="1"/>
        </w:numPr>
        <w:spacing w:after="90" w:line="264"/>
      </w:pPr>
      <w:r>
        <w:t xml:space="preserve">Secure deletion procedures.</w:t>
      </w:r>
    </w:p>
    <w:p>
      <w:pPr>
        <w:pStyle w:val="ListParagraph"/>
        <w:numPr>
          <w:ilvl w:val="0"/>
          <w:numId w:val="1"/>
        </w:numPr>
        <w:spacing w:after="90" w:line="264"/>
      </w:pPr>
      <w:r>
        <w:t xml:space="preserve">Backup encryption.</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Sensitive information shall only be accessible to authorized users.</w:t>
            </w:r>
          </w:p>
        </w:tc>
      </w:tr>
    </w:tbl>
    <w:p>
      <w:pPr>
        <w:pStyle w:val="Heading1"/>
        <w:pBdr>
          <w:bottom w:val="single" w:color="C6D2E0" w:sz="4" w:space="4"/>
        </w:pBdr>
        <w:spacing w:after="140" w:before="360"/>
      </w:pPr>
      <w:r>
        <w:rPr>
          <w:b/>
          <w:bCs/>
          <w:color w:val="4A6FA5"/>
          <w:sz w:val="26"/>
          <w:szCs w:val="26"/>
        </w:rPr>
        <w:t xml:space="preserve">14.8  </w:t>
      </w:r>
      <w:r>
        <w:rPr>
          <w:b/>
          <w:bCs/>
          <w:color w:val="1F3864"/>
          <w:sz w:val="26"/>
          <w:szCs w:val="26"/>
        </w:rPr>
        <w:t xml:space="preserve">Application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secure coding practices applied throughout development.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the most common and most damaging classes of application vulnerabilities.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is validated through both automated and manual testing.</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Application code resilient against the OWASP Top 10 and related risks.</w:t>
            </w:r>
          </w:p>
        </w:tc>
      </w:tr>
    </w:tbl>
    <w:p>
      <w:pPr>
        <w:spacing w:after="160"/>
      </w:pPr>
    </w:p>
    <w:p>
      <w:pPr>
        <w:spacing w:after="150" w:line="276"/>
        <w:jc w:val="both"/>
      </w:pPr>
      <w:r>
        <w:t xml:space="preserve">Secure coding practices shall address:</w:t>
      </w:r>
    </w:p>
    <w:p>
      <w:pPr>
        <w:pStyle w:val="ListParagraph"/>
        <w:numPr>
          <w:ilvl w:val="0"/>
          <w:numId w:val="1"/>
        </w:numPr>
        <w:spacing w:after="90" w:line="264"/>
      </w:pPr>
      <w:r>
        <w:t xml:space="preserve">OWASP Top 10 risks.</w:t>
      </w:r>
    </w:p>
    <w:p>
      <w:pPr>
        <w:pStyle w:val="ListParagraph"/>
        <w:numPr>
          <w:ilvl w:val="0"/>
          <w:numId w:val="1"/>
        </w:numPr>
        <w:spacing w:after="90" w:line="264"/>
      </w:pPr>
      <w:r>
        <w:t xml:space="preserve">SQL Injection.</w:t>
      </w:r>
    </w:p>
    <w:p>
      <w:pPr>
        <w:pStyle w:val="ListParagraph"/>
        <w:numPr>
          <w:ilvl w:val="0"/>
          <w:numId w:val="1"/>
        </w:numPr>
        <w:spacing w:after="90" w:line="264"/>
      </w:pPr>
      <w:r>
        <w:t xml:space="preserve">Cross-Site Scripting (XSS).</w:t>
      </w:r>
    </w:p>
    <w:p>
      <w:pPr>
        <w:pStyle w:val="ListParagraph"/>
        <w:numPr>
          <w:ilvl w:val="0"/>
          <w:numId w:val="1"/>
        </w:numPr>
        <w:spacing w:after="90" w:line="264"/>
      </w:pPr>
      <w:r>
        <w:t xml:space="preserve">Cross-Site Request Forgery (CSRF).</w:t>
      </w:r>
    </w:p>
    <w:p>
      <w:pPr>
        <w:pStyle w:val="ListParagraph"/>
        <w:numPr>
          <w:ilvl w:val="0"/>
          <w:numId w:val="1"/>
        </w:numPr>
        <w:spacing w:after="90" w:line="264"/>
      </w:pPr>
      <w:r>
        <w:t xml:space="preserve">Broken Access Control.</w:t>
      </w:r>
    </w:p>
    <w:p>
      <w:pPr>
        <w:pStyle w:val="ListParagraph"/>
        <w:numPr>
          <w:ilvl w:val="0"/>
          <w:numId w:val="1"/>
        </w:numPr>
        <w:spacing w:after="90" w:line="264"/>
      </w:pPr>
      <w:r>
        <w:t xml:space="preserve">Insecure Deserialization.</w:t>
      </w:r>
    </w:p>
    <w:p>
      <w:pPr>
        <w:pStyle w:val="ListParagraph"/>
        <w:numPr>
          <w:ilvl w:val="0"/>
          <w:numId w:val="1"/>
        </w:numPr>
        <w:spacing w:after="90" w:line="264"/>
      </w:pPr>
      <w:r>
        <w:t xml:space="preserve">Server-Side Request Forgery (SSRF).</w:t>
      </w:r>
    </w:p>
    <w:p>
      <w:pPr>
        <w:pStyle w:val="ListParagraph"/>
        <w:numPr>
          <w:ilvl w:val="0"/>
          <w:numId w:val="1"/>
        </w:numPr>
        <w:spacing w:after="90" w:line="264"/>
      </w:pPr>
      <w:r>
        <w:t xml:space="preserve">File upload vulnerabilities.</w:t>
      </w:r>
    </w:p>
    <w:p>
      <w:pPr>
        <w:pStyle w:val="ListParagraph"/>
        <w:numPr>
          <w:ilvl w:val="0"/>
          <w:numId w:val="1"/>
        </w:numPr>
        <w:spacing w:after="90" w:line="264"/>
      </w:pPr>
      <w:r>
        <w:t xml:space="preserve">Command injection.</w:t>
      </w:r>
    </w:p>
    <w:p>
      <w:pPr>
        <w:pStyle w:val="ListParagraph"/>
        <w:numPr>
          <w:ilvl w:val="0"/>
          <w:numId w:val="1"/>
        </w:numPr>
        <w:spacing w:after="90" w:line="264"/>
      </w:pPr>
      <w:r>
        <w:t xml:space="preserve">Security misconfiguration.</w:t>
      </w:r>
    </w:p>
    <w:p>
      <w:pPr>
        <w:spacing w:after="150" w:line="276"/>
        <w:jc w:val="both"/>
      </w:pPr>
      <w:r>
        <w:t xml:space="preserve">Security shall be validated through automated and manual testing.</w:t>
      </w:r>
    </w:p>
    <w:p>
      <w:pPr>
        <w:pStyle w:val="Heading1"/>
        <w:pBdr>
          <w:bottom w:val="single" w:color="C6D2E0" w:sz="4" w:space="4"/>
        </w:pBdr>
        <w:spacing w:after="140" w:before="360"/>
      </w:pPr>
      <w:r>
        <w:rPr>
          <w:b/>
          <w:bCs/>
          <w:color w:val="4A6FA5"/>
          <w:sz w:val="26"/>
          <w:szCs w:val="26"/>
        </w:rPr>
        <w:t xml:space="preserve">14.9  </w:t>
      </w:r>
      <w:r>
        <w:rPr>
          <w:b/>
          <w:bCs/>
          <w:color w:val="1F3864"/>
          <w:sz w:val="26"/>
          <w:szCs w:val="26"/>
        </w:rPr>
        <w:t xml:space="preserve">API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API-level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integration backbone from abuse and unauthorized access.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Consistent with the API Engineering Standards in Chapter 12.</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Every API endpoint authenticated, rate-limited, and fully auditable.</w:t>
            </w:r>
          </w:p>
        </w:tc>
      </w:tr>
    </w:tbl>
    <w:p>
      <w:pPr>
        <w:spacing w:after="160"/>
      </w:pPr>
    </w:p>
    <w:p>
      <w:pPr>
        <w:spacing w:after="150" w:line="276"/>
        <w:jc w:val="both"/>
      </w:pPr>
      <w:r>
        <w:t xml:space="preserve">All APIs shall implement:</w:t>
      </w:r>
    </w:p>
    <w:p>
      <w:pPr>
        <w:pStyle w:val="ListParagraph"/>
        <w:numPr>
          <w:ilvl w:val="0"/>
          <w:numId w:val="1"/>
        </w:numPr>
        <w:spacing w:after="90" w:line="264"/>
      </w:pPr>
      <w:r>
        <w:t xml:space="preserve">OAuth 2.0 / OIDC.</w:t>
      </w:r>
    </w:p>
    <w:p>
      <w:pPr>
        <w:pStyle w:val="ListParagraph"/>
        <w:numPr>
          <w:ilvl w:val="0"/>
          <w:numId w:val="1"/>
        </w:numPr>
        <w:spacing w:after="90" w:line="264"/>
      </w:pPr>
      <w:r>
        <w:t xml:space="preserve">JWT validation.</w:t>
      </w:r>
    </w:p>
    <w:p>
      <w:pPr>
        <w:pStyle w:val="ListParagraph"/>
        <w:numPr>
          <w:ilvl w:val="0"/>
          <w:numId w:val="1"/>
        </w:numPr>
        <w:spacing w:after="90" w:line="264"/>
      </w:pPr>
      <w:r>
        <w:t xml:space="preserve">Rate limiting.</w:t>
      </w:r>
    </w:p>
    <w:p>
      <w:pPr>
        <w:pStyle w:val="ListParagraph"/>
        <w:numPr>
          <w:ilvl w:val="0"/>
          <w:numId w:val="1"/>
        </w:numPr>
        <w:spacing w:after="90" w:line="264"/>
      </w:pPr>
      <w:r>
        <w:t xml:space="preserve">Input validation.</w:t>
      </w:r>
    </w:p>
    <w:p>
      <w:pPr>
        <w:pStyle w:val="ListParagraph"/>
        <w:numPr>
          <w:ilvl w:val="0"/>
          <w:numId w:val="1"/>
        </w:numPr>
        <w:spacing w:after="90" w:line="264"/>
      </w:pPr>
      <w:r>
        <w:t xml:space="preserve">Output encoding.</w:t>
      </w:r>
    </w:p>
    <w:p>
      <w:pPr>
        <w:pStyle w:val="ListParagraph"/>
        <w:numPr>
          <w:ilvl w:val="0"/>
          <w:numId w:val="1"/>
        </w:numPr>
        <w:spacing w:after="90" w:line="264"/>
      </w:pPr>
      <w:r>
        <w:t xml:space="preserve">HTTPS only.</w:t>
      </w:r>
    </w:p>
    <w:p>
      <w:pPr>
        <w:pStyle w:val="ListParagraph"/>
        <w:numPr>
          <w:ilvl w:val="0"/>
          <w:numId w:val="1"/>
        </w:numPr>
        <w:spacing w:after="90" w:line="264"/>
      </w:pPr>
      <w:r>
        <w:t xml:space="preserve">Correlation IDs.</w:t>
      </w:r>
    </w:p>
    <w:p>
      <w:pPr>
        <w:pStyle w:val="ListParagraph"/>
        <w:numPr>
          <w:ilvl w:val="0"/>
          <w:numId w:val="1"/>
        </w:numPr>
        <w:spacing w:after="90" w:line="264"/>
      </w:pPr>
      <w:r>
        <w:t xml:space="preserve">Audit logging.</w:t>
      </w:r>
    </w:p>
    <w:p>
      <w:pPr>
        <w:pStyle w:val="ListParagraph"/>
        <w:numPr>
          <w:ilvl w:val="0"/>
          <w:numId w:val="1"/>
        </w:numPr>
        <w:spacing w:after="90" w:line="264"/>
      </w:pPr>
      <w:r>
        <w:t xml:space="preserve">API version control.</w:t>
      </w:r>
    </w:p>
    <w:p>
      <w:pPr>
        <w:pStyle w:val="ListParagraph"/>
        <w:numPr>
          <w:ilvl w:val="0"/>
          <w:numId w:val="1"/>
        </w:numPr>
        <w:spacing w:after="90" w:line="264"/>
      </w:pPr>
      <w:r>
        <w:t xml:space="preserve">Web Application Firewall (WAF) compatibility.</w:t>
      </w:r>
    </w:p>
    <w:p>
      <w:pPr>
        <w:pStyle w:val="Heading1"/>
        <w:pBdr>
          <w:bottom w:val="single" w:color="C6D2E0" w:sz="4" w:space="4"/>
        </w:pBdr>
        <w:spacing w:after="140" w:before="360"/>
      </w:pPr>
      <w:r>
        <w:rPr>
          <w:b/>
          <w:bCs/>
          <w:color w:val="4A6FA5"/>
          <w:sz w:val="26"/>
          <w:szCs w:val="26"/>
        </w:rPr>
        <w:t xml:space="preserve">14.10  </w:t>
      </w:r>
      <w:r>
        <w:rPr>
          <w:b/>
          <w:bCs/>
          <w:color w:val="1F3864"/>
          <w:sz w:val="26"/>
          <w:szCs w:val="26"/>
        </w:rPr>
        <w:t xml:space="preserve">Infrastructure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mandatory infrastructure-level security controls.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platform's hosting environment from compromise.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Infrastructure as Code (IaC) changes are peer reviewed before application.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hardened, segmented infrastructure footprint with controlled administrative access.</w:t>
            </w:r>
          </w:p>
        </w:tc>
      </w:tr>
    </w:tbl>
    <w:p>
      <w:pPr>
        <w:spacing w:after="160"/>
      </w:pPr>
    </w:p>
    <w:p>
      <w:pPr>
        <w:spacing w:after="150" w:line="276"/>
        <w:jc w:val="both"/>
      </w:pPr>
      <w:r>
        <w:t xml:space="preserve">Infrastructure standards include:</w:t>
      </w:r>
    </w:p>
    <w:p>
      <w:pPr>
        <w:pStyle w:val="ListParagraph"/>
        <w:numPr>
          <w:ilvl w:val="0"/>
          <w:numId w:val="1"/>
        </w:numPr>
        <w:spacing w:after="90" w:line="264"/>
      </w:pPr>
      <w:r>
        <w:t xml:space="preserve">Hardened operating systems.</w:t>
      </w:r>
    </w:p>
    <w:p>
      <w:pPr>
        <w:pStyle w:val="ListParagraph"/>
        <w:numPr>
          <w:ilvl w:val="0"/>
          <w:numId w:val="1"/>
        </w:numPr>
        <w:spacing w:after="90" w:line="264"/>
      </w:pPr>
      <w:r>
        <w:t xml:space="preserve">Network segmentation.</w:t>
      </w:r>
    </w:p>
    <w:p>
      <w:pPr>
        <w:pStyle w:val="ListParagraph"/>
        <w:numPr>
          <w:ilvl w:val="0"/>
          <w:numId w:val="1"/>
        </w:numPr>
        <w:spacing w:after="90" w:line="264"/>
      </w:pPr>
      <w:r>
        <w:t xml:space="preserve">Firewalls.</w:t>
      </w:r>
    </w:p>
    <w:p>
      <w:pPr>
        <w:pStyle w:val="ListParagraph"/>
        <w:numPr>
          <w:ilvl w:val="0"/>
          <w:numId w:val="1"/>
        </w:numPr>
        <w:spacing w:after="90" w:line="264"/>
      </w:pPr>
      <w:r>
        <w:t xml:space="preserve">Bastion hosts for administrative access.</w:t>
      </w:r>
    </w:p>
    <w:p>
      <w:pPr>
        <w:pStyle w:val="ListParagraph"/>
        <w:numPr>
          <w:ilvl w:val="0"/>
          <w:numId w:val="1"/>
        </w:numPr>
        <w:spacing w:after="90" w:line="264"/>
      </w:pPr>
      <w:r>
        <w:t xml:space="preserve">Container security.</w:t>
      </w:r>
    </w:p>
    <w:p>
      <w:pPr>
        <w:pStyle w:val="ListParagraph"/>
        <w:numPr>
          <w:ilvl w:val="0"/>
          <w:numId w:val="1"/>
        </w:numPr>
        <w:spacing w:after="90" w:line="264"/>
      </w:pPr>
      <w:r>
        <w:t xml:space="preserve">Image scanning.</w:t>
      </w:r>
    </w:p>
    <w:p>
      <w:pPr>
        <w:pStyle w:val="ListParagraph"/>
        <w:numPr>
          <w:ilvl w:val="0"/>
          <w:numId w:val="1"/>
        </w:numPr>
        <w:spacing w:after="90" w:line="264"/>
      </w:pPr>
      <w:r>
        <w:t xml:space="preserve">Patch management.</w:t>
      </w:r>
    </w:p>
    <w:p>
      <w:pPr>
        <w:pStyle w:val="ListParagraph"/>
        <w:numPr>
          <w:ilvl w:val="0"/>
          <w:numId w:val="1"/>
        </w:numPr>
        <w:spacing w:after="90" w:line="264"/>
      </w:pPr>
      <w:r>
        <w:t xml:space="preserve">Secure DNS.</w:t>
      </w:r>
    </w:p>
    <w:p>
      <w:pPr>
        <w:pStyle w:val="ListParagraph"/>
        <w:numPr>
          <w:ilvl w:val="0"/>
          <w:numId w:val="1"/>
        </w:numPr>
        <w:spacing w:after="90" w:line="264"/>
      </w:pPr>
      <w:r>
        <w:t xml:space="preserve">Secure load balancing.</w:t>
      </w:r>
    </w:p>
    <w:p>
      <w:pPr>
        <w:pStyle w:val="ListParagraph"/>
        <w:numPr>
          <w:ilvl w:val="0"/>
          <w:numId w:val="1"/>
        </w:numPr>
        <w:spacing w:after="90" w:line="264"/>
      </w:pPr>
      <w:r>
        <w:t xml:space="preserve">Infrastructure as Code (IaC) with peer review.</w:t>
      </w:r>
    </w:p>
    <w:p>
      <w:pPr>
        <w:pStyle w:val="Heading1"/>
        <w:pBdr>
          <w:bottom w:val="single" w:color="C6D2E0" w:sz="4" w:space="4"/>
        </w:pBdr>
        <w:spacing w:after="140" w:before="360"/>
      </w:pPr>
      <w:r>
        <w:rPr>
          <w:b/>
          <w:bCs/>
          <w:color w:val="4A6FA5"/>
          <w:sz w:val="26"/>
          <w:szCs w:val="26"/>
        </w:rPr>
        <w:t xml:space="preserve">14.11  </w:t>
      </w:r>
      <w:r>
        <w:rPr>
          <w:b/>
          <w:bCs/>
          <w:color w:val="1F3864"/>
          <w:sz w:val="26"/>
          <w:szCs w:val="26"/>
        </w:rPr>
        <w:t xml:space="preserve">Secure Software Development Lifecycle (SSDLC)</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security is integrated into every phase of development.</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Catches security defects at the cheapest possible point — before production.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gates are mandatory before production release, not optional recommendations.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Security embedded from requirements through continuous monitoring, not bolted on at the end.</w:t>
            </w:r>
          </w:p>
        </w:tc>
      </w:tr>
    </w:tbl>
    <w:p>
      <w:pPr>
        <w:spacing w:after="160"/>
      </w:pPr>
    </w:p>
    <w:p>
      <w:pPr>
        <w:spacing w:after="150" w:line="276"/>
        <w:jc w:val="both"/>
      </w:pPr>
      <w:r>
        <w:t xml:space="preserve">Security shall be integrated into every phase:</w:t>
      </w:r>
    </w:p>
    <w:p>
      <w:pPr>
        <w:spacing w:after="90" w:line="264"/>
      </w:pPr>
      <w:r>
        <w:rPr>
          <w:b/>
          <w:bCs/>
          <w:color w:val="1F3864"/>
        </w:rPr>
        <w:t xml:space="preserve">1. </w:t>
      </w:r>
      <w:r>
        <w:t xml:space="preserve">Security requirements.</w:t>
      </w:r>
    </w:p>
    <w:p>
      <w:pPr>
        <w:spacing w:after="90" w:line="264"/>
      </w:pPr>
      <w:r>
        <w:rPr>
          <w:b/>
          <w:bCs/>
          <w:color w:val="1F3864"/>
        </w:rPr>
        <w:t xml:space="preserve">2. </w:t>
      </w:r>
      <w:r>
        <w:t xml:space="preserve">Threat modelling.</w:t>
      </w:r>
    </w:p>
    <w:p>
      <w:pPr>
        <w:spacing w:after="90" w:line="264"/>
      </w:pPr>
      <w:r>
        <w:rPr>
          <w:b/>
          <w:bCs/>
          <w:color w:val="1F3864"/>
        </w:rPr>
        <w:t xml:space="preserve">3. </w:t>
      </w:r>
      <w:r>
        <w:t xml:space="preserve">Secure design review.</w:t>
      </w:r>
    </w:p>
    <w:p>
      <w:pPr>
        <w:spacing w:after="90" w:line="264"/>
      </w:pPr>
      <w:r>
        <w:rPr>
          <w:b/>
          <w:bCs/>
          <w:color w:val="1F3864"/>
        </w:rPr>
        <w:t xml:space="preserve">4. </w:t>
      </w:r>
      <w:r>
        <w:t xml:space="preserve">Secure coding.</w:t>
      </w:r>
    </w:p>
    <w:p>
      <w:pPr>
        <w:spacing w:after="90" w:line="264"/>
      </w:pPr>
      <w:r>
        <w:rPr>
          <w:b/>
          <w:bCs/>
          <w:color w:val="1F3864"/>
        </w:rPr>
        <w:t xml:space="preserve">5. </w:t>
      </w:r>
      <w:r>
        <w:t xml:space="preserve">Static Application Security Testing (SAST).</w:t>
      </w:r>
    </w:p>
    <w:p>
      <w:pPr>
        <w:spacing w:after="90" w:line="264"/>
      </w:pPr>
      <w:r>
        <w:rPr>
          <w:b/>
          <w:bCs/>
          <w:color w:val="1F3864"/>
        </w:rPr>
        <w:t xml:space="preserve">6. </w:t>
      </w:r>
      <w:r>
        <w:t xml:space="preserve">Software Composition Analysis (SCA).</w:t>
      </w:r>
    </w:p>
    <w:p>
      <w:pPr>
        <w:spacing w:after="90" w:line="264"/>
      </w:pPr>
      <w:r>
        <w:rPr>
          <w:b/>
          <w:bCs/>
          <w:color w:val="1F3864"/>
        </w:rPr>
        <w:t xml:space="preserve">7. </w:t>
      </w:r>
      <w:r>
        <w:t xml:space="preserve">Dynamic Application Security Testing (DAST).</w:t>
      </w:r>
    </w:p>
    <w:p>
      <w:pPr>
        <w:spacing w:after="90" w:line="264"/>
      </w:pPr>
      <w:r>
        <w:rPr>
          <w:b/>
          <w:bCs/>
          <w:color w:val="1F3864"/>
        </w:rPr>
        <w:t xml:space="preserve">8. </w:t>
      </w:r>
      <w:r>
        <w:t xml:space="preserve">Penetration testing.</w:t>
      </w:r>
    </w:p>
    <w:p>
      <w:pPr>
        <w:spacing w:after="90" w:line="264"/>
      </w:pPr>
      <w:r>
        <w:rPr>
          <w:b/>
          <w:bCs/>
          <w:color w:val="1F3864"/>
        </w:rPr>
        <w:t xml:space="preserve">9. </w:t>
      </w:r>
      <w:r>
        <w:t xml:space="preserve">Secure deployment.</w:t>
      </w:r>
    </w:p>
    <w:p>
      <w:pPr>
        <w:spacing w:after="90" w:line="264"/>
      </w:pPr>
      <w:r>
        <w:rPr>
          <w:b/>
          <w:bCs/>
          <w:color w:val="1F3864"/>
        </w:rPr>
        <w:t xml:space="preserve">10. </w:t>
      </w:r>
      <w:r>
        <w:t xml:space="preserve">Continuous monitoring.</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DF1E4" w:sz="2"/>
              <w:left w:val="single" w:color="C97F1D" w:sz="24"/>
              <w:bottom w:val="single" w:color="FDF1E4" w:sz="2"/>
              <w:right w:val="single" w:color="FDF1E4" w:sz="2"/>
            </w:tcBorders>
            <w:shd w:fill="FDF1E4" w:val="clear"/>
            <w:tcMar>
              <w:top w:type="dxa" w:w="120"/>
              <w:left w:type="dxa" w:w="180"/>
              <w:bottom w:type="dxa" w:w="120"/>
              <w:right w:type="dxa" w:w="180"/>
            </w:tcMar>
          </w:tcPr>
          <w:p>
            <w:pPr>
              <w:spacing w:after="60"/>
            </w:pPr>
            <w:r>
              <w:rPr>
                <w:b/>
                <w:bCs/>
                <w:color w:val="C97F1D"/>
                <w:sz w:val="17"/>
                <w:szCs w:val="17"/>
              </w:rPr>
              <w:t xml:space="preserve">IMPORTANT</w:t>
            </w:r>
          </w:p>
          <w:p>
            <w:pPr>
              <w:spacing w:after="0"/>
            </w:pPr>
            <w:r>
              <w:rPr>
                <w:sz w:val="18"/>
                <w:szCs w:val="18"/>
              </w:rPr>
              <w:t xml:space="preserve">Security gates shall be mandatory before production release.</w:t>
            </w:r>
          </w:p>
        </w:tc>
      </w:tr>
    </w:tbl>
    <w:p>
      <w:pPr>
        <w:pStyle w:val="Heading1"/>
        <w:pBdr>
          <w:bottom w:val="single" w:color="C6D2E0" w:sz="4" w:space="4"/>
        </w:pBdr>
        <w:spacing w:after="140" w:before="360"/>
      </w:pPr>
      <w:r>
        <w:rPr>
          <w:b/>
          <w:bCs/>
          <w:color w:val="4A6FA5"/>
          <w:sz w:val="26"/>
          <w:szCs w:val="26"/>
        </w:rPr>
        <w:t xml:space="preserve">14.12  </w:t>
      </w:r>
      <w:r>
        <w:rPr>
          <w:b/>
          <w:bCs/>
          <w:color w:val="1F3864"/>
          <w:sz w:val="26"/>
          <w:szCs w:val="26"/>
        </w:rPr>
        <w:t xml:space="preserve">Logging, Monitoring, and Audit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security-relevant events must be logged and how logs are protected.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the evidentiary trail required for incident investigation and compliance audits.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Logs are protected from unauthorized modification and retained per approved policy.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tamper-evident, complete record of every security-relevant platform event.</w:t>
            </w:r>
          </w:p>
        </w:tc>
      </w:tr>
    </w:tbl>
    <w:p>
      <w:pPr>
        <w:spacing w:after="160"/>
      </w:pPr>
    </w:p>
    <w:p>
      <w:pPr>
        <w:spacing w:after="150" w:line="276"/>
        <w:jc w:val="both"/>
      </w:pPr>
      <w:r>
        <w:t xml:space="preserve">Security-relevant events shall be logged, including:</w:t>
      </w:r>
    </w:p>
    <w:p>
      <w:pPr>
        <w:pStyle w:val="ListParagraph"/>
        <w:numPr>
          <w:ilvl w:val="0"/>
          <w:numId w:val="1"/>
        </w:numPr>
        <w:spacing w:after="90" w:line="264"/>
      </w:pPr>
      <w:r>
        <w:t xml:space="preserve">Successful and failed logins.</w:t>
      </w:r>
    </w:p>
    <w:p>
      <w:pPr>
        <w:pStyle w:val="ListParagraph"/>
        <w:numPr>
          <w:ilvl w:val="0"/>
          <w:numId w:val="1"/>
        </w:numPr>
        <w:spacing w:after="90" w:line="264"/>
      </w:pPr>
      <w:r>
        <w:t xml:space="preserve">Privilege changes.</w:t>
      </w:r>
    </w:p>
    <w:p>
      <w:pPr>
        <w:pStyle w:val="ListParagraph"/>
        <w:numPr>
          <w:ilvl w:val="0"/>
          <w:numId w:val="1"/>
        </w:numPr>
        <w:spacing w:after="90" w:line="264"/>
      </w:pPr>
      <w:r>
        <w:t xml:space="preserve">Data exports.</w:t>
      </w:r>
    </w:p>
    <w:p>
      <w:pPr>
        <w:pStyle w:val="ListParagraph"/>
        <w:numPr>
          <w:ilvl w:val="0"/>
          <w:numId w:val="1"/>
        </w:numPr>
        <w:spacing w:after="90" w:line="264"/>
      </w:pPr>
      <w:r>
        <w:t xml:space="preserve">Administrative actions.</w:t>
      </w:r>
    </w:p>
    <w:p>
      <w:pPr>
        <w:pStyle w:val="ListParagraph"/>
        <w:numPr>
          <w:ilvl w:val="0"/>
          <w:numId w:val="1"/>
        </w:numPr>
        <w:spacing w:after="90" w:line="264"/>
      </w:pPr>
      <w:r>
        <w:t xml:space="preserve">API failures.</w:t>
      </w:r>
    </w:p>
    <w:p>
      <w:pPr>
        <w:pStyle w:val="ListParagraph"/>
        <w:numPr>
          <w:ilvl w:val="0"/>
          <w:numId w:val="1"/>
        </w:numPr>
        <w:spacing w:after="90" w:line="264"/>
      </w:pPr>
      <w:r>
        <w:t xml:space="preserve">Security policy violations.</w:t>
      </w:r>
    </w:p>
    <w:p>
      <w:pPr>
        <w:pStyle w:val="ListParagraph"/>
        <w:numPr>
          <w:ilvl w:val="0"/>
          <w:numId w:val="1"/>
        </w:numPr>
        <w:spacing w:after="90" w:line="264"/>
      </w:pPr>
      <w:r>
        <w:t xml:space="preserve">AI-related administrative actions.</w:t>
      </w:r>
    </w:p>
    <w:p>
      <w:pPr>
        <w:pStyle w:val="ListParagraph"/>
        <w:numPr>
          <w:ilvl w:val="0"/>
          <w:numId w:val="1"/>
        </w:numPr>
        <w:spacing w:after="90" w:line="264"/>
      </w:pPr>
      <w:r>
        <w:t xml:space="preserve">File uploads and downloads.</w:t>
      </w:r>
    </w:p>
    <w:p>
      <w:pPr>
        <w:spacing w:after="150" w:line="276"/>
        <w:jc w:val="both"/>
      </w:pPr>
      <w:r>
        <w:t xml:space="preserve">Logs shall include:</w:t>
      </w:r>
    </w:p>
    <w:p>
      <w:pPr>
        <w:pStyle w:val="ListParagraph"/>
        <w:numPr>
          <w:ilvl w:val="0"/>
          <w:numId w:val="1"/>
        </w:numPr>
        <w:spacing w:after="90" w:line="264"/>
      </w:pPr>
      <w:r>
        <w:t xml:space="preserve">Timestamp.</w:t>
      </w:r>
    </w:p>
    <w:p>
      <w:pPr>
        <w:pStyle w:val="ListParagraph"/>
        <w:numPr>
          <w:ilvl w:val="0"/>
          <w:numId w:val="1"/>
        </w:numPr>
        <w:spacing w:after="90" w:line="264"/>
      </w:pPr>
      <w:r>
        <w:t xml:space="preserve">User ID.</w:t>
      </w:r>
    </w:p>
    <w:p>
      <w:pPr>
        <w:pStyle w:val="ListParagraph"/>
        <w:numPr>
          <w:ilvl w:val="0"/>
          <w:numId w:val="1"/>
        </w:numPr>
        <w:spacing w:after="90" w:line="264"/>
      </w:pPr>
      <w:r>
        <w:t xml:space="preserve">IP address.</w:t>
      </w:r>
    </w:p>
    <w:p>
      <w:pPr>
        <w:pStyle w:val="ListParagraph"/>
        <w:numPr>
          <w:ilvl w:val="0"/>
          <w:numId w:val="1"/>
        </w:numPr>
        <w:spacing w:after="90" w:line="264"/>
      </w:pPr>
      <w:r>
        <w:t xml:space="preserve">Correlation ID.</w:t>
      </w:r>
    </w:p>
    <w:p>
      <w:pPr>
        <w:pStyle w:val="ListParagraph"/>
        <w:numPr>
          <w:ilvl w:val="0"/>
          <w:numId w:val="1"/>
        </w:numPr>
        <w:spacing w:after="90" w:line="264"/>
      </w:pPr>
      <w:r>
        <w:t xml:space="preserve">Service.</w:t>
      </w:r>
    </w:p>
    <w:p>
      <w:pPr>
        <w:pStyle w:val="ListParagraph"/>
        <w:numPr>
          <w:ilvl w:val="0"/>
          <w:numId w:val="1"/>
        </w:numPr>
        <w:spacing w:after="90" w:line="264"/>
      </w:pPr>
      <w:r>
        <w:t xml:space="preserve">Action.</w:t>
      </w:r>
    </w:p>
    <w:p>
      <w:pPr>
        <w:pStyle w:val="ListParagraph"/>
        <w:numPr>
          <w:ilvl w:val="0"/>
          <w:numId w:val="1"/>
        </w:numPr>
        <w:spacing w:after="90" w:line="264"/>
      </w:pPr>
      <w:r>
        <w:t xml:space="preserve">Outcome.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FBEAEA" w:sz="2"/>
              <w:left w:val="single" w:color="A83232" w:sz="24"/>
              <w:bottom w:val="single" w:color="FBEAEA" w:sz="2"/>
              <w:right w:val="single" w:color="FBEAEA" w:sz="2"/>
            </w:tcBorders>
            <w:shd w:fill="FBEAEA" w:val="clear"/>
            <w:tcMar>
              <w:top w:type="dxa" w:w="120"/>
              <w:left w:type="dxa" w:w="180"/>
              <w:bottom w:type="dxa" w:w="120"/>
              <w:right w:type="dxa" w:w="180"/>
            </w:tcMar>
          </w:tcPr>
          <w:p>
            <w:pPr>
              <w:spacing w:after="60"/>
            </w:pPr>
            <w:r>
              <w:rPr>
                <w:b/>
                <w:bCs/>
                <w:color w:val="A83232"/>
                <w:sz w:val="17"/>
                <w:szCs w:val="17"/>
              </w:rPr>
              <w:t xml:space="preserve">SECURITY CONSIDERATION</w:t>
            </w:r>
          </w:p>
          <w:p>
            <w:pPr>
              <w:spacing w:after="0"/>
            </w:pPr>
            <w:r>
              <w:rPr>
                <w:sz w:val="18"/>
                <w:szCs w:val="18"/>
              </w:rPr>
              <w:t xml:space="preserve">Logs shall be retained according to approved retention policies and protected from unauthorized modification.</w:t>
            </w:r>
          </w:p>
        </w:tc>
      </w:tr>
    </w:tbl>
    <w:p>
      <w:pPr>
        <w:pStyle w:val="Heading1"/>
        <w:pBdr>
          <w:bottom w:val="single" w:color="C6D2E0" w:sz="4" w:space="4"/>
        </w:pBdr>
        <w:spacing w:after="140" w:before="360"/>
      </w:pPr>
      <w:r>
        <w:rPr>
          <w:b/>
          <w:bCs/>
          <w:color w:val="4A6FA5"/>
          <w:sz w:val="26"/>
          <w:szCs w:val="26"/>
        </w:rPr>
        <w:t xml:space="preserve">14.13  </w:t>
      </w:r>
      <w:r>
        <w:rPr>
          <w:b/>
          <w:bCs/>
          <w:color w:val="1F3864"/>
          <w:sz w:val="26"/>
          <w:szCs w:val="26"/>
        </w:rPr>
        <w:t xml:space="preserve">Compliance and Regulatory Alignment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regulatory and standards frameworks the platform aligns with.</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legal and reputational risk for the client and the funding partner.</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 compliance register documents applicable obligations, evidence, and review status.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whose compliance posture is documented, evidenced, and auditable.</w:t>
            </w:r>
          </w:p>
        </w:tc>
      </w:tr>
    </w:tbl>
    <w:p>
      <w:pPr>
        <w:spacing w:after="160"/>
      </w:pPr>
    </w:p>
    <w:p>
      <w:pPr>
        <w:spacing w:after="150" w:line="276"/>
        <w:jc w:val="both"/>
      </w:pPr>
      <w:r>
        <w:t xml:space="preserve">The solution shall be designed to align, where applicable, with:</w:t>
      </w:r>
    </w:p>
    <w:p>
      <w:pPr>
        <w:pStyle w:val="ListParagraph"/>
        <w:numPr>
          <w:ilvl w:val="0"/>
          <w:numId w:val="1"/>
        </w:numPr>
        <w:spacing w:after="90" w:line="264"/>
      </w:pPr>
      <w:r>
        <w:t xml:space="preserve">Nigeria Data Protection Act (NDPA) and regulations issued by the Nigeria Data Protection Commission (NDPC).</w:t>
      </w:r>
    </w:p>
    <w:p>
      <w:pPr>
        <w:pStyle w:val="ListParagraph"/>
        <w:numPr>
          <w:ilvl w:val="0"/>
          <w:numId w:val="1"/>
        </w:numPr>
        <w:spacing w:after="90" w:line="264"/>
      </w:pPr>
      <w:r>
        <w:t xml:space="preserve">Nigeria Cybercrimes (Prohibition, Prevention, etc.) Act (as amended).</w:t>
      </w:r>
    </w:p>
    <w:p>
      <w:pPr>
        <w:pStyle w:val="ListParagraph"/>
        <w:numPr>
          <w:ilvl w:val="0"/>
          <w:numId w:val="1"/>
        </w:numPr>
        <w:spacing w:after="90" w:line="264"/>
      </w:pPr>
      <w:r>
        <w:t xml:space="preserve">IFAD procurement and information governance requirements.</w:t>
      </w:r>
    </w:p>
    <w:p>
      <w:pPr>
        <w:pStyle w:val="ListParagraph"/>
        <w:numPr>
          <w:ilvl w:val="0"/>
          <w:numId w:val="1"/>
        </w:numPr>
        <w:spacing w:after="90" w:line="264"/>
      </w:pPr>
      <w:r>
        <w:t xml:space="preserve">ISO/IEC 27001 Information Security Management principles.</w:t>
      </w:r>
    </w:p>
    <w:p>
      <w:pPr>
        <w:pStyle w:val="ListParagraph"/>
        <w:numPr>
          <w:ilvl w:val="0"/>
          <w:numId w:val="1"/>
        </w:numPr>
        <w:spacing w:after="90" w:line="264"/>
      </w:pPr>
      <w:r>
        <w:t xml:space="preserve">ISO/IEC 27701 Privacy Information Management guidance (where privacy management is implemented).</w:t>
      </w:r>
    </w:p>
    <w:p>
      <w:pPr>
        <w:pStyle w:val="ListParagraph"/>
        <w:numPr>
          <w:ilvl w:val="0"/>
          <w:numId w:val="1"/>
        </w:numPr>
        <w:spacing w:after="90" w:line="264"/>
      </w:pPr>
      <w:r>
        <w:t xml:space="preserve">OWASP Application Security Verification Standard (ASVS) and OWASP Top 10.</w:t>
      </w:r>
    </w:p>
    <w:p>
      <w:pPr>
        <w:pStyle w:val="ListParagraph"/>
        <w:numPr>
          <w:ilvl w:val="0"/>
          <w:numId w:val="1"/>
        </w:numPr>
        <w:spacing w:after="90" w:line="264"/>
      </w:pPr>
      <w:r>
        <w:t xml:space="preserve">NIST Cybersecurity Framework (CSF) as a reference for risk management and continuous improvement.</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COMPLIANCE REQUIREMENT</w:t>
            </w:r>
          </w:p>
          <w:p>
            <w:pPr>
              <w:spacing w:after="0"/>
            </w:pPr>
            <w:r>
              <w:rPr>
                <w:sz w:val="18"/>
                <w:szCs w:val="18"/>
              </w:rPr>
              <w:t xml:space="preserve">The project shall maintain a compliance register documenting applicable obligations, evidence, and review status.</w:t>
            </w:r>
          </w:p>
        </w:tc>
      </w:tr>
    </w:tbl>
    <w:p>
      <w:pPr>
        <w:pStyle w:val="Heading1"/>
        <w:pBdr>
          <w:bottom w:val="single" w:color="C6D2E0" w:sz="4" w:space="4"/>
        </w:pBdr>
        <w:spacing w:after="140" w:before="360"/>
      </w:pPr>
      <w:r>
        <w:rPr>
          <w:b/>
          <w:bCs/>
          <w:color w:val="4A6FA5"/>
          <w:sz w:val="26"/>
          <w:szCs w:val="26"/>
        </w:rPr>
        <w:t xml:space="preserve">14.14  </w:t>
      </w:r>
      <w:r>
        <w:rPr>
          <w:b/>
          <w:bCs/>
          <w:color w:val="1F3864"/>
          <w:sz w:val="26"/>
          <w:szCs w:val="26"/>
        </w:rPr>
        <w:t xml:space="preserve">Vulnerability Management</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vulnerabilities are identified, prioritized, and remediated.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Reduces the window of exposure between vulnerability disclosure and remediation.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Critical vulnerabilities are prioritized and remediated according to defined service levels.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with continuous, evidence-based vulnerability management.</w:t>
            </w:r>
          </w:p>
        </w:tc>
      </w:tr>
    </w:tbl>
    <w:p>
      <w:pPr>
        <w:spacing w:after="160"/>
      </w:pPr>
    </w:p>
    <w:p>
      <w:pPr>
        <w:spacing w:after="150" w:line="276"/>
        <w:jc w:val="both"/>
      </w:pPr>
      <w:r>
        <w:t xml:space="preserve">The platform shall implement:</w:t>
      </w:r>
    </w:p>
    <w:p>
      <w:pPr>
        <w:pStyle w:val="ListParagraph"/>
        <w:numPr>
          <w:ilvl w:val="0"/>
          <w:numId w:val="1"/>
        </w:numPr>
        <w:spacing w:after="90" w:line="264"/>
      </w:pPr>
      <w:r>
        <w:t xml:space="preserve">Automated dependency scanning.</w:t>
      </w:r>
    </w:p>
    <w:p>
      <w:pPr>
        <w:pStyle w:val="ListParagraph"/>
        <w:numPr>
          <w:ilvl w:val="0"/>
          <w:numId w:val="1"/>
        </w:numPr>
        <w:spacing w:after="90" w:line="264"/>
      </w:pPr>
      <w:r>
        <w:t xml:space="preserve">Operating system patching.</w:t>
      </w:r>
    </w:p>
    <w:p>
      <w:pPr>
        <w:pStyle w:val="ListParagraph"/>
        <w:numPr>
          <w:ilvl w:val="0"/>
          <w:numId w:val="1"/>
        </w:numPr>
        <w:spacing w:after="90" w:line="264"/>
      </w:pPr>
      <w:r>
        <w:t xml:space="preserve">Vulnerability assessments.</w:t>
      </w:r>
    </w:p>
    <w:p>
      <w:pPr>
        <w:pStyle w:val="ListParagraph"/>
        <w:numPr>
          <w:ilvl w:val="0"/>
          <w:numId w:val="1"/>
        </w:numPr>
        <w:spacing w:after="90" w:line="264"/>
      </w:pPr>
      <w:r>
        <w:t xml:space="preserve">Penetration testing.</w:t>
      </w:r>
    </w:p>
    <w:p>
      <w:pPr>
        <w:pStyle w:val="ListParagraph"/>
        <w:numPr>
          <w:ilvl w:val="0"/>
          <w:numId w:val="1"/>
        </w:numPr>
        <w:spacing w:after="90" w:line="264"/>
      </w:pPr>
      <w:r>
        <w:t xml:space="preserve">Remediation tracking.</w:t>
      </w:r>
    </w:p>
    <w:p>
      <w:pPr>
        <w:pStyle w:val="ListParagraph"/>
        <w:numPr>
          <w:ilvl w:val="0"/>
          <w:numId w:val="1"/>
        </w:numPr>
        <w:spacing w:after="90" w:line="264"/>
      </w:pPr>
      <w:r>
        <w:t xml:space="preserve">Security advisories monitoring.</w:t>
      </w:r>
    </w:p>
    <w:p>
      <w:pPr>
        <w:pStyle w:val="ListParagraph"/>
        <w:numPr>
          <w:ilvl w:val="0"/>
          <w:numId w:val="1"/>
        </w:numPr>
        <w:spacing w:after="90" w:line="264"/>
      </w:pPr>
      <w:r>
        <w:t xml:space="preserve">Periodic security reviews.</w:t>
      </w:r>
    </w:p>
    <w:p>
      <w:pPr>
        <w:spacing w:after="150" w:line="276"/>
        <w:jc w:val="both"/>
      </w:pPr>
      <w:r>
        <w:t xml:space="preserve">Critical vulnerabilities shall be prioritized and remediated according to defined service levels.</w:t>
      </w:r>
    </w:p>
    <w:p>
      <w:pPr>
        <w:pStyle w:val="Heading1"/>
        <w:pBdr>
          <w:bottom w:val="single" w:color="C6D2E0" w:sz="4" w:space="4"/>
        </w:pBdr>
        <w:spacing w:after="140" w:before="360"/>
      </w:pPr>
      <w:r>
        <w:rPr>
          <w:b/>
          <w:bCs/>
          <w:color w:val="4A6FA5"/>
          <w:sz w:val="26"/>
          <w:szCs w:val="26"/>
        </w:rPr>
        <w:t xml:space="preserve">14.15  </w:t>
      </w:r>
      <w:r>
        <w:rPr>
          <w:b/>
          <w:bCs/>
          <w:color w:val="1F3864"/>
          <w:sz w:val="26"/>
          <w:szCs w:val="26"/>
        </w:rPr>
        <w:t xml:space="preserve">Incident Response</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the mandatory structure of the Incident Response Plan.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Minimizes damage and recovery time when a security incident occurs.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incidents are documented and reviewed after resolution.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rehearsed, repeatable process from detection through lessons learned.</w:t>
            </w:r>
          </w:p>
        </w:tc>
      </w:tr>
    </w:tbl>
    <w:p>
      <w:pPr>
        <w:spacing w:after="160"/>
      </w:pPr>
    </w:p>
    <w:p>
      <w:pPr>
        <w:spacing w:after="150" w:line="276"/>
        <w:jc w:val="both"/>
      </w:pPr>
      <w:r>
        <w:t xml:space="preserve">An Incident Response Plan shall define:</w:t>
      </w:r>
    </w:p>
    <w:p>
      <w:pPr>
        <w:pStyle w:val="ListParagraph"/>
        <w:numPr>
          <w:ilvl w:val="0"/>
          <w:numId w:val="1"/>
        </w:numPr>
        <w:spacing w:after="90" w:line="264"/>
      </w:pPr>
      <w:r>
        <w:t xml:space="preserve">Detection.</w:t>
      </w:r>
    </w:p>
    <w:p>
      <w:pPr>
        <w:pStyle w:val="ListParagraph"/>
        <w:numPr>
          <w:ilvl w:val="0"/>
          <w:numId w:val="1"/>
        </w:numPr>
        <w:spacing w:after="90" w:line="264"/>
      </w:pPr>
      <w:r>
        <w:t xml:space="preserve">Reporting.</w:t>
      </w:r>
    </w:p>
    <w:p>
      <w:pPr>
        <w:pStyle w:val="ListParagraph"/>
        <w:numPr>
          <w:ilvl w:val="0"/>
          <w:numId w:val="1"/>
        </w:numPr>
        <w:spacing w:after="90" w:line="264"/>
      </w:pPr>
      <w:r>
        <w:t xml:space="preserve">Classification.</w:t>
      </w:r>
    </w:p>
    <w:p>
      <w:pPr>
        <w:pStyle w:val="ListParagraph"/>
        <w:numPr>
          <w:ilvl w:val="0"/>
          <w:numId w:val="1"/>
        </w:numPr>
        <w:spacing w:after="90" w:line="264"/>
      </w:pPr>
      <w:r>
        <w:t xml:space="preserve">Containment.</w:t>
      </w:r>
    </w:p>
    <w:p>
      <w:pPr>
        <w:pStyle w:val="ListParagraph"/>
        <w:numPr>
          <w:ilvl w:val="0"/>
          <w:numId w:val="1"/>
        </w:numPr>
        <w:spacing w:after="90" w:line="264"/>
      </w:pPr>
      <w:r>
        <w:t xml:space="preserve">Eradication.</w:t>
      </w:r>
    </w:p>
    <w:p>
      <w:pPr>
        <w:pStyle w:val="ListParagraph"/>
        <w:numPr>
          <w:ilvl w:val="0"/>
          <w:numId w:val="1"/>
        </w:numPr>
        <w:spacing w:after="90" w:line="264"/>
      </w:pPr>
      <w:r>
        <w:t xml:space="preserve">Recovery.</w:t>
      </w:r>
    </w:p>
    <w:p>
      <w:pPr>
        <w:pStyle w:val="ListParagraph"/>
        <w:numPr>
          <w:ilvl w:val="0"/>
          <w:numId w:val="1"/>
        </w:numPr>
        <w:spacing w:after="90" w:line="264"/>
      </w:pPr>
      <w:r>
        <w:t xml:space="preserve">Communication.</w:t>
      </w:r>
    </w:p>
    <w:p>
      <w:pPr>
        <w:pStyle w:val="ListParagraph"/>
        <w:numPr>
          <w:ilvl w:val="0"/>
          <w:numId w:val="1"/>
        </w:numPr>
        <w:spacing w:after="90" w:line="264"/>
      </w:pPr>
      <w:r>
        <w:t xml:space="preserve">Root cause analysis.</w:t>
      </w:r>
    </w:p>
    <w:p>
      <w:pPr>
        <w:pStyle w:val="ListParagraph"/>
        <w:numPr>
          <w:ilvl w:val="0"/>
          <w:numId w:val="1"/>
        </w:numPr>
        <w:spacing w:after="90" w:line="264"/>
      </w:pPr>
      <w:r>
        <w:t xml:space="preserve">Lessons learned.</w:t>
      </w:r>
    </w:p>
    <w:p>
      <w:pPr>
        <w:pStyle w:val="ListParagraph"/>
        <w:numPr>
          <w:ilvl w:val="0"/>
          <w:numId w:val="1"/>
        </w:numPr>
        <w:spacing w:after="90" w:line="264"/>
      </w:pPr>
      <w:r>
        <w:t xml:space="preserve">Corrective actions.</w:t>
      </w:r>
    </w:p>
    <w:p>
      <w:pPr>
        <w:spacing w:after="150" w:line="276"/>
        <w:jc w:val="both"/>
      </w:pPr>
      <w:r>
        <w:t xml:space="preserve">Security incidents shall be documented and reviewed after resolution.</w:t>
      </w:r>
    </w:p>
    <w:p>
      <w:pPr>
        <w:pStyle w:val="Heading1"/>
        <w:pBdr>
          <w:bottom w:val="single" w:color="C6D2E0" w:sz="4" w:space="4"/>
        </w:pBdr>
        <w:spacing w:after="140" w:before="360"/>
      </w:pPr>
      <w:r>
        <w:rPr>
          <w:b/>
          <w:bCs/>
          <w:color w:val="4A6FA5"/>
          <w:sz w:val="26"/>
          <w:szCs w:val="26"/>
        </w:rPr>
        <w:t xml:space="preserve">14.16  </w:t>
      </w:r>
      <w:r>
        <w:rPr>
          <w:b/>
          <w:bCs/>
          <w:color w:val="1F3864"/>
          <w:sz w:val="26"/>
          <w:szCs w:val="26"/>
        </w:rPr>
        <w:t xml:space="preserve">Business Continuity and Disaster Recovery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security planning supports operational resilience.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Protects the programme against extended service disruption.</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Continuity plans are tested periodically, not merely documented.</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platform with verified, rehearsed recovery capability against defined RTO and RPO targets.</w:t>
            </w:r>
          </w:p>
        </w:tc>
      </w:tr>
    </w:tbl>
    <w:p>
      <w:pPr>
        <w:spacing w:after="160"/>
      </w:pPr>
    </w:p>
    <w:p>
      <w:pPr>
        <w:spacing w:after="150" w:line="276"/>
        <w:jc w:val="both"/>
      </w:pPr>
      <w:r>
        <w:t xml:space="preserve">Security planning shall support operational resilience through:</w:t>
      </w:r>
    </w:p>
    <w:p>
      <w:pPr>
        <w:pStyle w:val="ListParagraph"/>
        <w:numPr>
          <w:ilvl w:val="0"/>
          <w:numId w:val="1"/>
        </w:numPr>
        <w:spacing w:after="90" w:line="264"/>
      </w:pPr>
      <w:r>
        <w:t xml:space="preserve">Documented Business Continuity Plans (BCP).</w:t>
      </w:r>
    </w:p>
    <w:p>
      <w:pPr>
        <w:pStyle w:val="ListParagraph"/>
        <w:numPr>
          <w:ilvl w:val="0"/>
          <w:numId w:val="1"/>
        </w:numPr>
        <w:spacing w:after="90" w:line="264"/>
      </w:pPr>
      <w:r>
        <w:t xml:space="preserve">Disaster Recovery Plans (DRP).</w:t>
      </w:r>
    </w:p>
    <w:p>
      <w:pPr>
        <w:pStyle w:val="ListParagraph"/>
        <w:numPr>
          <w:ilvl w:val="0"/>
          <w:numId w:val="1"/>
        </w:numPr>
        <w:spacing w:after="90" w:line="264"/>
      </w:pPr>
      <w:r>
        <w:t xml:space="preserve">Regular backup verification.</w:t>
      </w:r>
    </w:p>
    <w:p>
      <w:pPr>
        <w:pStyle w:val="ListParagraph"/>
        <w:numPr>
          <w:ilvl w:val="0"/>
          <w:numId w:val="1"/>
        </w:numPr>
        <w:spacing w:after="90" w:line="264"/>
      </w:pPr>
      <w:r>
        <w:t xml:space="preserve">Recovery drills.</w:t>
      </w:r>
    </w:p>
    <w:p>
      <w:pPr>
        <w:pStyle w:val="ListParagraph"/>
        <w:numPr>
          <w:ilvl w:val="0"/>
          <w:numId w:val="1"/>
        </w:numPr>
        <w:spacing w:after="90" w:line="264"/>
      </w:pPr>
      <w:r>
        <w:t xml:space="preserve">Defined Recovery Time Objective (RTO).</w:t>
      </w:r>
    </w:p>
    <w:p>
      <w:pPr>
        <w:pStyle w:val="ListParagraph"/>
        <w:numPr>
          <w:ilvl w:val="0"/>
          <w:numId w:val="1"/>
        </w:numPr>
        <w:spacing w:after="90" w:line="264"/>
      </w:pPr>
      <w:r>
        <w:t xml:space="preserve">Defined Recovery Point Objective (RPO).</w:t>
      </w:r>
    </w:p>
    <w:p>
      <w:pPr>
        <w:pStyle w:val="ListParagraph"/>
        <w:numPr>
          <w:ilvl w:val="0"/>
          <w:numId w:val="1"/>
        </w:numPr>
        <w:spacing w:after="90" w:line="264"/>
      </w:pPr>
      <w:r>
        <w:t xml:space="preserve">Redundant infrastructure where appropriate.</w:t>
      </w:r>
    </w:p>
    <w:p>
      <w:pPr>
        <w:spacing w:after="150" w:line="276"/>
        <w:jc w:val="both"/>
      </w:pPr>
      <w:r>
        <w:t xml:space="preserve">Continuity plans shall be tested periodically.</w:t>
      </w:r>
    </w:p>
    <w:p>
      <w:pPr>
        <w:pStyle w:val="Heading1"/>
        <w:pBdr>
          <w:bottom w:val="single" w:color="C6D2E0" w:sz="4" w:space="4"/>
        </w:pBdr>
        <w:spacing w:after="140" w:before="360"/>
      </w:pPr>
      <w:r>
        <w:rPr>
          <w:b/>
          <w:bCs/>
          <w:color w:val="4A6FA5"/>
          <w:sz w:val="26"/>
          <w:szCs w:val="26"/>
        </w:rPr>
        <w:t xml:space="preserve">14.17  </w:t>
      </w:r>
      <w:r>
        <w:rPr>
          <w:b/>
          <w:bCs/>
          <w:color w:val="1F3864"/>
          <w:sz w:val="26"/>
          <w:szCs w:val="26"/>
        </w:rPr>
        <w:t xml:space="preserve">Third-Party Security</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evaluation criteria for external services, libraries, and integrations.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Prevents the platform's security posture from being undermined by an unvetted dependency.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Third-party dependencies are reviewed before adoption and monitored throughout their use.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supply chain of dependencies with known, acceptable security posture.</w:t>
            </w:r>
          </w:p>
        </w:tc>
      </w:tr>
    </w:tbl>
    <w:p>
      <w:pPr>
        <w:spacing w:after="160"/>
      </w:pPr>
    </w:p>
    <w:p>
      <w:pPr>
        <w:spacing w:after="150" w:line="276"/>
        <w:jc w:val="both"/>
      </w:pPr>
      <w:r>
        <w:t xml:space="preserve">External services, libraries, and integrations shall be evaluated for:</w:t>
      </w:r>
    </w:p>
    <w:p>
      <w:pPr>
        <w:pStyle w:val="ListParagraph"/>
        <w:numPr>
          <w:ilvl w:val="0"/>
          <w:numId w:val="1"/>
        </w:numPr>
        <w:spacing w:after="90" w:line="264"/>
      </w:pPr>
      <w:r>
        <w:t xml:space="preserve">Security posture.</w:t>
      </w:r>
    </w:p>
    <w:p>
      <w:pPr>
        <w:pStyle w:val="ListParagraph"/>
        <w:numPr>
          <w:ilvl w:val="0"/>
          <w:numId w:val="1"/>
        </w:numPr>
        <w:spacing w:after="90" w:line="264"/>
      </w:pPr>
      <w:r>
        <w:t xml:space="preserve">Licensing.</w:t>
      </w:r>
    </w:p>
    <w:p>
      <w:pPr>
        <w:pStyle w:val="ListParagraph"/>
        <w:numPr>
          <w:ilvl w:val="0"/>
          <w:numId w:val="1"/>
        </w:numPr>
        <w:spacing w:after="90" w:line="264"/>
      </w:pPr>
      <w:r>
        <w:t xml:space="preserve">Maintenance activity.</w:t>
      </w:r>
    </w:p>
    <w:p>
      <w:pPr>
        <w:pStyle w:val="ListParagraph"/>
        <w:numPr>
          <w:ilvl w:val="0"/>
          <w:numId w:val="1"/>
        </w:numPr>
        <w:spacing w:after="90" w:line="264"/>
      </w:pPr>
      <w:r>
        <w:t xml:space="preserve">Known vulnerabilities.</w:t>
      </w:r>
    </w:p>
    <w:p>
      <w:pPr>
        <w:pStyle w:val="ListParagraph"/>
        <w:numPr>
          <w:ilvl w:val="0"/>
          <w:numId w:val="1"/>
        </w:numPr>
        <w:spacing w:after="90" w:line="264"/>
      </w:pPr>
      <w:r>
        <w:t xml:space="preserve">Data handling practices.</w:t>
      </w:r>
    </w:p>
    <w:p>
      <w:pPr>
        <w:pStyle w:val="ListParagraph"/>
        <w:numPr>
          <w:ilvl w:val="0"/>
          <w:numId w:val="1"/>
        </w:numPr>
        <w:spacing w:after="90" w:line="264"/>
      </w:pPr>
      <w:r>
        <w:t xml:space="preserve">Support lifecycle.</w:t>
      </w:r>
    </w:p>
    <w:p>
      <w:pPr>
        <w:spacing w:after="150" w:line="276"/>
        <w:jc w:val="both"/>
      </w:pPr>
      <w:r>
        <w:t xml:space="preserve">Third-party dependencies shall be reviewed before adoption and monitored throughout their use.</w:t>
      </w:r>
    </w:p>
    <w:p>
      <w:pPr>
        <w:pStyle w:val="Heading1"/>
        <w:pBdr>
          <w:bottom w:val="single" w:color="C6D2E0" w:sz="4" w:space="4"/>
        </w:pBdr>
        <w:spacing w:after="140" w:before="360"/>
      </w:pPr>
      <w:r>
        <w:rPr>
          <w:b/>
          <w:bCs/>
          <w:color w:val="4A6FA5"/>
          <w:sz w:val="26"/>
          <w:szCs w:val="26"/>
        </w:rPr>
        <w:t xml:space="preserve">14.18  </w:t>
      </w:r>
      <w:r>
        <w:rPr>
          <w:b/>
          <w:bCs/>
          <w:color w:val="1F3864"/>
          <w:sz w:val="26"/>
          <w:szCs w:val="26"/>
        </w:rPr>
        <w:t xml:space="preserve">Security Testing</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required security testing categories.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Provides evidence that security controls function as designed under realistic attack conditions.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Testing results are documented and tracked to closure.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Continuous, evidence-based assurance of the platform's security posture.</w:t>
            </w:r>
          </w:p>
        </w:tc>
      </w:tr>
    </w:tbl>
    <w:p>
      <w:pPr>
        <w:spacing w:after="160"/>
      </w:pPr>
    </w:p>
    <w:p>
      <w:pPr>
        <w:spacing w:after="150" w:line="276"/>
        <w:jc w:val="both"/>
      </w:pPr>
      <w:r>
        <w:t xml:space="preserve">Testing shall include:</w:t>
      </w:r>
    </w:p>
    <w:p>
      <w:pPr>
        <w:pStyle w:val="ListParagraph"/>
        <w:numPr>
          <w:ilvl w:val="0"/>
          <w:numId w:val="1"/>
        </w:numPr>
        <w:spacing w:after="90" w:line="264"/>
      </w:pPr>
      <w:r>
        <w:t xml:space="preserve">Static code analysis.</w:t>
      </w:r>
    </w:p>
    <w:p>
      <w:pPr>
        <w:pStyle w:val="ListParagraph"/>
        <w:numPr>
          <w:ilvl w:val="0"/>
          <w:numId w:val="1"/>
        </w:numPr>
        <w:spacing w:after="90" w:line="264"/>
      </w:pPr>
      <w:r>
        <w:t xml:space="preserve">Dynamic application testing.</w:t>
      </w:r>
    </w:p>
    <w:p>
      <w:pPr>
        <w:pStyle w:val="ListParagraph"/>
        <w:numPr>
          <w:ilvl w:val="0"/>
          <w:numId w:val="1"/>
        </w:numPr>
        <w:spacing w:after="90" w:line="264"/>
      </w:pPr>
      <w:r>
        <w:t xml:space="preserve">Dependency scanning.</w:t>
      </w:r>
    </w:p>
    <w:p>
      <w:pPr>
        <w:pStyle w:val="ListParagraph"/>
        <w:numPr>
          <w:ilvl w:val="0"/>
          <w:numId w:val="1"/>
        </w:numPr>
        <w:spacing w:after="90" w:line="264"/>
      </w:pPr>
      <w:r>
        <w:t xml:space="preserve">Penetration testing.</w:t>
      </w:r>
    </w:p>
    <w:p>
      <w:pPr>
        <w:pStyle w:val="ListParagraph"/>
        <w:numPr>
          <w:ilvl w:val="0"/>
          <w:numId w:val="1"/>
        </w:numPr>
        <w:spacing w:after="90" w:line="264"/>
      </w:pPr>
      <w:r>
        <w:t xml:space="preserve">Infrastructure security testing.</w:t>
      </w:r>
    </w:p>
    <w:p>
      <w:pPr>
        <w:pStyle w:val="ListParagraph"/>
        <w:numPr>
          <w:ilvl w:val="0"/>
          <w:numId w:val="1"/>
        </w:numPr>
        <w:spacing w:after="90" w:line="264"/>
      </w:pPr>
      <w:r>
        <w:t xml:space="preserve">API security testing.</w:t>
      </w:r>
    </w:p>
    <w:p>
      <w:pPr>
        <w:pStyle w:val="ListParagraph"/>
        <w:numPr>
          <w:ilvl w:val="0"/>
          <w:numId w:val="1"/>
        </w:numPr>
        <w:spacing w:after="90" w:line="264"/>
      </w:pPr>
      <w:r>
        <w:t xml:space="preserve">Authentication and authorization testing.</w:t>
      </w:r>
    </w:p>
    <w:p>
      <w:pPr>
        <w:pStyle w:val="ListParagraph"/>
        <w:numPr>
          <w:ilvl w:val="0"/>
          <w:numId w:val="1"/>
        </w:numPr>
        <w:spacing w:after="90" w:line="264"/>
      </w:pPr>
      <w:r>
        <w:t xml:space="preserve">Configuration reviews.</w:t>
      </w:r>
    </w:p>
    <w:p>
      <w:pPr>
        <w:pStyle w:val="ListParagraph"/>
        <w:numPr>
          <w:ilvl w:val="0"/>
          <w:numId w:val="1"/>
        </w:numPr>
        <w:spacing w:after="90" w:line="264"/>
      </w:pPr>
      <w:r>
        <w:t xml:space="preserve">Disaster recovery exercises.</w:t>
      </w:r>
    </w:p>
    <w:p>
      <w:pPr>
        <w:spacing w:after="150" w:line="276"/>
        <w:jc w:val="both"/>
      </w:pPr>
      <w:r>
        <w:t xml:space="preserve">Testing results shall be documented and tracked to closure.</w:t>
      </w:r>
    </w:p>
    <w:p>
      <w:pPr>
        <w:pStyle w:val="Heading1"/>
        <w:pBdr>
          <w:bottom w:val="single" w:color="C6D2E0" w:sz="4" w:space="4"/>
        </w:pBdr>
        <w:spacing w:after="140" w:before="360"/>
      </w:pPr>
      <w:r>
        <w:rPr>
          <w:b/>
          <w:bCs/>
          <w:color w:val="4A6FA5"/>
          <w:sz w:val="26"/>
          <w:szCs w:val="26"/>
        </w:rPr>
        <w:t xml:space="preserve">14.19  </w:t>
      </w:r>
      <w:r>
        <w:rPr>
          <w:b/>
          <w:bCs/>
          <w:color w:val="1F3864"/>
          <w:sz w:val="26"/>
          <w:szCs w:val="26"/>
        </w:rPr>
        <w:t xml:space="preserve">Antigravity Security Instructions</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how Antigravity applies security standards when generating engineering artifacts.</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assurance that AI-generated code meets the same security bar as human-authored code.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Antigravity flags assumptions, risks, and residual security concerns requiring stakeholder review.</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Engineering artifacts secure by construction, not secured after the fact.</w:t>
            </w:r>
          </w:p>
        </w:tc>
      </w:tr>
    </w:tbl>
    <w:p>
      <w:pPr>
        <w:spacing w:after="160"/>
      </w:pPr>
    </w:p>
    <w:p>
      <w:pPr>
        <w:spacing w:after="150" w:line="276"/>
        <w:jc w:val="both"/>
      </w:pPr>
      <w:r>
        <w:t xml:space="preserve">When generating engineering artifacts, Antigravity shall:</w:t>
      </w:r>
    </w:p>
    <w:p>
      <w:pPr>
        <w:spacing w:after="90" w:line="264"/>
      </w:pPr>
      <w:r>
        <w:rPr>
          <w:b/>
          <w:bCs/>
          <w:color w:val="1F3864"/>
        </w:rPr>
        <w:t xml:space="preserve">1. </w:t>
      </w:r>
      <w:r>
        <w:t xml:space="preserve">Apply Security by Design principles to every component.</w:t>
      </w:r>
    </w:p>
    <w:p>
      <w:pPr>
        <w:spacing w:after="90" w:line="264"/>
      </w:pPr>
      <w:r>
        <w:rPr>
          <w:b/>
          <w:bCs/>
          <w:color w:val="1F3864"/>
        </w:rPr>
        <w:t xml:space="preserve">2. </w:t>
      </w:r>
      <w:r>
        <w:t xml:space="preserve">Enforce RBAC and least-privilege access by default.</w:t>
      </w:r>
    </w:p>
    <w:p>
      <w:pPr>
        <w:spacing w:after="90" w:line="264"/>
      </w:pPr>
      <w:r>
        <w:rPr>
          <w:b/>
          <w:bCs/>
          <w:color w:val="1F3864"/>
        </w:rPr>
        <w:t xml:space="preserve">3. </w:t>
      </w:r>
      <w:r>
        <w:t xml:space="preserve">Generate secure authentication and authorization mechanisms.</w:t>
      </w:r>
    </w:p>
    <w:p>
      <w:pPr>
        <w:spacing w:after="90" w:line="264"/>
      </w:pPr>
      <w:r>
        <w:rPr>
          <w:b/>
          <w:bCs/>
          <w:color w:val="1F3864"/>
        </w:rPr>
        <w:t xml:space="preserve">4. </w:t>
      </w:r>
      <w:r>
        <w:t xml:space="preserve">Validate all external inputs.</w:t>
      </w:r>
    </w:p>
    <w:p>
      <w:pPr>
        <w:spacing w:after="90" w:line="264"/>
      </w:pPr>
      <w:r>
        <w:rPr>
          <w:b/>
          <w:bCs/>
          <w:color w:val="1F3864"/>
        </w:rPr>
        <w:t xml:space="preserve">5. </w:t>
      </w:r>
      <w:r>
        <w:t xml:space="preserve">Protect sensitive data using approved encryption methods.</w:t>
      </w:r>
    </w:p>
    <w:p>
      <w:pPr>
        <w:spacing w:after="90" w:line="264"/>
      </w:pPr>
      <w:r>
        <w:rPr>
          <w:b/>
          <w:bCs/>
          <w:color w:val="1F3864"/>
        </w:rPr>
        <w:t xml:space="preserve">6. </w:t>
      </w:r>
      <w:r>
        <w:t xml:space="preserve">Include audit logging for all privileged operations.</w:t>
      </w:r>
    </w:p>
    <w:p>
      <w:pPr>
        <w:spacing w:after="90" w:line="264"/>
      </w:pPr>
      <w:r>
        <w:rPr>
          <w:b/>
          <w:bCs/>
          <w:color w:val="1F3864"/>
        </w:rPr>
        <w:t xml:space="preserve">7. </w:t>
      </w:r>
      <w:r>
        <w:t xml:space="preserve">Produce security documentation, threat models, and configuration guidance alongside code.</w:t>
      </w:r>
    </w:p>
    <w:p>
      <w:pPr>
        <w:spacing w:after="90" w:line="264"/>
      </w:pPr>
      <w:r>
        <w:rPr>
          <w:b/>
          <w:bCs/>
          <w:color w:val="1F3864"/>
        </w:rPr>
        <w:t xml:space="preserve">8. </w:t>
      </w:r>
      <w:r>
        <w:t xml:space="preserve">Ensure compliance with the approved security architecture and governance framework.</w:t>
      </w:r>
    </w:p>
    <w:p>
      <w:pPr>
        <w:spacing w:after="90" w:line="264"/>
      </w:pPr>
      <w:r>
        <w:rPr>
          <w:b/>
          <w:bCs/>
          <w:color w:val="1F3864"/>
        </w:rPr>
        <w:t xml:space="preserve">9. </w:t>
      </w:r>
      <w:r>
        <w:t xml:space="preserve">Flag assumptions, risks, and residual security concerns requiring stakeholder review.</w:t>
      </w:r>
    </w:p>
    <w:p>
      <w:pPr>
        <w:spacing w:after="90" w:line="264"/>
      </w:pPr>
      <w:r>
        <w:rPr>
          <w:b/>
          <w:bCs/>
          <w:color w:val="1F3864"/>
        </w:rPr>
        <w:t xml:space="preserve">10. </w:t>
      </w:r>
      <w:r>
        <w:t xml:space="preserve">Avoid introducing technologies or configurations that weaken the approved security posture.</w:t>
      </w:r>
    </w:p>
    <w:p>
      <w:pPr>
        <w:pStyle w:val="Heading1"/>
        <w:pBdr>
          <w:bottom w:val="single" w:color="C6D2E0" w:sz="4" w:space="4"/>
        </w:pBdr>
        <w:spacing w:after="140" w:before="360"/>
      </w:pPr>
      <w:r>
        <w:rPr>
          <w:b/>
          <w:bCs/>
          <w:color w:val="4A6FA5"/>
          <w:sz w:val="26"/>
          <w:szCs w:val="26"/>
        </w:rPr>
        <w:t xml:space="preserve">14.20  </w:t>
      </w:r>
      <w:r>
        <w:rPr>
          <w:b/>
          <w:bCs/>
          <w:color w:val="1F3864"/>
          <w:sz w:val="26"/>
          <w:szCs w:val="26"/>
        </w:rPr>
        <w:t xml:space="preserve">Security and Compliance Success Criteria</w:t>
      </w:r>
    </w:p>
    <w:tbl>
      <w:tblPr>
        <w:tblW w:type="dxa" w:w="10080"/>
        <w:tblBorders>
          <w:top w:val="single" w:color="C6D2E0" w:sz="4"/>
          <w:left w:val="single" w:color="C6D2E0" w:sz="4"/>
          <w:bottom w:val="single" w:color="C6D2E0" w:sz="4"/>
          <w:right w:val="single" w:color="C6D2E0" w:sz="4"/>
          <w:insideH w:val="single" w:color="C6D2E0" w:sz="2"/>
          <w:insideV w:val="single" w:color="C6D2E0" w:sz="2"/>
        </w:tblBorders>
      </w:tblPr>
      <w:tblGrid>
        <w:gridCol w:w="2621"/>
        <w:gridCol w:w="7459"/>
      </w:tblGrid>
      <w:tr>
        <w:tc>
          <w:tcPr>
            <w:tcW w:type="dxa" w:w="2621"/>
            <w:shd w:fill="EEF2F7" w:val="clear"/>
            <w:tcMar>
              <w:top w:type="dxa" w:w="80"/>
              <w:left w:type="dxa" w:w="120"/>
              <w:bottom w:type="dxa" w:w="80"/>
              <w:right w:type="dxa" w:w="120"/>
            </w:tcMar>
            <w:vAlign w:val="top"/>
          </w:tcPr>
          <w:p>
            <w:r>
              <w:rPr>
                <w:b/>
                <w:bCs/>
                <w:color w:val="1F3864"/>
                <w:sz w:val="17"/>
                <w:szCs w:val="17"/>
              </w:rPr>
              <w:t xml:space="preserve">Purpose</w:t>
            </w:r>
          </w:p>
        </w:tc>
        <w:tc>
          <w:tcPr>
            <w:tcW w:type="dxa" w:w="7459"/>
            <w:tcMar>
              <w:top w:type="dxa" w:w="80"/>
              <w:left w:type="dxa" w:w="120"/>
              <w:bottom w:type="dxa" w:w="80"/>
              <w:right w:type="dxa" w:w="120"/>
            </w:tcMar>
            <w:vAlign w:val="top"/>
          </w:tcPr>
          <w:p>
            <w:r>
              <w:rPr>
                <w:i/>
                <w:iCs/>
                <w:sz w:val="18"/>
                <w:szCs w:val="18"/>
              </w:rPr>
              <w:t xml:space="preserve">Define what success looks like for the security programme.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Business Value</w:t>
            </w:r>
          </w:p>
        </w:tc>
        <w:tc>
          <w:tcPr>
            <w:tcW w:type="dxa" w:w="7459"/>
            <w:tcMar>
              <w:top w:type="dxa" w:w="80"/>
              <w:left w:type="dxa" w:w="120"/>
              <w:bottom w:type="dxa" w:w="80"/>
              <w:right w:type="dxa" w:w="120"/>
            </w:tcMar>
            <w:vAlign w:val="top"/>
          </w:tcPr>
          <w:p>
            <w:r>
              <w:rPr>
                <w:i/>
                <w:iCs/>
                <w:sz w:val="18"/>
                <w:szCs w:val="18"/>
              </w:rPr>
              <w:t xml:space="preserve">Gives the client and funding partner a concrete, verifiable standard for evaluating security delivery.</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Engineering Perspective</w:t>
            </w:r>
          </w:p>
        </w:tc>
        <w:tc>
          <w:tcPr>
            <w:tcW w:type="dxa" w:w="7459"/>
            <w:tcMar>
              <w:top w:type="dxa" w:w="80"/>
              <w:left w:type="dxa" w:w="120"/>
              <w:bottom w:type="dxa" w:w="80"/>
              <w:right w:type="dxa" w:w="120"/>
            </w:tcMar>
            <w:vAlign w:val="top"/>
          </w:tcPr>
          <w:p>
            <w:r>
              <w:rPr>
                <w:i/>
                <w:iCs/>
                <w:sz w:val="18"/>
                <w:szCs w:val="18"/>
              </w:rPr>
              <w:t xml:space="preserve">Security is a foundational quality attribute of the platform, not an add-on feature.</w:t>
            </w:r>
          </w:p>
        </w:tc>
      </w:tr>
      <w:tr>
        <w:tc>
          <w:tcPr>
            <w:tcW w:type="dxa" w:w="2621"/>
            <w:shd w:fill="EEF2F7" w:val="clear"/>
            <w:tcMar>
              <w:top w:type="dxa" w:w="80"/>
              <w:left w:type="dxa" w:w="120"/>
              <w:bottom w:type="dxa" w:w="80"/>
              <w:right w:type="dxa" w:w="120"/>
            </w:tcMar>
            <w:vAlign w:val="top"/>
          </w:tcPr>
          <w:p>
            <w:r>
              <w:rPr>
                <w:b/>
                <w:bCs/>
                <w:color w:val="1F3864"/>
                <w:sz w:val="17"/>
                <w:szCs w:val="17"/>
              </w:rPr>
              <w:t xml:space="preserve">Expected Outcome</w:t>
            </w:r>
          </w:p>
        </w:tc>
        <w:tc>
          <w:tcPr>
            <w:tcW w:type="dxa" w:w="7459"/>
            <w:tcMar>
              <w:top w:type="dxa" w:w="80"/>
              <w:left w:type="dxa" w:w="120"/>
              <w:bottom w:type="dxa" w:w="80"/>
              <w:right w:type="dxa" w:w="120"/>
            </w:tcMar>
            <w:vAlign w:val="top"/>
          </w:tcPr>
          <w:p>
            <w:r>
              <w:rPr>
                <w:i/>
                <w:iCs/>
                <w:sz w:val="18"/>
                <w:szCs w:val="18"/>
              </w:rPr>
              <w:t xml:space="preserve">A trusted, resilient digital foundation supporting SAPZ's long-term national development objectives.</w:t>
            </w:r>
          </w:p>
        </w:tc>
      </w:tr>
    </w:tbl>
    <w:p>
      <w:pPr>
        <w:spacing w:after="160"/>
      </w:pPr>
    </w:p>
    <w:p>
      <w:pPr>
        <w:spacing w:after="150" w:line="276"/>
        <w:jc w:val="both"/>
      </w:pPr>
      <w:r>
        <w:t xml:space="preserve">The security programme will be considered successful when:</w:t>
      </w:r>
    </w:p>
    <w:p>
      <w:pPr>
        <w:pStyle w:val="ListParagraph"/>
        <w:numPr>
          <w:ilvl w:val="0"/>
          <w:numId w:val="1"/>
        </w:numPr>
        <w:spacing w:after="90" w:line="264"/>
      </w:pPr>
      <w:r>
        <w:t xml:space="preserve">Security controls are integrated throughout the platform lifecycle.</w:t>
      </w:r>
    </w:p>
    <w:p>
      <w:pPr>
        <w:pStyle w:val="ListParagraph"/>
        <w:numPr>
          <w:ilvl w:val="0"/>
          <w:numId w:val="1"/>
        </w:numPr>
        <w:spacing w:after="90" w:line="264"/>
      </w:pPr>
      <w:r>
        <w:t xml:space="preserve">Users are authenticated and authorized according to approved policies.</w:t>
      </w:r>
    </w:p>
    <w:p>
      <w:pPr>
        <w:pStyle w:val="ListParagraph"/>
        <w:numPr>
          <w:ilvl w:val="0"/>
          <w:numId w:val="1"/>
        </w:numPr>
        <w:spacing w:after="90" w:line="264"/>
      </w:pPr>
      <w:r>
        <w:t xml:space="preserve">Sensitive information is protected in storage, transit, and processing.</w:t>
      </w:r>
    </w:p>
    <w:p>
      <w:pPr>
        <w:pStyle w:val="ListParagraph"/>
        <w:numPr>
          <w:ilvl w:val="0"/>
          <w:numId w:val="1"/>
        </w:numPr>
        <w:spacing w:after="90" w:line="264"/>
      </w:pPr>
      <w:r>
        <w:t xml:space="preserve">Security testing demonstrates resilience against common attack vectors.</w:t>
      </w:r>
    </w:p>
    <w:p>
      <w:pPr>
        <w:pStyle w:val="ListParagraph"/>
        <w:numPr>
          <w:ilvl w:val="0"/>
          <w:numId w:val="1"/>
        </w:numPr>
        <w:spacing w:after="90" w:line="264"/>
      </w:pPr>
      <w:r>
        <w:t xml:space="preserve">Compliance obligations are documented, monitored, and evidenced.</w:t>
      </w:r>
    </w:p>
    <w:p>
      <w:pPr>
        <w:pStyle w:val="ListParagraph"/>
        <w:numPr>
          <w:ilvl w:val="0"/>
          <w:numId w:val="1"/>
        </w:numPr>
        <w:spacing w:after="90" w:line="264"/>
      </w:pPr>
      <w:r>
        <w:t xml:space="preserve">Operational monitoring enables timely detection and response to incidents.</w:t>
      </w:r>
    </w:p>
    <w:p>
      <w:pPr>
        <w:pStyle w:val="ListParagraph"/>
        <w:numPr>
          <w:ilvl w:val="0"/>
          <w:numId w:val="1"/>
        </w:numPr>
        <w:spacing w:after="90" w:line="264"/>
      </w:pPr>
      <w:r>
        <w:t xml:space="preserve">Business continuity and disaster recovery capabilities are validated.</w:t>
      </w:r>
    </w:p>
    <w:p>
      <w:pPr>
        <w:pStyle w:val="ListParagraph"/>
        <w:numPr>
          <w:ilvl w:val="0"/>
          <w:numId w:val="1"/>
        </w:numPr>
        <w:spacing w:after="90" w:line="264"/>
      </w:pPr>
      <w:r>
        <w:t xml:space="preserve">Security governance supports the long-term operation of the SAPZ ESM and CKR platforms without compromising usability or maintainability.</w:t>
      </w:r>
    </w:p>
    <w:p>
      <w:pPr>
        <w:spacing w:after="16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single" w:color="EFEBF7" w:sz="2"/>
              <w:left w:val="single" w:color="6B4FA0" w:sz="24"/>
              <w:bottom w:val="single" w:color="EFEBF7" w:sz="2"/>
              <w:right w:val="single" w:color="EFEBF7" w:sz="2"/>
            </w:tcBorders>
            <w:shd w:fill="EFEBF7" w:val="clear"/>
            <w:tcMar>
              <w:top w:type="dxa" w:w="120"/>
              <w:left w:type="dxa" w:w="180"/>
              <w:bottom w:type="dxa" w:w="120"/>
              <w:right w:type="dxa" w:w="180"/>
            </w:tcMar>
          </w:tcPr>
          <w:p>
            <w:pPr>
              <w:spacing w:after="60"/>
            </w:pPr>
            <w:r>
              <w:rPr>
                <w:b/>
                <w:bCs/>
                <w:color w:val="6B4FA0"/>
                <w:sz w:val="17"/>
                <w:szCs w:val="17"/>
              </w:rPr>
              <w:t xml:space="preserve">GOVERNANCE NOTE</w:t>
            </w:r>
          </w:p>
          <w:p>
            <w:pPr>
              <w:spacing w:after="0"/>
            </w:pPr>
            <w:r>
              <w:rPr>
                <w:sz w:val="18"/>
                <w:szCs w:val="18"/>
              </w:rPr>
              <w:t xml:space="preserve">Security is a foundational quality attribute of the SAPZ ESM and CKR platforms. Every architectural decision, engineering activity, operational process, and integration shall reinforce the confidentiality, integrity, availability, and accountability of programme information. By embedding secure engineering practices, robust governance, and continuous compliance into the platform, the solution will provide a trusted and resilient digital foundation capable of supporting SAPZ's long-term national development objectives and future digital transformation initiatives.</w:t>
            </w:r>
          </w:p>
        </w:tc>
      </w:tr>
    </w:tbl>
    <w:p>
      <w:pPr>
        <w:pStyle w:val="Heading1"/>
        <w:pBdr>
          <w:bottom w:val="single" w:color="C6D2E0" w:sz="4" w:space="4"/>
        </w:pBdr>
        <w:spacing w:after="140" w:before="360"/>
      </w:pPr>
      <w:r>
        <w:rPr>
          <w:b/>
          <w:bCs/>
          <w:color w:val="4A6FA5"/>
          <w:sz w:val="26"/>
          <w:szCs w:val="26"/>
        </w:rPr>
        <w:t xml:space="preserve">14.21  </w:t>
      </w:r>
      <w:r>
        <w:rPr>
          <w:b/>
          <w:bCs/>
          <w:color w:val="1F3864"/>
          <w:sz w:val="26"/>
          <w:szCs w:val="26"/>
        </w:rPr>
        <w:t xml:space="preserve">Chapter Summary</w:t>
      </w:r>
    </w:p>
    <w:p>
      <w:pPr>
        <w:spacing w:after="150" w:line="276"/>
        <w:jc w:val="both"/>
      </w:pPr>
      <w:r>
        <w:t xml:space="preserve">This chapter established the standards governing platform security and compliance: six Security Engineering Principles, the layered Security Architecture, Identity and Access Management, authentication and authorization standards, data protection, application, API, and infrastructure security, the Secure Software Development Lifecycle (SSDLC), logging and audit, compliance and regulatory alignment, vulnerability management, incident response, business continuity and disaster recovery, third-party security, security testing, and the Antigravity Security Instructions.</w:t>
      </w:r>
    </w:p>
    <w:p>
      <w:pPr>
        <w:pStyle w:val="Heading2"/>
        <w:spacing w:after="110" w:before="260"/>
      </w:pPr>
      <w:r>
        <w:rPr>
          <w:b/>
          <w:bCs/>
          <w:color w:val="4A6FA5"/>
          <w:sz w:val="21"/>
          <w:szCs w:val="21"/>
        </w:rPr>
        <w:t xml:space="preserve">14.21.1  </w:t>
      </w:r>
      <w:r>
        <w:rPr>
          <w:b/>
          <w:bCs/>
          <w:color w:val="1F3864"/>
          <w:sz w:val="21"/>
          <w:szCs w:val="21"/>
        </w:rPr>
        <w:t xml:space="preserve">Key Engineering Principles</w:t>
      </w:r>
    </w:p>
    <w:p>
      <w:pPr>
        <w:pStyle w:val="ListParagraph"/>
        <w:numPr>
          <w:ilvl w:val="0"/>
          <w:numId w:val="1"/>
        </w:numPr>
        <w:spacing w:after="90" w:line="264"/>
      </w:pPr>
      <w:r>
        <w:t xml:space="preserve">No user, device, or service is inherently trusted — every request is authenticated and authorized (Section 14.2, Zero Trust).</w:t>
      </w:r>
    </w:p>
    <w:p>
      <w:pPr>
        <w:pStyle w:val="ListParagraph"/>
        <w:numPr>
          <w:ilvl w:val="0"/>
          <w:numId w:val="1"/>
        </w:numPr>
        <w:spacing w:after="90" w:line="264"/>
      </w:pPr>
      <w:r>
        <w:t xml:space="preserve">Security gates are mandatory before production release (Section 14.11, SSDLC).</w:t>
      </w:r>
    </w:p>
    <w:p>
      <w:pPr>
        <w:pStyle w:val="ListParagraph"/>
        <w:numPr>
          <w:ilvl w:val="0"/>
          <w:numId w:val="1"/>
        </w:numPr>
        <w:spacing w:after="90" w:line="264"/>
      </w:pPr>
      <w:r>
        <w:t xml:space="preserve">The project maintains a compliance register for NDPA, IFAD, ISO 27001, and OWASP ASVS alignment (Section 14.13).</w:t>
      </w:r>
    </w:p>
    <w:p>
      <w:pPr>
        <w:pStyle w:val="ListParagraph"/>
        <w:numPr>
          <w:ilvl w:val="0"/>
          <w:numId w:val="1"/>
        </w:numPr>
        <w:spacing w:after="90" w:line="264"/>
      </w:pPr>
      <w:r>
        <w:t xml:space="preserve">Continuity plans are tested periodically against defined RTO and RPO targets (Section 14.16).</w:t>
      </w:r>
    </w:p>
    <w:p>
      <w:pPr>
        <w:pStyle w:val="Heading2"/>
        <w:spacing w:after="110" w:before="260"/>
      </w:pPr>
      <w:r>
        <w:rPr>
          <w:b/>
          <w:bCs/>
          <w:color w:val="4A6FA5"/>
          <w:sz w:val="21"/>
          <w:szCs w:val="21"/>
        </w:rPr>
        <w:t xml:space="preserve">14.21.2  </w:t>
      </w:r>
      <w:r>
        <w:rPr>
          <w:b/>
          <w:bCs/>
          <w:color w:val="1F3864"/>
          <w:sz w:val="21"/>
          <w:szCs w:val="21"/>
        </w:rPr>
        <w:t xml:space="preserve">Implementation Checklist</w:t>
      </w:r>
    </w:p>
    <w:p>
      <w:pPr>
        <w:pStyle w:val="ListParagraph"/>
        <w:numPr>
          <w:ilvl w:val="0"/>
          <w:numId w:val="1"/>
        </w:numPr>
        <w:spacing w:after="90" w:line="264"/>
      </w:pPr>
      <w:r>
        <w:t xml:space="preserve">☐ Confirm MFA is enforced for all privileged accounts (Section 14.4).</w:t>
      </w:r>
    </w:p>
    <w:p>
      <w:pPr>
        <w:pStyle w:val="ListParagraph"/>
        <w:numPr>
          <w:ilvl w:val="0"/>
          <w:numId w:val="1"/>
        </w:numPr>
        <w:spacing w:after="90" w:line="264"/>
      </w:pPr>
      <w:r>
        <w:t xml:space="preserve">☐ Confirm data classification categories (Section 14.7) are applied across all data stores.</w:t>
      </w:r>
    </w:p>
    <w:p>
      <w:pPr>
        <w:pStyle w:val="ListParagraph"/>
        <w:numPr>
          <w:ilvl w:val="0"/>
          <w:numId w:val="1"/>
        </w:numPr>
        <w:spacing w:after="90" w:line="264"/>
      </w:pPr>
      <w:r>
        <w:t xml:space="preserve">☐ Confirm the SSDLC security gates (Section 14.11) are wired into the CI/CD pipeline.</w:t>
      </w:r>
    </w:p>
    <w:p>
      <w:pPr>
        <w:pStyle w:val="ListParagraph"/>
        <w:numPr>
          <w:ilvl w:val="0"/>
          <w:numId w:val="1"/>
        </w:numPr>
        <w:spacing w:after="90" w:line="264"/>
      </w:pPr>
      <w:r>
        <w:t xml:space="preserve">☐ Confirm the Incident Response Plan (Section 14.15) has been rehearsed at least once.</w:t>
      </w:r>
    </w:p>
    <w:p>
      <w:pPr>
        <w:pStyle w:val="Heading2"/>
        <w:spacing w:after="110" w:before="260"/>
      </w:pPr>
      <w:r>
        <w:rPr>
          <w:b/>
          <w:bCs/>
          <w:color w:val="4A6FA5"/>
          <w:sz w:val="21"/>
          <w:szCs w:val="21"/>
        </w:rPr>
        <w:t xml:space="preserve">14.21.3  </w:t>
      </w:r>
      <w:r>
        <w:rPr>
          <w:b/>
          <w:bCs/>
          <w:color w:val="1F3864"/>
          <w:sz w:val="21"/>
          <w:szCs w:val="21"/>
        </w:rPr>
        <w:t xml:space="preserve">Related Chapters</w:t>
      </w:r>
    </w:p>
    <w:p>
      <w:pPr>
        <w:pStyle w:val="ListParagraph"/>
        <w:numPr>
          <w:ilvl w:val="0"/>
          <w:numId w:val="1"/>
        </w:numPr>
        <w:spacing w:after="90" w:line="264"/>
      </w:pPr>
      <w:r>
        <w:t xml:space="preserve">Chapter 7 — Technology Stack Standards</w:t>
      </w:r>
    </w:p>
    <w:p>
      <w:pPr>
        <w:pStyle w:val="ListParagraph"/>
        <w:numPr>
          <w:ilvl w:val="0"/>
          <w:numId w:val="1"/>
        </w:numPr>
        <w:spacing w:after="90" w:line="264"/>
      </w:pPr>
      <w:r>
        <w:t xml:space="preserve">Chapter 9 — Backend Engineering Standards</w:t>
      </w:r>
    </w:p>
    <w:p>
      <w:pPr>
        <w:pStyle w:val="ListParagraph"/>
        <w:numPr>
          <w:ilvl w:val="0"/>
          <w:numId w:val="1"/>
        </w:numPr>
        <w:spacing w:after="90" w:line="264"/>
      </w:pPr>
      <w:r>
        <w:t xml:space="preserve">Chapter 12 — API Engineering Standards</w:t>
      </w:r>
    </w:p>
    <w:p>
      <w:pPr>
        <w:pStyle w:val="ListParagraph"/>
        <w:numPr>
          <w:ilvl w:val="0"/>
          <w:numId w:val="1"/>
        </w:numPr>
        <w:spacing w:after="90" w:line="264"/>
      </w:pPr>
      <w:r>
        <w:t xml:space="preserve">Chapter 15 — DevSecOps and Infrastructure Standards</w:t>
      </w:r>
    </w:p>
    <w:p>
      <w:pPr>
        <w:pStyle w:val="ListParagraph"/>
        <w:numPr>
          <w:ilvl w:val="0"/>
          <w:numId w:val="1"/>
        </w:numPr>
        <w:spacing w:after="90" w:line="264"/>
      </w:pPr>
      <w:r>
        <w:t xml:space="preserve">Chapter 21 — Risk and Change Management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Calibri" w:cs="Calibri" w:eastAsia="Calibri" w:hAnsi="Calibri"/>
      <w:b/>
      <w:bCs/>
      <w:color w:val="1F3864"/>
      <w:sz w:val="26"/>
      <w:szCs w:val="26"/>
    </w:rPr>
  </w:style>
  <w:style w:type="paragraph" w:styleId="Heading2">
    <w:name w:val="Heading 2"/>
    <w:basedOn w:val="Normal"/>
    <w:next w:val="Normal"/>
    <w:qFormat/>
    <w:pPr>
      <w:spacing w:after="110" w:before="240"/>
    </w:pPr>
    <w:rPr>
      <w:rFonts w:ascii="Calibri" w:cs="Calibri" w:eastAsia="Calibri" w:hAnsi="Calibri"/>
      <w:b/>
      <w:bCs/>
      <w:color w:val="1F3864"/>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2026-07-19T19:04:49.718Z</dcterms:created>
  <dcterms:modified xsi:type="dcterms:W3CDTF">2026-07-19T19:04:49.718Z</dcterms:modified>
</cp:coreProperties>
</file>

<file path=docProps/custom.xml><?xml version="1.0" encoding="utf-8"?>
<Properties xmlns="http://schemas.openxmlformats.org/officeDocument/2006/custom-properties" xmlns:vt="http://schemas.openxmlformats.org/officeDocument/2006/docPropsVTypes"/>
</file>