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22</w:t>
      </w:r>
    </w:p>
    <w:p>
      <w:pPr>
        <w:pBdr>
          <w:bottom w:val="single" w:color="1F3864" w:sz="14" w:space="10"/>
        </w:pBdr>
        <w:spacing w:after="160"/>
        <w:jc w:val="center"/>
      </w:pPr>
      <w:r>
        <w:rPr>
          <w:b/>
          <w:bCs/>
          <w:color w:val="152238"/>
          <w:sz w:val="40"/>
          <w:szCs w:val="40"/>
        </w:rPr>
        <w:t xml:space="preserve">Engineering Decision Log / Architecture Decision Record (ADR) Process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Enterprise Engineering Decision Management</w:t>
      </w:r>
    </w:p>
    <w:p>
      <w:r>
        <w:br w:type="page"/>
      </w:r>
    </w:p>
    <w:p>
      <w:pPr>
        <w:spacing w:after="40"/>
        <w:jc w:val="left"/>
      </w:pPr>
      <w:r>
        <w:rPr>
          <w:b/>
          <w:bCs/>
          <w:caps/>
          <w:color w:val="4A6FA5"/>
          <w:sz w:val="22"/>
          <w:szCs w:val="22"/>
        </w:rPr>
        <w:t xml:space="preserve">CHAPTER 22</w:t>
      </w:r>
    </w:p>
    <w:p>
      <w:pPr>
        <w:pBdr>
          <w:bottom w:val="single" w:color="1F3864" w:sz="12" w:space="8"/>
        </w:pBdr>
        <w:spacing w:after="200"/>
        <w:jc w:val="left"/>
      </w:pPr>
      <w:r>
        <w:rPr>
          <w:b/>
          <w:bCs/>
          <w:color w:val="152238"/>
          <w:sz w:val="44"/>
          <w:szCs w:val="44"/>
        </w:rPr>
        <w:t xml:space="preserve">Engineering Decision Log / Architecture Decision Record (ADR) Process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for capturing, evaluating, approving, documenting, communicating, and maintaining engineering and architectural decisions throughout the lifecycle of the Enterprise System Management (ESM) Platform and Central Knowledge Repository (CKR). On a programme funded by an organization such as IFAD, decisions need to be recorded, justified, approved, traceable, and auditable — Architecture Decision Records (ADRs) are the core artifact of this Enterprise Engineering Decision Management Standard.</w:t>
      </w:r>
    </w:p>
    <w:p>
      <w:pPr>
        <w:spacing w:after="90" w:before="180"/>
      </w:pPr>
      <w:r>
        <w:rPr>
          <w:b/>
          <w:bCs/>
          <w:color w:val="152238"/>
          <w:sz w:val="19"/>
          <w:szCs w:val="19"/>
        </w:rPr>
        <w:t xml:space="preserve">Purpose</w:t>
      </w:r>
    </w:p>
    <w:p>
      <w:pPr>
        <w:spacing w:after="150" w:line="276"/>
        <w:jc w:val="both"/>
      </w:pPr>
      <w:r>
        <w:t xml:space="preserve">To ensure all significant technical decisions are transparent, evidence-based, traceable, reproducible, governed, auditable, and understandable by future engineering teams.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Guiding Principles and what requires an ADR.</w:t>
      </w:r>
    </w:p>
    <w:p>
      <w:pPr>
        <w:pStyle w:val="ListParagraph"/>
        <w:numPr>
          <w:ilvl w:val="0"/>
          <w:numId w:val="1"/>
        </w:numPr>
        <w:spacing w:after="90" w:line="264"/>
      </w:pPr>
      <w:r>
        <w:t xml:space="preserve">Understand the Decision Lifecycle and the standard ADR Template.</w:t>
      </w:r>
    </w:p>
    <w:p>
      <w:pPr>
        <w:pStyle w:val="ListParagraph"/>
        <w:numPr>
          <w:ilvl w:val="0"/>
          <w:numId w:val="1"/>
        </w:numPr>
        <w:spacing w:after="90" w:line="264"/>
      </w:pPr>
      <w:r>
        <w:t xml:space="preserve">Understand Decision Categories, Decision Governance, and evaluation criteria.</w:t>
      </w:r>
    </w:p>
    <w:p>
      <w:pPr>
        <w:pStyle w:val="ListParagraph"/>
        <w:numPr>
          <w:ilvl w:val="0"/>
          <w:numId w:val="1"/>
        </w:numPr>
        <w:spacing w:after="90" w:line="264"/>
      </w:pPr>
      <w:r>
        <w:t xml:space="preserve">Understand the ADR Repository, decision traceability, and the Antigravity ADR Instructions.</w:t>
      </w:r>
    </w:p>
    <w:p>
      <w:pPr>
        <w:pStyle w:val="Heading1"/>
        <w:pBdr>
          <w:bottom w:val="single" w:color="C6D2E0" w:sz="4" w:space="4"/>
        </w:pBdr>
        <w:spacing w:after="140" w:before="360"/>
      </w:pPr>
      <w:r>
        <w:rPr>
          <w:b/>
          <w:bCs/>
          <w:color w:val="4A6FA5"/>
          <w:sz w:val="26"/>
          <w:szCs w:val="26"/>
        </w:rPr>
        <w:t xml:space="preserve">22.1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for engineering and architectural decision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Preserves the institutional knowledge and reasoning behind every significant technical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strategic engineering decision is documented through an ADR and maintained in the CKR.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permanent, auditable record of why the platform was built the way it was.</w:t>
            </w:r>
          </w:p>
        </w:tc>
      </w:tr>
    </w:tbl>
    <w:p>
      <w:pPr>
        <w:spacing w:after="160"/>
      </w:pPr>
    </w:p>
    <w:p>
      <w:pPr>
        <w:spacing w:after="150" w:line="276"/>
        <w:jc w:val="both"/>
      </w:pPr>
      <w:r>
        <w:t xml:space="preserve">This document establishes the mandatory standards for capturing, evaluating, approving, documenting, communicating, and maintaining engineering and architectural decisions throughout the lifecycle of the SAPZ Enterprise System Management (ESM) Platform and Central Knowledge Repository (CKR).</w:t>
      </w:r>
    </w:p>
    <w:p>
      <w:pPr>
        <w:spacing w:after="150" w:line="276"/>
        <w:jc w:val="both"/>
      </w:pPr>
      <w:r>
        <w:t xml:space="preserve">The objective is to ensure that all significant technical decisions are:</w:t>
      </w:r>
    </w:p>
    <w:p>
      <w:pPr>
        <w:pStyle w:val="ListParagraph"/>
        <w:numPr>
          <w:ilvl w:val="0"/>
          <w:numId w:val="1"/>
        </w:numPr>
        <w:spacing w:after="90" w:line="264"/>
      </w:pPr>
      <w:r>
        <w:t xml:space="preserve">Transparent.</w:t>
      </w:r>
    </w:p>
    <w:p>
      <w:pPr>
        <w:pStyle w:val="ListParagraph"/>
        <w:numPr>
          <w:ilvl w:val="0"/>
          <w:numId w:val="1"/>
        </w:numPr>
        <w:spacing w:after="90" w:line="264"/>
      </w:pPr>
      <w:r>
        <w:t xml:space="preserve">Evidence-based.</w:t>
      </w:r>
    </w:p>
    <w:p>
      <w:pPr>
        <w:pStyle w:val="ListParagraph"/>
        <w:numPr>
          <w:ilvl w:val="0"/>
          <w:numId w:val="1"/>
        </w:numPr>
        <w:spacing w:after="90" w:line="264"/>
      </w:pPr>
      <w:r>
        <w:t xml:space="preserve">Traceable.</w:t>
      </w:r>
    </w:p>
    <w:p>
      <w:pPr>
        <w:pStyle w:val="ListParagraph"/>
        <w:numPr>
          <w:ilvl w:val="0"/>
          <w:numId w:val="1"/>
        </w:numPr>
        <w:spacing w:after="90" w:line="264"/>
      </w:pPr>
      <w:r>
        <w:t xml:space="preserve">Reproducible.</w:t>
      </w:r>
    </w:p>
    <w:p>
      <w:pPr>
        <w:pStyle w:val="ListParagraph"/>
        <w:numPr>
          <w:ilvl w:val="0"/>
          <w:numId w:val="1"/>
        </w:numPr>
        <w:spacing w:after="90" w:line="264"/>
      </w:pPr>
      <w:r>
        <w:t xml:space="preserve">Governed.</w:t>
      </w:r>
    </w:p>
    <w:p>
      <w:pPr>
        <w:pStyle w:val="ListParagraph"/>
        <w:numPr>
          <w:ilvl w:val="0"/>
          <w:numId w:val="1"/>
        </w:numPr>
        <w:spacing w:after="90" w:line="264"/>
      </w:pPr>
      <w:r>
        <w:t xml:space="preserve">Auditable.</w:t>
      </w:r>
    </w:p>
    <w:p>
      <w:pPr>
        <w:pStyle w:val="ListParagraph"/>
        <w:numPr>
          <w:ilvl w:val="0"/>
          <w:numId w:val="1"/>
        </w:numPr>
        <w:spacing w:after="90" w:line="264"/>
      </w:pPr>
      <w:r>
        <w:t xml:space="preserve">Understandable by future engineering teams.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Every strategic engineering decision shall be documented through an Architecture Decision Record (ADR) and maintained within the Central Knowledge Repository (CKR).</w:t>
            </w:r>
          </w:p>
        </w:tc>
      </w:tr>
    </w:tbl>
    <w:p>
      <w:pPr>
        <w:pStyle w:val="Heading1"/>
        <w:pBdr>
          <w:bottom w:val="single" w:color="C6D2E0" w:sz="4" w:space="4"/>
        </w:pBdr>
        <w:spacing w:after="140" w:before="360"/>
      </w:pPr>
      <w:r>
        <w:rPr>
          <w:b/>
          <w:bCs/>
          <w:color w:val="4A6FA5"/>
          <w:sz w:val="26"/>
          <w:szCs w:val="26"/>
        </w:rPr>
        <w:t xml:space="preserve">22.2  </w:t>
      </w:r>
      <w:r>
        <w:rPr>
          <w:b/>
          <w:bCs/>
          <w:color w:val="1F3864"/>
          <w:sz w:val="26"/>
          <w:szCs w:val="26"/>
        </w:rPr>
        <w:t xml:space="preserve">Guiding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engineering decision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decisions are made on evidence, not individual preference.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decision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Decisions that remain understandable and defensible years after they are made.</w:t>
            </w:r>
          </w:p>
        </w:tc>
      </w:tr>
    </w:tbl>
    <w:p>
      <w:pPr>
        <w:spacing w:after="160"/>
      </w:pPr>
    </w:p>
    <w:p>
      <w:pPr>
        <w:spacing w:after="150" w:line="276"/>
        <w:jc w:val="both"/>
      </w:pPr>
      <w:r>
        <w:t xml:space="preserve">The Engineering Decision Management process shall follow these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258"/>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822"/>
            <w:tcMar>
              <w:top w:type="dxa" w:w="70"/>
              <w:left w:type="dxa" w:w="110"/>
              <w:bottom w:type="dxa" w:w="70"/>
              <w:right w:type="dxa" w:w="110"/>
            </w:tcMar>
            <w:vAlign w:val="top"/>
          </w:tcPr>
          <w:p>
            <w:r>
              <w:rPr>
                <w:b/>
                <w:bCs/>
                <w:color w:val="1A1A1A"/>
                <w:sz w:val="16"/>
                <w:szCs w:val="16"/>
              </w:rPr>
              <w:t xml:space="preserve">Transparency</w:t>
            </w:r>
          </w:p>
        </w:tc>
        <w:tc>
          <w:tcPr>
            <w:tcW w:type="dxa" w:w="7258"/>
            <w:tcMar>
              <w:top w:type="dxa" w:w="70"/>
              <w:left w:type="dxa" w:w="110"/>
              <w:bottom w:type="dxa" w:w="70"/>
              <w:right w:type="dxa" w:w="110"/>
            </w:tcMar>
            <w:vAlign w:val="top"/>
          </w:tcPr>
          <w:p>
            <w:r>
              <w:rPr>
                <w:b w:val="false"/>
                <w:bCs w:val="false"/>
                <w:color w:val="1A1A1A"/>
                <w:sz w:val="16"/>
                <w:szCs w:val="16"/>
              </w:rPr>
              <w:t xml:space="preserve">All significant technical decisions shall be visible to authorized stakeholders.</w:t>
            </w:r>
          </w:p>
        </w:tc>
      </w:tr>
      <w:tr>
        <w:tc>
          <w:tcPr>
            <w:tcW w:type="dxa" w:w="2822"/>
            <w:tcMar>
              <w:top w:type="dxa" w:w="70"/>
              <w:left w:type="dxa" w:w="110"/>
              <w:bottom w:type="dxa" w:w="70"/>
              <w:right w:type="dxa" w:w="110"/>
            </w:tcMar>
            <w:vAlign w:val="top"/>
          </w:tcPr>
          <w:p>
            <w:r>
              <w:rPr>
                <w:b/>
                <w:bCs/>
                <w:color w:val="1A1A1A"/>
                <w:sz w:val="16"/>
                <w:szCs w:val="16"/>
              </w:rPr>
              <w:t xml:space="preserve">Traceability</w:t>
            </w:r>
          </w:p>
        </w:tc>
        <w:tc>
          <w:tcPr>
            <w:tcW w:type="dxa" w:w="7258"/>
            <w:tcMar>
              <w:top w:type="dxa" w:w="70"/>
              <w:left w:type="dxa" w:w="110"/>
              <w:bottom w:type="dxa" w:w="70"/>
              <w:right w:type="dxa" w:w="110"/>
            </w:tcMar>
            <w:vAlign w:val="top"/>
          </w:tcPr>
          <w:p>
            <w:r>
              <w:rPr>
                <w:b w:val="false"/>
                <w:bCs w:val="false"/>
                <w:color w:val="1A1A1A"/>
                <w:sz w:val="16"/>
                <w:szCs w:val="16"/>
              </w:rPr>
              <w:t xml:space="preserve">Each decision shall be linked to business requirements, architecture artifacts, implementation tasks, test evidence, and deployment records.</w:t>
            </w:r>
          </w:p>
        </w:tc>
      </w:tr>
      <w:tr>
        <w:tc>
          <w:tcPr>
            <w:tcW w:type="dxa" w:w="2822"/>
            <w:tcMar>
              <w:top w:type="dxa" w:w="70"/>
              <w:left w:type="dxa" w:w="110"/>
              <w:bottom w:type="dxa" w:w="70"/>
              <w:right w:type="dxa" w:w="110"/>
            </w:tcMar>
            <w:vAlign w:val="top"/>
          </w:tcPr>
          <w:p>
            <w:r>
              <w:rPr>
                <w:b/>
                <w:bCs/>
                <w:color w:val="1A1A1A"/>
                <w:sz w:val="16"/>
                <w:szCs w:val="16"/>
              </w:rPr>
              <w:t xml:space="preserve">Evidence-Based Decision Making</w:t>
            </w:r>
          </w:p>
        </w:tc>
        <w:tc>
          <w:tcPr>
            <w:tcW w:type="dxa" w:w="7258"/>
            <w:tcMar>
              <w:top w:type="dxa" w:w="70"/>
              <w:left w:type="dxa" w:w="110"/>
              <w:bottom w:type="dxa" w:w="70"/>
              <w:right w:type="dxa" w:w="110"/>
            </w:tcMar>
            <w:vAlign w:val="top"/>
          </w:tcPr>
          <w:p>
            <w:r>
              <w:rPr>
                <w:b w:val="false"/>
                <w:bCs w:val="false"/>
                <w:color w:val="1A1A1A"/>
                <w:sz w:val="16"/>
                <w:szCs w:val="16"/>
              </w:rPr>
              <w:t xml:space="preserve">Decisions shall be supported by technical analysis, business needs, risk assessments, and stakeholder input rather than personal preference.</w:t>
            </w:r>
          </w:p>
        </w:tc>
      </w:tr>
      <w:tr>
        <w:tc>
          <w:tcPr>
            <w:tcW w:type="dxa" w:w="2822"/>
            <w:tcMar>
              <w:top w:type="dxa" w:w="70"/>
              <w:left w:type="dxa" w:w="110"/>
              <w:bottom w:type="dxa" w:w="70"/>
              <w:right w:type="dxa" w:w="110"/>
            </w:tcMar>
            <w:vAlign w:val="top"/>
          </w:tcPr>
          <w:p>
            <w:r>
              <w:rPr>
                <w:b/>
                <w:bCs/>
                <w:color w:val="1A1A1A"/>
                <w:sz w:val="16"/>
                <w:szCs w:val="16"/>
              </w:rPr>
              <w:t xml:space="preserve">Consistency</w:t>
            </w:r>
          </w:p>
        </w:tc>
        <w:tc>
          <w:tcPr>
            <w:tcW w:type="dxa" w:w="7258"/>
            <w:tcMar>
              <w:top w:type="dxa" w:w="70"/>
              <w:left w:type="dxa" w:w="110"/>
              <w:bottom w:type="dxa" w:w="70"/>
              <w:right w:type="dxa" w:w="110"/>
            </w:tcMar>
            <w:vAlign w:val="top"/>
          </w:tcPr>
          <w:p>
            <w:r>
              <w:rPr>
                <w:b w:val="false"/>
                <w:bCs w:val="false"/>
                <w:color w:val="1A1A1A"/>
                <w:sz w:val="16"/>
                <w:szCs w:val="16"/>
              </w:rPr>
              <w:t xml:space="preserve">Decisions shall align with the approved Enterprise Architecture, Engineering Standards, Security Policies, and Technology Stack.</w:t>
            </w:r>
          </w:p>
        </w:tc>
      </w:tr>
      <w:tr>
        <w:tc>
          <w:tcPr>
            <w:tcW w:type="dxa" w:w="2822"/>
            <w:tcMar>
              <w:top w:type="dxa" w:w="70"/>
              <w:left w:type="dxa" w:w="110"/>
              <w:bottom w:type="dxa" w:w="70"/>
              <w:right w:type="dxa" w:w="110"/>
            </w:tcMar>
            <w:vAlign w:val="top"/>
          </w:tcPr>
          <w:p>
            <w:r>
              <w:rPr>
                <w:b/>
                <w:bCs/>
                <w:color w:val="1A1A1A"/>
                <w:sz w:val="16"/>
                <w:szCs w:val="16"/>
              </w:rPr>
              <w:t xml:space="preserve">Reversibility</w:t>
            </w:r>
          </w:p>
        </w:tc>
        <w:tc>
          <w:tcPr>
            <w:tcW w:type="dxa" w:w="7258"/>
            <w:tcMar>
              <w:top w:type="dxa" w:w="70"/>
              <w:left w:type="dxa" w:w="110"/>
              <w:bottom w:type="dxa" w:w="70"/>
              <w:right w:type="dxa" w:w="110"/>
            </w:tcMar>
            <w:vAlign w:val="top"/>
          </w:tcPr>
          <w:p>
            <w:r>
              <w:rPr>
                <w:b w:val="false"/>
                <w:bCs w:val="false"/>
                <w:color w:val="1A1A1A"/>
                <w:sz w:val="16"/>
                <w:szCs w:val="16"/>
              </w:rPr>
              <w:t xml:space="preserve">Where feasible, decisions shall include rollback or alternative strategies.</w:t>
            </w:r>
          </w:p>
        </w:tc>
      </w:tr>
      <w:tr>
        <w:tc>
          <w:tcPr>
            <w:tcW w:type="dxa" w:w="2822"/>
            <w:tcMar>
              <w:top w:type="dxa" w:w="70"/>
              <w:left w:type="dxa" w:w="110"/>
              <w:bottom w:type="dxa" w:w="70"/>
              <w:right w:type="dxa" w:w="110"/>
            </w:tcMar>
            <w:vAlign w:val="top"/>
          </w:tcPr>
          <w:p>
            <w:r>
              <w:rPr>
                <w:b/>
                <w:bCs/>
                <w:color w:val="1A1A1A"/>
                <w:sz w:val="16"/>
                <w:szCs w:val="16"/>
              </w:rPr>
              <w:t xml:space="preserve">Continuous Learning</w:t>
            </w:r>
          </w:p>
        </w:tc>
        <w:tc>
          <w:tcPr>
            <w:tcW w:type="dxa" w:w="7258"/>
            <w:tcMar>
              <w:top w:type="dxa" w:w="70"/>
              <w:left w:type="dxa" w:w="110"/>
              <w:bottom w:type="dxa" w:w="70"/>
              <w:right w:type="dxa" w:w="110"/>
            </w:tcMar>
            <w:vAlign w:val="top"/>
          </w:tcPr>
          <w:p>
            <w:r>
              <w:rPr>
                <w:b w:val="false"/>
                <w:bCs w:val="false"/>
                <w:color w:val="1A1A1A"/>
                <w:sz w:val="16"/>
                <w:szCs w:val="16"/>
              </w:rPr>
              <w:t xml:space="preserve">Past decisions shall inform future design choices and prevent repeated analysis of previously resolved issues.</w:t>
            </w:r>
          </w:p>
        </w:tc>
      </w:tr>
    </w:tbl>
    <w:p>
      <w:pPr>
        <w:pStyle w:val="Heading1"/>
        <w:pBdr>
          <w:bottom w:val="single" w:color="C6D2E0" w:sz="4" w:space="4"/>
        </w:pBdr>
        <w:spacing w:after="140" w:before="360"/>
      </w:pPr>
      <w:r>
        <w:rPr>
          <w:b/>
          <w:bCs/>
          <w:color w:val="4A6FA5"/>
          <w:sz w:val="26"/>
          <w:szCs w:val="26"/>
        </w:rPr>
        <w:t xml:space="preserve">22.3  </w:t>
      </w:r>
      <w:r>
        <w:rPr>
          <w:b/>
          <w:bCs/>
          <w:color w:val="1F3864"/>
          <w:sz w:val="26"/>
          <w:szCs w:val="26"/>
        </w:rPr>
        <w:t xml:space="preserve">What Requires an ADR</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categories of decision that mandatorily require an ADR.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high-impact decisions from being made informally and undocumented.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 ADR is mandatory for any decision that significantly influences architecture, technology, security, or operations.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high-impact technical decision made without a documented record.</w:t>
            </w:r>
          </w:p>
        </w:tc>
      </w:tr>
    </w:tbl>
    <w:p>
      <w:pPr>
        <w:spacing w:after="160"/>
      </w:pPr>
    </w:p>
    <w:p>
      <w:pPr>
        <w:spacing w:after="150" w:line="276"/>
        <w:jc w:val="both"/>
      </w:pPr>
      <w:r>
        <w:t xml:space="preserve">An ADR is mandatory for any decision that significantly influences the platform's architecture, technology, security, or operations. Examples include:</w:t>
      </w:r>
    </w:p>
    <w:p>
      <w:pPr>
        <w:pStyle w:val="Heading2"/>
        <w:spacing w:after="110" w:before="260"/>
      </w:pPr>
      <w:r>
        <w:rPr>
          <w:b/>
          <w:bCs/>
          <w:color w:val="4A6FA5"/>
          <w:sz w:val="21"/>
          <w:szCs w:val="21"/>
        </w:rPr>
        <w:t xml:space="preserve">22.3.1  </w:t>
      </w:r>
      <w:r>
        <w:rPr>
          <w:b/>
          <w:bCs/>
          <w:color w:val="1F3864"/>
          <w:sz w:val="21"/>
          <w:szCs w:val="21"/>
        </w:rPr>
        <w:t xml:space="preserve">Architecture Decisions</w:t>
      </w:r>
    </w:p>
    <w:p>
      <w:pPr>
        <w:pStyle w:val="ListParagraph"/>
        <w:numPr>
          <w:ilvl w:val="0"/>
          <w:numId w:val="1"/>
        </w:numPr>
        <w:spacing w:after="90" w:line="264"/>
      </w:pPr>
      <w:r>
        <w:t xml:space="preserve">Application architecture</w:t>
      </w:r>
    </w:p>
    <w:p>
      <w:pPr>
        <w:pStyle w:val="ListParagraph"/>
        <w:numPr>
          <w:ilvl w:val="0"/>
          <w:numId w:val="1"/>
        </w:numPr>
        <w:spacing w:after="90" w:line="264"/>
      </w:pPr>
      <w:r>
        <w:t xml:space="preserve">Service decomposition</w:t>
      </w:r>
    </w:p>
    <w:p>
      <w:pPr>
        <w:pStyle w:val="ListParagraph"/>
        <w:numPr>
          <w:ilvl w:val="0"/>
          <w:numId w:val="1"/>
        </w:numPr>
        <w:spacing w:after="90" w:line="264"/>
      </w:pPr>
      <w:r>
        <w:t xml:space="preserve">Microservices vs. modular monolith</w:t>
      </w:r>
    </w:p>
    <w:p>
      <w:pPr>
        <w:pStyle w:val="ListParagraph"/>
        <w:numPr>
          <w:ilvl w:val="0"/>
          <w:numId w:val="1"/>
        </w:numPr>
        <w:spacing w:after="90" w:line="264"/>
      </w:pPr>
      <w:r>
        <w:t xml:space="preserve">Event-driven architecture</w:t>
      </w:r>
    </w:p>
    <w:p>
      <w:pPr>
        <w:pStyle w:val="ListParagraph"/>
        <w:numPr>
          <w:ilvl w:val="0"/>
          <w:numId w:val="1"/>
        </w:numPr>
        <w:spacing w:after="90" w:line="264"/>
      </w:pPr>
      <w:r>
        <w:t xml:space="preserve">Deployment topology</w:t>
      </w:r>
    </w:p>
    <w:p>
      <w:pPr>
        <w:pStyle w:val="Heading2"/>
        <w:spacing w:after="110" w:before="260"/>
      </w:pPr>
      <w:r>
        <w:rPr>
          <w:b/>
          <w:bCs/>
          <w:color w:val="4A6FA5"/>
          <w:sz w:val="21"/>
          <w:szCs w:val="21"/>
        </w:rPr>
        <w:t xml:space="preserve">22.3.2  </w:t>
      </w:r>
      <w:r>
        <w:rPr>
          <w:b/>
          <w:bCs/>
          <w:color w:val="1F3864"/>
          <w:sz w:val="21"/>
          <w:szCs w:val="21"/>
        </w:rPr>
        <w:t xml:space="preserve">Technology Decisions</w:t>
      </w:r>
    </w:p>
    <w:p>
      <w:pPr>
        <w:pStyle w:val="ListParagraph"/>
        <w:numPr>
          <w:ilvl w:val="0"/>
          <w:numId w:val="1"/>
        </w:numPr>
        <w:spacing w:after="90" w:line="264"/>
      </w:pPr>
      <w:r>
        <w:t xml:space="preserve">Programming languages</w:t>
      </w:r>
    </w:p>
    <w:p>
      <w:pPr>
        <w:pStyle w:val="ListParagraph"/>
        <w:numPr>
          <w:ilvl w:val="0"/>
          <w:numId w:val="1"/>
        </w:numPr>
        <w:spacing w:after="90" w:line="264"/>
      </w:pPr>
      <w:r>
        <w:t xml:space="preserve">Frameworks</w:t>
      </w:r>
    </w:p>
    <w:p>
      <w:pPr>
        <w:pStyle w:val="ListParagraph"/>
        <w:numPr>
          <w:ilvl w:val="0"/>
          <w:numId w:val="1"/>
        </w:numPr>
        <w:spacing w:after="90" w:line="264"/>
      </w:pPr>
      <w:r>
        <w:t xml:space="preserve">Databases</w:t>
      </w:r>
    </w:p>
    <w:p>
      <w:pPr>
        <w:pStyle w:val="ListParagraph"/>
        <w:numPr>
          <w:ilvl w:val="0"/>
          <w:numId w:val="1"/>
        </w:numPr>
        <w:spacing w:after="90" w:line="264"/>
      </w:pPr>
      <w:r>
        <w:t xml:space="preserve">Search engines</w:t>
      </w:r>
    </w:p>
    <w:p>
      <w:pPr>
        <w:pStyle w:val="ListParagraph"/>
        <w:numPr>
          <w:ilvl w:val="0"/>
          <w:numId w:val="1"/>
        </w:numPr>
        <w:spacing w:after="90" w:line="264"/>
      </w:pPr>
      <w:r>
        <w:t xml:space="preserve">Message brokers</w:t>
      </w:r>
    </w:p>
    <w:p>
      <w:pPr>
        <w:pStyle w:val="ListParagraph"/>
        <w:numPr>
          <w:ilvl w:val="0"/>
          <w:numId w:val="1"/>
        </w:numPr>
        <w:spacing w:after="90" w:line="264"/>
      </w:pPr>
      <w:r>
        <w:t xml:space="preserve">Identity providers</w:t>
      </w:r>
    </w:p>
    <w:p>
      <w:pPr>
        <w:pStyle w:val="ListParagraph"/>
        <w:numPr>
          <w:ilvl w:val="0"/>
          <w:numId w:val="1"/>
        </w:numPr>
        <w:spacing w:after="90" w:line="264"/>
      </w:pPr>
      <w:r>
        <w:t xml:space="preserve">AI frameworks</w:t>
      </w:r>
    </w:p>
    <w:p>
      <w:pPr>
        <w:pStyle w:val="ListParagraph"/>
        <w:numPr>
          <w:ilvl w:val="0"/>
          <w:numId w:val="1"/>
        </w:numPr>
        <w:spacing w:after="90" w:line="264"/>
      </w:pPr>
      <w:r>
        <w:t xml:space="preserve">Cloud services</w:t>
      </w:r>
    </w:p>
    <w:p>
      <w:pPr>
        <w:pStyle w:val="Heading2"/>
        <w:spacing w:after="110" w:before="260"/>
      </w:pPr>
      <w:r>
        <w:rPr>
          <w:b/>
          <w:bCs/>
          <w:color w:val="4A6FA5"/>
          <w:sz w:val="21"/>
          <w:szCs w:val="21"/>
        </w:rPr>
        <w:t xml:space="preserve">22.3.3  </w:t>
      </w:r>
      <w:r>
        <w:rPr>
          <w:b/>
          <w:bCs/>
          <w:color w:val="1F3864"/>
          <w:sz w:val="21"/>
          <w:szCs w:val="21"/>
        </w:rPr>
        <w:t xml:space="preserve">Integration Decisions</w:t>
      </w:r>
    </w:p>
    <w:p>
      <w:pPr>
        <w:pStyle w:val="ListParagraph"/>
        <w:numPr>
          <w:ilvl w:val="0"/>
          <w:numId w:val="1"/>
        </w:numPr>
        <w:spacing w:after="90" w:line="264"/>
      </w:pPr>
      <w:r>
        <w:t xml:space="preserve">API standards</w:t>
      </w:r>
    </w:p>
    <w:p>
      <w:pPr>
        <w:pStyle w:val="ListParagraph"/>
        <w:numPr>
          <w:ilvl w:val="0"/>
          <w:numId w:val="1"/>
        </w:numPr>
        <w:spacing w:after="90" w:line="264"/>
      </w:pPr>
      <w:r>
        <w:t xml:space="preserve">Authentication protocols</w:t>
      </w:r>
    </w:p>
    <w:p>
      <w:pPr>
        <w:pStyle w:val="ListParagraph"/>
        <w:numPr>
          <w:ilvl w:val="0"/>
          <w:numId w:val="1"/>
        </w:numPr>
        <w:spacing w:after="90" w:line="264"/>
      </w:pPr>
      <w:r>
        <w:t xml:space="preserve">Data exchange mechanisms</w:t>
      </w:r>
    </w:p>
    <w:p>
      <w:pPr>
        <w:pStyle w:val="ListParagraph"/>
        <w:numPr>
          <w:ilvl w:val="0"/>
          <w:numId w:val="1"/>
        </w:numPr>
        <w:spacing w:after="90" w:line="264"/>
      </w:pPr>
      <w:r>
        <w:t xml:space="preserve">Third-party integrations</w:t>
      </w:r>
    </w:p>
    <w:p>
      <w:pPr>
        <w:pStyle w:val="Heading2"/>
        <w:spacing w:after="110" w:before="260"/>
      </w:pPr>
      <w:r>
        <w:rPr>
          <w:b/>
          <w:bCs/>
          <w:color w:val="4A6FA5"/>
          <w:sz w:val="21"/>
          <w:szCs w:val="21"/>
        </w:rPr>
        <w:t xml:space="preserve">22.3.4  </w:t>
      </w:r>
      <w:r>
        <w:rPr>
          <w:b/>
          <w:bCs/>
          <w:color w:val="1F3864"/>
          <w:sz w:val="21"/>
          <w:szCs w:val="21"/>
        </w:rPr>
        <w:t xml:space="preserve">Security Decisions</w:t>
      </w:r>
    </w:p>
    <w:p>
      <w:pPr>
        <w:pStyle w:val="ListParagraph"/>
        <w:numPr>
          <w:ilvl w:val="0"/>
          <w:numId w:val="1"/>
        </w:numPr>
        <w:spacing w:after="90" w:line="264"/>
      </w:pPr>
      <w:r>
        <w:t xml:space="preserve">Encryption standards</w:t>
      </w:r>
    </w:p>
    <w:p>
      <w:pPr>
        <w:pStyle w:val="ListParagraph"/>
        <w:numPr>
          <w:ilvl w:val="0"/>
          <w:numId w:val="1"/>
        </w:numPr>
        <w:spacing w:after="90" w:line="264"/>
      </w:pPr>
      <w:r>
        <w:t xml:space="preserve">Identity management</w:t>
      </w:r>
    </w:p>
    <w:p>
      <w:pPr>
        <w:pStyle w:val="ListParagraph"/>
        <w:numPr>
          <w:ilvl w:val="0"/>
          <w:numId w:val="1"/>
        </w:numPr>
        <w:spacing w:after="90" w:line="264"/>
      </w:pPr>
      <w:r>
        <w:t xml:space="preserve">Access control models</w:t>
      </w:r>
    </w:p>
    <w:p>
      <w:pPr>
        <w:pStyle w:val="ListParagraph"/>
        <w:numPr>
          <w:ilvl w:val="0"/>
          <w:numId w:val="1"/>
        </w:numPr>
        <w:spacing w:after="90" w:line="264"/>
      </w:pPr>
      <w:r>
        <w:t xml:space="preserve">Secrets management</w:t>
      </w:r>
    </w:p>
    <w:p>
      <w:pPr>
        <w:pStyle w:val="ListParagraph"/>
        <w:numPr>
          <w:ilvl w:val="0"/>
          <w:numId w:val="1"/>
        </w:numPr>
        <w:spacing w:after="90" w:line="264"/>
      </w:pPr>
      <w:r>
        <w:t xml:space="preserve">Audit logging</w:t>
      </w:r>
    </w:p>
    <w:p>
      <w:pPr>
        <w:pStyle w:val="Heading2"/>
        <w:spacing w:after="110" w:before="260"/>
      </w:pPr>
      <w:r>
        <w:rPr>
          <w:b/>
          <w:bCs/>
          <w:color w:val="4A6FA5"/>
          <w:sz w:val="21"/>
          <w:szCs w:val="21"/>
        </w:rPr>
        <w:t xml:space="preserve">22.3.5  </w:t>
      </w:r>
      <w:r>
        <w:rPr>
          <w:b/>
          <w:bCs/>
          <w:color w:val="1F3864"/>
          <w:sz w:val="21"/>
          <w:szCs w:val="21"/>
        </w:rPr>
        <w:t xml:space="preserve">Data Decisions</w:t>
      </w:r>
    </w:p>
    <w:p>
      <w:pPr>
        <w:pStyle w:val="ListParagraph"/>
        <w:numPr>
          <w:ilvl w:val="0"/>
          <w:numId w:val="1"/>
        </w:numPr>
        <w:spacing w:after="90" w:line="264"/>
      </w:pPr>
      <w:r>
        <w:t xml:space="preserve">Master data strategy</w:t>
      </w:r>
    </w:p>
    <w:p>
      <w:pPr>
        <w:pStyle w:val="ListParagraph"/>
        <w:numPr>
          <w:ilvl w:val="0"/>
          <w:numId w:val="1"/>
        </w:numPr>
        <w:spacing w:after="90" w:line="264"/>
      </w:pPr>
      <w:r>
        <w:t xml:space="preserve">Data retention</w:t>
      </w:r>
    </w:p>
    <w:p>
      <w:pPr>
        <w:pStyle w:val="ListParagraph"/>
        <w:numPr>
          <w:ilvl w:val="0"/>
          <w:numId w:val="1"/>
        </w:numPr>
        <w:spacing w:after="90" w:line="264"/>
      </w:pPr>
      <w:r>
        <w:t xml:space="preserve">Data archival</w:t>
      </w:r>
    </w:p>
    <w:p>
      <w:pPr>
        <w:pStyle w:val="ListParagraph"/>
        <w:numPr>
          <w:ilvl w:val="0"/>
          <w:numId w:val="1"/>
        </w:numPr>
        <w:spacing w:after="90" w:line="264"/>
      </w:pPr>
      <w:r>
        <w:t xml:space="preserve">Backup strategies</w:t>
      </w:r>
    </w:p>
    <w:p>
      <w:pPr>
        <w:pStyle w:val="ListParagraph"/>
        <w:numPr>
          <w:ilvl w:val="0"/>
          <w:numId w:val="1"/>
        </w:numPr>
        <w:spacing w:after="90" w:line="264"/>
      </w:pPr>
      <w:r>
        <w:t xml:space="preserve">Replication</w:t>
      </w:r>
    </w:p>
    <w:p>
      <w:pPr>
        <w:pStyle w:val="ListParagraph"/>
        <w:numPr>
          <w:ilvl w:val="0"/>
          <w:numId w:val="1"/>
        </w:numPr>
        <w:spacing w:after="90" w:line="264"/>
      </w:pPr>
      <w:r>
        <w:t xml:space="preserve">Data synchronization</w:t>
      </w:r>
    </w:p>
    <w:p>
      <w:pPr>
        <w:pStyle w:val="Heading2"/>
        <w:spacing w:after="110" w:before="260"/>
      </w:pPr>
      <w:r>
        <w:rPr>
          <w:b/>
          <w:bCs/>
          <w:color w:val="4A6FA5"/>
          <w:sz w:val="21"/>
          <w:szCs w:val="21"/>
        </w:rPr>
        <w:t xml:space="preserve">22.3.6  </w:t>
      </w:r>
      <w:r>
        <w:rPr>
          <w:b/>
          <w:bCs/>
          <w:color w:val="1F3864"/>
          <w:sz w:val="21"/>
          <w:szCs w:val="21"/>
        </w:rPr>
        <w:t xml:space="preserve">DevSecOps Decisions</w:t>
      </w:r>
    </w:p>
    <w:p>
      <w:pPr>
        <w:pStyle w:val="ListParagraph"/>
        <w:numPr>
          <w:ilvl w:val="0"/>
          <w:numId w:val="1"/>
        </w:numPr>
        <w:spacing w:after="90" w:line="264"/>
      </w:pPr>
      <w:r>
        <w:t xml:space="preserve">CI/CD tooling</w:t>
      </w:r>
    </w:p>
    <w:p>
      <w:pPr>
        <w:pStyle w:val="ListParagraph"/>
        <w:numPr>
          <w:ilvl w:val="0"/>
          <w:numId w:val="1"/>
        </w:numPr>
        <w:spacing w:after="90" w:line="264"/>
      </w:pPr>
      <w:r>
        <w:t xml:space="preserve">Infrastructure as Code</w:t>
      </w:r>
    </w:p>
    <w:p>
      <w:pPr>
        <w:pStyle w:val="ListParagraph"/>
        <w:numPr>
          <w:ilvl w:val="0"/>
          <w:numId w:val="1"/>
        </w:numPr>
        <w:spacing w:after="90" w:line="264"/>
      </w:pPr>
      <w:r>
        <w:t xml:space="preserve">Container orchestration</w:t>
      </w:r>
    </w:p>
    <w:p>
      <w:pPr>
        <w:pStyle w:val="ListParagraph"/>
        <w:numPr>
          <w:ilvl w:val="0"/>
          <w:numId w:val="1"/>
        </w:numPr>
        <w:spacing w:after="90" w:line="264"/>
      </w:pPr>
      <w:r>
        <w:t xml:space="preserve">Monitoring platforms</w:t>
      </w:r>
    </w:p>
    <w:p>
      <w:pPr>
        <w:pStyle w:val="Heading2"/>
        <w:spacing w:after="110" w:before="260"/>
      </w:pPr>
      <w:r>
        <w:rPr>
          <w:b/>
          <w:bCs/>
          <w:color w:val="4A6FA5"/>
          <w:sz w:val="21"/>
          <w:szCs w:val="21"/>
        </w:rPr>
        <w:t xml:space="preserve">22.3.7  </w:t>
      </w:r>
      <w:r>
        <w:rPr>
          <w:b/>
          <w:bCs/>
          <w:color w:val="1F3864"/>
          <w:sz w:val="21"/>
          <w:szCs w:val="21"/>
        </w:rPr>
        <w:t xml:space="preserve">AI Decisions</w:t>
      </w:r>
    </w:p>
    <w:p>
      <w:pPr>
        <w:pStyle w:val="ListParagraph"/>
        <w:numPr>
          <w:ilvl w:val="0"/>
          <w:numId w:val="1"/>
        </w:numPr>
        <w:spacing w:after="90" w:line="264"/>
      </w:pPr>
      <w:r>
        <w:t xml:space="preserve">Model selection</w:t>
      </w:r>
    </w:p>
    <w:p>
      <w:pPr>
        <w:pStyle w:val="ListParagraph"/>
        <w:numPr>
          <w:ilvl w:val="0"/>
          <w:numId w:val="1"/>
        </w:numPr>
        <w:spacing w:after="90" w:line="264"/>
      </w:pPr>
      <w:r>
        <w:t xml:space="preserve">Retrieval-Augmented Generation (RAG) architecture</w:t>
      </w:r>
    </w:p>
    <w:p>
      <w:pPr>
        <w:pStyle w:val="ListParagraph"/>
        <w:numPr>
          <w:ilvl w:val="0"/>
          <w:numId w:val="1"/>
        </w:numPr>
        <w:spacing w:after="90" w:line="264"/>
      </w:pPr>
      <w:r>
        <w:t xml:space="preserve">Embedding strategy</w:t>
      </w:r>
    </w:p>
    <w:p>
      <w:pPr>
        <w:pStyle w:val="ListParagraph"/>
        <w:numPr>
          <w:ilvl w:val="0"/>
          <w:numId w:val="1"/>
        </w:numPr>
        <w:spacing w:after="90" w:line="264"/>
      </w:pPr>
      <w:r>
        <w:t xml:space="preserve">Vector database selection</w:t>
      </w:r>
    </w:p>
    <w:p>
      <w:pPr>
        <w:pStyle w:val="ListParagraph"/>
        <w:numPr>
          <w:ilvl w:val="0"/>
          <w:numId w:val="1"/>
        </w:numPr>
        <w:spacing w:after="90" w:line="264"/>
      </w:pPr>
      <w:r>
        <w:t xml:space="preserve">Prompt governance</w:t>
      </w:r>
    </w:p>
    <w:p>
      <w:pPr>
        <w:pStyle w:val="ListParagraph"/>
        <w:numPr>
          <w:ilvl w:val="0"/>
          <w:numId w:val="1"/>
        </w:numPr>
        <w:spacing w:after="90" w:line="264"/>
      </w:pPr>
      <w:r>
        <w:t xml:space="preserve">Human review thresholds</w:t>
      </w:r>
    </w:p>
    <w:p>
      <w:pPr>
        <w:pStyle w:val="Heading1"/>
        <w:pBdr>
          <w:bottom w:val="single" w:color="C6D2E0" w:sz="4" w:space="4"/>
        </w:pBdr>
        <w:spacing w:after="140" w:before="360"/>
      </w:pPr>
      <w:r>
        <w:rPr>
          <w:b/>
          <w:bCs/>
          <w:color w:val="4A6FA5"/>
          <w:sz w:val="26"/>
          <w:szCs w:val="26"/>
        </w:rPr>
        <w:t xml:space="preserve">22.4  </w:t>
      </w:r>
      <w:r>
        <w:rPr>
          <w:b/>
          <w:bCs/>
          <w:color w:val="1F3864"/>
          <w:sz w:val="26"/>
          <w:szCs w:val="26"/>
        </w:rPr>
        <w:t xml:space="preserve">Decision Lifecycle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structured lifecycle every engineering decision must follow.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decisions are stress-tested against options and risks before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significant architectural decision bypasses this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decision analyzed, reviewed, approved, and validated before implementation.</w:t>
            </w:r>
          </w:p>
        </w:tc>
      </w:tr>
    </w:tbl>
    <w:p>
      <w:pPr>
        <w:spacing w:after="160"/>
      </w:pPr>
    </w:p>
    <w:p>
      <w:pPr>
        <w:spacing w:after="150" w:line="276"/>
        <w:jc w:val="both"/>
      </w:pPr>
      <w:r>
        <w:t xml:space="preserve">Every engineering decision shall follow a structured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Decision Identified</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Problem Definition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Option Analysis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Risk Assessment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Stakeholder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Architecture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Approval</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Implementation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Validation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Documentation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Periodic Review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significant architectural decision shall bypass this process.</w:t>
            </w:r>
          </w:p>
        </w:tc>
      </w:tr>
    </w:tbl>
    <w:p>
      <w:pPr>
        <w:pStyle w:val="Heading1"/>
        <w:pBdr>
          <w:bottom w:val="single" w:color="C6D2E0" w:sz="4" w:space="4"/>
        </w:pBdr>
        <w:spacing w:after="140" w:before="360"/>
      </w:pPr>
      <w:r>
        <w:rPr>
          <w:b/>
          <w:bCs/>
          <w:color w:val="4A6FA5"/>
          <w:sz w:val="26"/>
          <w:szCs w:val="26"/>
        </w:rPr>
        <w:t xml:space="preserve">22.5  </w:t>
      </w:r>
      <w:r>
        <w:rPr>
          <w:b/>
          <w:bCs/>
          <w:color w:val="1F3864"/>
          <w:sz w:val="26"/>
          <w:szCs w:val="26"/>
        </w:rPr>
        <w:t xml:space="preserve">ADR Template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sections of every ADR.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reader — present or future — a consistent structure to find decision rationale.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Includes options considered, not just the selected option, to preserve the full decision context.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standardized ADR template applied to every recorded decision.</w:t>
            </w:r>
          </w:p>
        </w:tc>
      </w:tr>
    </w:tbl>
    <w:p>
      <w:pPr>
        <w:spacing w:after="160"/>
      </w:pPr>
    </w:p>
    <w:p>
      <w:pPr>
        <w:spacing w:after="150" w:line="276"/>
        <w:jc w:val="both"/>
      </w:pPr>
      <w:r>
        <w:t xml:space="preserve">Every ADR shall contain the following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val="clear"/>
            <w:tcMar>
              <w:top w:type="dxa" w:w="70"/>
              <w:left w:type="dxa" w:w="110"/>
              <w:bottom w:type="dxa" w:w="70"/>
              <w:right w:type="dxa" w:w="110"/>
            </w:tcMar>
            <w:vAlign w:val="top"/>
          </w:tcPr>
          <w:p>
            <w:r>
              <w:rPr>
                <w:b/>
                <w:bCs/>
                <w:color w:val="FFFFFF"/>
                <w:sz w:val="17"/>
                <w:szCs w:val="17"/>
              </w:rPr>
              <w:t xml:space="preserve">Section</w:t>
            </w:r>
          </w:p>
        </w:tc>
        <w:tc>
          <w:tcPr>
            <w:tcW w:type="dxa" w:w="7661"/>
            <w:shd w:fill="1F3864" w:val="clear"/>
            <w:tcMar>
              <w:top w:type="dxa" w:w="70"/>
              <w:left w:type="dxa" w:w="110"/>
              <w:bottom w:type="dxa" w:w="70"/>
              <w:right w:type="dxa" w:w="110"/>
            </w:tcMar>
            <w:vAlign w:val="top"/>
          </w:tcPr>
          <w:p>
            <w:r>
              <w:rPr>
                <w:b/>
                <w:bCs/>
                <w:color w:val="FFFFFF"/>
                <w:sz w:val="17"/>
                <w:szCs w:val="17"/>
              </w:rPr>
              <w:t xml:space="preserve">Content Guidance</w:t>
            </w:r>
          </w:p>
        </w:tc>
      </w:tr>
      <w:tr>
        <w:tc>
          <w:tcPr>
            <w:tcW w:type="dxa" w:w="2419"/>
            <w:tcMar>
              <w:top w:type="dxa" w:w="70"/>
              <w:left w:type="dxa" w:w="110"/>
              <w:bottom w:type="dxa" w:w="70"/>
              <w:right w:type="dxa" w:w="110"/>
            </w:tcMar>
            <w:vAlign w:val="top"/>
          </w:tcPr>
          <w:p>
            <w:r>
              <w:rPr>
                <w:b/>
                <w:bCs/>
                <w:color w:val="1A1A1A"/>
                <w:sz w:val="15"/>
                <w:szCs w:val="15"/>
              </w:rPr>
              <w:t xml:space="preserve">ADR Identifier</w:t>
            </w:r>
          </w:p>
        </w:tc>
        <w:tc>
          <w:tcPr>
            <w:tcW w:type="dxa" w:w="7661"/>
            <w:tcMar>
              <w:top w:type="dxa" w:w="70"/>
              <w:left w:type="dxa" w:w="110"/>
              <w:bottom w:type="dxa" w:w="70"/>
              <w:right w:type="dxa" w:w="110"/>
            </w:tcMar>
            <w:vAlign w:val="top"/>
          </w:tcPr>
          <w:p>
            <w:r>
              <w:rPr>
                <w:b w:val="false"/>
                <w:bCs w:val="false"/>
                <w:color w:val="1A1A1A"/>
                <w:sz w:val="15"/>
                <w:szCs w:val="15"/>
              </w:rPr>
              <w:t xml:space="preserve">A unique reference number, e.g., ADR-001.</w:t>
            </w:r>
          </w:p>
        </w:tc>
      </w:tr>
      <w:tr>
        <w:tc>
          <w:tcPr>
            <w:tcW w:type="dxa" w:w="2419"/>
            <w:tcMar>
              <w:top w:type="dxa" w:w="70"/>
              <w:left w:type="dxa" w:w="110"/>
              <w:bottom w:type="dxa" w:w="70"/>
              <w:right w:type="dxa" w:w="110"/>
            </w:tcMar>
            <w:vAlign w:val="top"/>
          </w:tcPr>
          <w:p>
            <w:r>
              <w:rPr>
                <w:b/>
                <w:bCs/>
                <w:color w:val="1A1A1A"/>
                <w:sz w:val="15"/>
                <w:szCs w:val="15"/>
              </w:rPr>
              <w:t xml:space="preserve">Title</w:t>
            </w:r>
          </w:p>
        </w:tc>
        <w:tc>
          <w:tcPr>
            <w:tcW w:type="dxa" w:w="7661"/>
            <w:tcMar>
              <w:top w:type="dxa" w:w="70"/>
              <w:left w:type="dxa" w:w="110"/>
              <w:bottom w:type="dxa" w:w="70"/>
              <w:right w:type="dxa" w:w="110"/>
            </w:tcMar>
            <w:vAlign w:val="top"/>
          </w:tcPr>
          <w:p>
            <w:r>
              <w:rPr>
                <w:b w:val="false"/>
                <w:bCs w:val="false"/>
                <w:color w:val="1A1A1A"/>
                <w:sz w:val="15"/>
                <w:szCs w:val="15"/>
              </w:rPr>
              <w:t xml:space="preserve">A concise description of the decision, e.g., "Adopt PostgreSQL as the Primary Relational Database."</w:t>
            </w:r>
          </w:p>
        </w:tc>
      </w:tr>
      <w:tr>
        <w:tc>
          <w:tcPr>
            <w:tcW w:type="dxa" w:w="2419"/>
            <w:tcMar>
              <w:top w:type="dxa" w:w="70"/>
              <w:left w:type="dxa" w:w="110"/>
              <w:bottom w:type="dxa" w:w="70"/>
              <w:right w:type="dxa" w:w="110"/>
            </w:tcMar>
            <w:vAlign w:val="top"/>
          </w:tcPr>
          <w:p>
            <w:r>
              <w:rPr>
                <w:b/>
                <w:bCs/>
                <w:color w:val="1A1A1A"/>
                <w:sz w:val="15"/>
                <w:szCs w:val="15"/>
              </w:rPr>
              <w:t xml:space="preserve">Status</w:t>
            </w:r>
          </w:p>
        </w:tc>
        <w:tc>
          <w:tcPr>
            <w:tcW w:type="dxa" w:w="7661"/>
            <w:tcMar>
              <w:top w:type="dxa" w:w="70"/>
              <w:left w:type="dxa" w:w="110"/>
              <w:bottom w:type="dxa" w:w="70"/>
              <w:right w:type="dxa" w:w="110"/>
            </w:tcMar>
            <w:vAlign w:val="top"/>
          </w:tcPr>
          <w:p>
            <w:r>
              <w:rPr>
                <w:b w:val="false"/>
                <w:bCs w:val="false"/>
                <w:color w:val="1A1A1A"/>
                <w:sz w:val="15"/>
                <w:szCs w:val="15"/>
              </w:rPr>
              <w:t xml:space="preserve">Proposed, Under Review, Approved, Implemented, Superseded, Deprecated, or Rejected.</w:t>
            </w:r>
          </w:p>
        </w:tc>
      </w:tr>
      <w:tr>
        <w:tc>
          <w:tcPr>
            <w:tcW w:type="dxa" w:w="2419"/>
            <w:tcMar>
              <w:top w:type="dxa" w:w="70"/>
              <w:left w:type="dxa" w:w="110"/>
              <w:bottom w:type="dxa" w:w="70"/>
              <w:right w:type="dxa" w:w="110"/>
            </w:tcMar>
            <w:vAlign w:val="top"/>
          </w:tcPr>
          <w:p>
            <w:r>
              <w:rPr>
                <w:b/>
                <w:bCs/>
                <w:color w:val="1A1A1A"/>
                <w:sz w:val="15"/>
                <w:szCs w:val="15"/>
              </w:rPr>
              <w:t xml:space="preserve">Date</w:t>
            </w:r>
          </w:p>
        </w:tc>
        <w:tc>
          <w:tcPr>
            <w:tcW w:type="dxa" w:w="7661"/>
            <w:tcMar>
              <w:top w:type="dxa" w:w="70"/>
              <w:left w:type="dxa" w:w="110"/>
              <w:bottom w:type="dxa" w:w="70"/>
              <w:right w:type="dxa" w:w="110"/>
            </w:tcMar>
            <w:vAlign w:val="top"/>
          </w:tcPr>
          <w:p>
            <w:r>
              <w:rPr>
                <w:b w:val="false"/>
                <w:bCs w:val="false"/>
                <w:color w:val="1A1A1A"/>
                <w:sz w:val="15"/>
                <w:szCs w:val="15"/>
              </w:rPr>
              <w:t xml:space="preserve">Decision approval date.</w:t>
            </w:r>
          </w:p>
        </w:tc>
      </w:tr>
      <w:tr>
        <w:tc>
          <w:tcPr>
            <w:tcW w:type="dxa" w:w="2419"/>
            <w:tcMar>
              <w:top w:type="dxa" w:w="70"/>
              <w:left w:type="dxa" w:w="110"/>
              <w:bottom w:type="dxa" w:w="70"/>
              <w:right w:type="dxa" w:w="110"/>
            </w:tcMar>
            <w:vAlign w:val="top"/>
          </w:tcPr>
          <w:p>
            <w:r>
              <w:rPr>
                <w:b/>
                <w:bCs/>
                <w:color w:val="1A1A1A"/>
                <w:sz w:val="15"/>
                <w:szCs w:val="15"/>
              </w:rPr>
              <w:t xml:space="preserve">Authors</w:t>
            </w:r>
          </w:p>
        </w:tc>
        <w:tc>
          <w:tcPr>
            <w:tcW w:type="dxa" w:w="7661"/>
            <w:tcMar>
              <w:top w:type="dxa" w:w="70"/>
              <w:left w:type="dxa" w:w="110"/>
              <w:bottom w:type="dxa" w:w="70"/>
              <w:right w:type="dxa" w:w="110"/>
            </w:tcMar>
            <w:vAlign w:val="top"/>
          </w:tcPr>
          <w:p>
            <w:r>
              <w:rPr>
                <w:b w:val="false"/>
                <w:bCs w:val="false"/>
                <w:color w:val="1A1A1A"/>
                <w:sz w:val="15"/>
                <w:szCs w:val="15"/>
              </w:rPr>
              <w:t xml:space="preserve">Decision owner(s).</w:t>
            </w:r>
          </w:p>
        </w:tc>
      </w:tr>
      <w:tr>
        <w:tc>
          <w:tcPr>
            <w:tcW w:type="dxa" w:w="2419"/>
            <w:tcMar>
              <w:top w:type="dxa" w:w="70"/>
              <w:left w:type="dxa" w:w="110"/>
              <w:bottom w:type="dxa" w:w="70"/>
              <w:right w:type="dxa" w:w="110"/>
            </w:tcMar>
            <w:vAlign w:val="top"/>
          </w:tcPr>
          <w:p>
            <w:r>
              <w:rPr>
                <w:b/>
                <w:bCs/>
                <w:color w:val="1A1A1A"/>
                <w:sz w:val="15"/>
                <w:szCs w:val="15"/>
              </w:rPr>
              <w:t xml:space="preserve">Reviewers</w:t>
            </w:r>
          </w:p>
        </w:tc>
        <w:tc>
          <w:tcPr>
            <w:tcW w:type="dxa" w:w="7661"/>
            <w:tcMar>
              <w:top w:type="dxa" w:w="70"/>
              <w:left w:type="dxa" w:w="110"/>
              <w:bottom w:type="dxa" w:w="70"/>
              <w:right w:type="dxa" w:w="110"/>
            </w:tcMar>
            <w:vAlign w:val="top"/>
          </w:tcPr>
          <w:p>
            <w:r>
              <w:rPr>
                <w:b w:val="false"/>
                <w:bCs w:val="false"/>
                <w:color w:val="1A1A1A"/>
                <w:sz w:val="15"/>
                <w:szCs w:val="15"/>
              </w:rPr>
              <w:t xml:space="preserve">Technical reviewers.</w:t>
            </w:r>
          </w:p>
        </w:tc>
      </w:tr>
      <w:tr>
        <w:tc>
          <w:tcPr>
            <w:tcW w:type="dxa" w:w="2419"/>
            <w:tcMar>
              <w:top w:type="dxa" w:w="70"/>
              <w:left w:type="dxa" w:w="110"/>
              <w:bottom w:type="dxa" w:w="70"/>
              <w:right w:type="dxa" w:w="110"/>
            </w:tcMar>
            <w:vAlign w:val="top"/>
          </w:tcPr>
          <w:p>
            <w:r>
              <w:rPr>
                <w:b/>
                <w:bCs/>
                <w:color w:val="1A1A1A"/>
                <w:sz w:val="15"/>
                <w:szCs w:val="15"/>
              </w:rPr>
              <w:t xml:space="preserve">Approvers</w:t>
            </w:r>
          </w:p>
        </w:tc>
        <w:tc>
          <w:tcPr>
            <w:tcW w:type="dxa" w:w="7661"/>
            <w:tcMar>
              <w:top w:type="dxa" w:w="70"/>
              <w:left w:type="dxa" w:w="110"/>
              <w:bottom w:type="dxa" w:w="70"/>
              <w:right w:type="dxa" w:w="110"/>
            </w:tcMar>
            <w:vAlign w:val="top"/>
          </w:tcPr>
          <w:p>
            <w:r>
              <w:rPr>
                <w:b w:val="false"/>
                <w:bCs w:val="false"/>
                <w:color w:val="1A1A1A"/>
                <w:sz w:val="15"/>
                <w:szCs w:val="15"/>
              </w:rPr>
              <w:t xml:space="preserve">Architecture Board and designated governance authorities.</w:t>
            </w:r>
          </w:p>
        </w:tc>
      </w:tr>
      <w:tr>
        <w:tc>
          <w:tcPr>
            <w:tcW w:type="dxa" w:w="2419"/>
            <w:tcMar>
              <w:top w:type="dxa" w:w="70"/>
              <w:left w:type="dxa" w:w="110"/>
              <w:bottom w:type="dxa" w:w="70"/>
              <w:right w:type="dxa" w:w="110"/>
            </w:tcMar>
            <w:vAlign w:val="top"/>
          </w:tcPr>
          <w:p>
            <w:r>
              <w:rPr>
                <w:b/>
                <w:bCs/>
                <w:color w:val="1A1A1A"/>
                <w:sz w:val="15"/>
                <w:szCs w:val="15"/>
              </w:rPr>
              <w:t xml:space="preserve">Context</w:t>
            </w:r>
          </w:p>
        </w:tc>
        <w:tc>
          <w:tcPr>
            <w:tcW w:type="dxa" w:w="7661"/>
            <w:tcMar>
              <w:top w:type="dxa" w:w="70"/>
              <w:left w:type="dxa" w:w="110"/>
              <w:bottom w:type="dxa" w:w="70"/>
              <w:right w:type="dxa" w:w="110"/>
            </w:tcMar>
            <w:vAlign w:val="top"/>
          </w:tcPr>
          <w:p>
            <w:r>
              <w:rPr>
                <w:b w:val="false"/>
                <w:bCs w:val="false"/>
                <w:color w:val="1A1A1A"/>
                <w:sz w:val="15"/>
                <w:szCs w:val="15"/>
              </w:rPr>
              <w:t xml:space="preserve">Business drivers, technical background, existing constraints, assumptions, and dependencies.</w:t>
            </w:r>
          </w:p>
        </w:tc>
      </w:tr>
      <w:tr>
        <w:tc>
          <w:tcPr>
            <w:tcW w:type="dxa" w:w="2419"/>
            <w:tcMar>
              <w:top w:type="dxa" w:w="70"/>
              <w:left w:type="dxa" w:w="110"/>
              <w:bottom w:type="dxa" w:w="70"/>
              <w:right w:type="dxa" w:w="110"/>
            </w:tcMar>
            <w:vAlign w:val="top"/>
          </w:tcPr>
          <w:p>
            <w:r>
              <w:rPr>
                <w:b/>
                <w:bCs/>
                <w:color w:val="1A1A1A"/>
                <w:sz w:val="15"/>
                <w:szCs w:val="15"/>
              </w:rPr>
              <w:t xml:space="preserve">Problem Statement</w:t>
            </w:r>
          </w:p>
        </w:tc>
        <w:tc>
          <w:tcPr>
            <w:tcW w:type="dxa" w:w="7661"/>
            <w:tcMar>
              <w:top w:type="dxa" w:w="70"/>
              <w:left w:type="dxa" w:w="110"/>
              <w:bottom w:type="dxa" w:w="70"/>
              <w:right w:type="dxa" w:w="110"/>
            </w:tcMar>
            <w:vAlign w:val="top"/>
          </w:tcPr>
          <w:p>
            <w:r>
              <w:rPr>
                <w:b w:val="false"/>
                <w:bCs w:val="false"/>
                <w:color w:val="1A1A1A"/>
                <w:sz w:val="15"/>
                <w:szCs w:val="15"/>
              </w:rPr>
              <w:t xml:space="preserve">A clear definition of the engineering problem that requires a decision.</w:t>
            </w:r>
          </w:p>
        </w:tc>
      </w:tr>
      <w:tr>
        <w:tc>
          <w:tcPr>
            <w:tcW w:type="dxa" w:w="2419"/>
            <w:tcMar>
              <w:top w:type="dxa" w:w="70"/>
              <w:left w:type="dxa" w:w="110"/>
              <w:bottom w:type="dxa" w:w="70"/>
              <w:right w:type="dxa" w:w="110"/>
            </w:tcMar>
            <w:vAlign w:val="top"/>
          </w:tcPr>
          <w:p>
            <w:r>
              <w:rPr>
                <w:b/>
                <w:bCs/>
                <w:color w:val="1A1A1A"/>
                <w:sz w:val="15"/>
                <w:szCs w:val="15"/>
              </w:rPr>
              <w:t xml:space="preserve">Options Considered</w:t>
            </w:r>
          </w:p>
        </w:tc>
        <w:tc>
          <w:tcPr>
            <w:tcW w:type="dxa" w:w="7661"/>
            <w:tcMar>
              <w:top w:type="dxa" w:w="70"/>
              <w:left w:type="dxa" w:w="110"/>
              <w:bottom w:type="dxa" w:w="70"/>
              <w:right w:type="dxa" w:w="110"/>
            </w:tcMar>
            <w:vAlign w:val="top"/>
          </w:tcPr>
          <w:p>
            <w:r>
              <w:rPr>
                <w:b w:val="false"/>
                <w:bCs w:val="false"/>
                <w:color w:val="1A1A1A"/>
                <w:sz w:val="15"/>
                <w:szCs w:val="15"/>
              </w:rPr>
              <w:t xml:space="preserve">For each option: description, advantages, disadvantages, risks, cost implications, and operational impact.</w:t>
            </w:r>
          </w:p>
        </w:tc>
      </w:tr>
      <w:tr>
        <w:tc>
          <w:tcPr>
            <w:tcW w:type="dxa" w:w="2419"/>
            <w:tcMar>
              <w:top w:type="dxa" w:w="70"/>
              <w:left w:type="dxa" w:w="110"/>
              <w:bottom w:type="dxa" w:w="70"/>
              <w:right w:type="dxa" w:w="110"/>
            </w:tcMar>
            <w:vAlign w:val="top"/>
          </w:tcPr>
          <w:p>
            <w:r>
              <w:rPr>
                <w:b/>
                <w:bCs/>
                <w:color w:val="1A1A1A"/>
                <w:sz w:val="15"/>
                <w:szCs w:val="15"/>
              </w:rPr>
              <w:t xml:space="preserve">Decision</w:t>
            </w:r>
          </w:p>
        </w:tc>
        <w:tc>
          <w:tcPr>
            <w:tcW w:type="dxa" w:w="7661"/>
            <w:tcMar>
              <w:top w:type="dxa" w:w="70"/>
              <w:left w:type="dxa" w:w="110"/>
              <w:bottom w:type="dxa" w:w="70"/>
              <w:right w:type="dxa" w:w="110"/>
            </w:tcMar>
            <w:vAlign w:val="top"/>
          </w:tcPr>
          <w:p>
            <w:r>
              <w:rPr>
                <w:b w:val="false"/>
                <w:bCs w:val="false"/>
                <w:color w:val="1A1A1A"/>
                <w:sz w:val="15"/>
                <w:szCs w:val="15"/>
              </w:rPr>
              <w:t xml:space="preserve">The selected option and the reasoning behind the choice.</w:t>
            </w:r>
          </w:p>
        </w:tc>
      </w:tr>
      <w:tr>
        <w:tc>
          <w:tcPr>
            <w:tcW w:type="dxa" w:w="2419"/>
            <w:tcMar>
              <w:top w:type="dxa" w:w="70"/>
              <w:left w:type="dxa" w:w="110"/>
              <w:bottom w:type="dxa" w:w="70"/>
              <w:right w:type="dxa" w:w="110"/>
            </w:tcMar>
            <w:vAlign w:val="top"/>
          </w:tcPr>
          <w:p>
            <w:r>
              <w:rPr>
                <w:b/>
                <w:bCs/>
                <w:color w:val="1A1A1A"/>
                <w:sz w:val="15"/>
                <w:szCs w:val="15"/>
              </w:rPr>
              <w:t xml:space="preserve">Consequences</w:t>
            </w:r>
          </w:p>
        </w:tc>
        <w:tc>
          <w:tcPr>
            <w:tcW w:type="dxa" w:w="7661"/>
            <w:tcMar>
              <w:top w:type="dxa" w:w="70"/>
              <w:left w:type="dxa" w:w="110"/>
              <w:bottom w:type="dxa" w:w="70"/>
              <w:right w:type="dxa" w:w="110"/>
            </w:tcMar>
            <w:vAlign w:val="top"/>
          </w:tcPr>
          <w:p>
            <w:r>
              <w:rPr>
                <w:b w:val="false"/>
                <w:bCs w:val="false"/>
                <w:color w:val="1A1A1A"/>
                <w:sz w:val="15"/>
                <w:szCs w:val="15"/>
              </w:rPr>
              <w:t xml:space="preserve">Positive impacts, negative impacts, trade-offs, and future considerations.</w:t>
            </w:r>
          </w:p>
        </w:tc>
      </w:tr>
      <w:tr>
        <w:tc>
          <w:tcPr>
            <w:tcW w:type="dxa" w:w="2419"/>
            <w:tcMar>
              <w:top w:type="dxa" w:w="70"/>
              <w:left w:type="dxa" w:w="110"/>
              <w:bottom w:type="dxa" w:w="70"/>
              <w:right w:type="dxa" w:w="110"/>
            </w:tcMar>
            <w:vAlign w:val="top"/>
          </w:tcPr>
          <w:p>
            <w:r>
              <w:rPr>
                <w:b/>
                <w:bCs/>
                <w:color w:val="1A1A1A"/>
                <w:sz w:val="15"/>
                <w:szCs w:val="15"/>
              </w:rPr>
              <w:t xml:space="preserve">Implementation Plan</w:t>
            </w:r>
          </w:p>
        </w:tc>
        <w:tc>
          <w:tcPr>
            <w:tcW w:type="dxa" w:w="7661"/>
            <w:tcMar>
              <w:top w:type="dxa" w:w="70"/>
              <w:left w:type="dxa" w:w="110"/>
              <w:bottom w:type="dxa" w:w="70"/>
              <w:right w:type="dxa" w:w="110"/>
            </w:tcMar>
            <w:vAlign w:val="top"/>
          </w:tcPr>
          <w:p>
            <w:r>
              <w:rPr>
                <w:b w:val="false"/>
                <w:bCs w:val="false"/>
                <w:color w:val="1A1A1A"/>
                <w:sz w:val="15"/>
                <w:szCs w:val="15"/>
              </w:rPr>
              <w:t xml:space="preserve">Tasks, milestones, dependencies, success criteria, and rollback approach.</w:t>
            </w:r>
          </w:p>
        </w:tc>
      </w:tr>
      <w:tr>
        <w:tc>
          <w:tcPr>
            <w:tcW w:type="dxa" w:w="2419"/>
            <w:tcMar>
              <w:top w:type="dxa" w:w="70"/>
              <w:left w:type="dxa" w:w="110"/>
              <w:bottom w:type="dxa" w:w="70"/>
              <w:right w:type="dxa" w:w="110"/>
            </w:tcMar>
            <w:vAlign w:val="top"/>
          </w:tcPr>
          <w:p>
            <w:r>
              <w:rPr>
                <w:b/>
                <w:bCs/>
                <w:color w:val="1A1A1A"/>
                <w:sz w:val="15"/>
                <w:szCs w:val="15"/>
              </w:rPr>
              <w:t xml:space="preserve">Related Documents</w:t>
            </w:r>
          </w:p>
        </w:tc>
        <w:tc>
          <w:tcPr>
            <w:tcW w:type="dxa" w:w="7661"/>
            <w:tcMar>
              <w:top w:type="dxa" w:w="70"/>
              <w:left w:type="dxa" w:w="110"/>
              <w:bottom w:type="dxa" w:w="70"/>
              <w:right w:type="dxa" w:w="110"/>
            </w:tcMar>
            <w:vAlign w:val="top"/>
          </w:tcPr>
          <w:p>
            <w:r>
              <w:rPr>
                <w:b w:val="false"/>
                <w:bCs w:val="false"/>
                <w:color w:val="1A1A1A"/>
                <w:sz w:val="15"/>
                <w:szCs w:val="15"/>
              </w:rPr>
              <w:t xml:space="preserve">Links to requirements, architecture diagrams, API specifications, database designs, test cases, the Risk Register, and Change Requests.</w:t>
            </w:r>
          </w:p>
        </w:tc>
      </w:tr>
      <w:tr>
        <w:tc>
          <w:tcPr>
            <w:tcW w:type="dxa" w:w="2419"/>
            <w:tcMar>
              <w:top w:type="dxa" w:w="70"/>
              <w:left w:type="dxa" w:w="110"/>
              <w:bottom w:type="dxa" w:w="70"/>
              <w:right w:type="dxa" w:w="110"/>
            </w:tcMar>
            <w:vAlign w:val="top"/>
          </w:tcPr>
          <w:p>
            <w:r>
              <w:rPr>
                <w:b/>
                <w:bCs/>
                <w:color w:val="1A1A1A"/>
                <w:sz w:val="15"/>
                <w:szCs w:val="15"/>
              </w:rPr>
              <w:t xml:space="preserve">Review Schedule</w:t>
            </w:r>
          </w:p>
        </w:tc>
        <w:tc>
          <w:tcPr>
            <w:tcW w:type="dxa" w:w="7661"/>
            <w:tcMar>
              <w:top w:type="dxa" w:w="70"/>
              <w:left w:type="dxa" w:w="110"/>
              <w:bottom w:type="dxa" w:w="70"/>
              <w:right w:type="dxa" w:w="110"/>
            </w:tcMar>
            <w:vAlign w:val="top"/>
          </w:tcPr>
          <w:p>
            <w:r>
              <w:rPr>
                <w:b w:val="false"/>
                <w:bCs w:val="false"/>
                <w:color w:val="1A1A1A"/>
                <w:sz w:val="15"/>
                <w:szCs w:val="15"/>
              </w:rPr>
              <w:t xml:space="preserve">When the ADR should be re-evaluated.</w:t>
            </w:r>
          </w:p>
        </w:tc>
      </w:tr>
    </w:tbl>
    <w:p>
      <w:pPr>
        <w:pStyle w:val="Heading1"/>
        <w:pBdr>
          <w:bottom w:val="single" w:color="C6D2E0" w:sz="4" w:space="4"/>
        </w:pBdr>
        <w:spacing w:after="140" w:before="360"/>
      </w:pPr>
      <w:r>
        <w:rPr>
          <w:b/>
          <w:bCs/>
          <w:color w:val="4A6FA5"/>
          <w:sz w:val="26"/>
          <w:szCs w:val="26"/>
        </w:rPr>
        <w:t xml:space="preserve">22.6  </w:t>
      </w:r>
      <w:r>
        <w:rPr>
          <w:b/>
          <w:bCs/>
          <w:color w:val="1F3864"/>
          <w:sz w:val="26"/>
          <w:szCs w:val="26"/>
        </w:rPr>
        <w:t xml:space="preserve">Decision Categories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ten categories used to classify engineering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Determines which governance authority must approve a given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Classification directly drives the required approval authority in Section 22.7.</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decision routed to the correct approval authority based on its category.</w:t>
            </w:r>
          </w:p>
        </w:tc>
      </w:tr>
    </w:tbl>
    <w:p>
      <w:pPr>
        <w:spacing w:after="160"/>
      </w:pPr>
    </w:p>
    <w:p>
      <w:pPr>
        <w:spacing w:after="150" w:line="276"/>
        <w:jc w:val="both"/>
      </w:pPr>
      <w:r>
        <w:t xml:space="preserve">Engineering decisions shall be classified as:</w:t>
      </w:r>
    </w:p>
    <w:p>
      <w:pPr>
        <w:pStyle w:val="ListParagraph"/>
        <w:numPr>
          <w:ilvl w:val="0"/>
          <w:numId w:val="1"/>
        </w:numPr>
        <w:spacing w:after="90" w:line="264"/>
      </w:pPr>
      <w:r>
        <w:t xml:space="preserve">Strategic</w:t>
      </w:r>
    </w:p>
    <w:p>
      <w:pPr>
        <w:pStyle w:val="ListParagraph"/>
        <w:numPr>
          <w:ilvl w:val="0"/>
          <w:numId w:val="1"/>
        </w:numPr>
        <w:spacing w:after="90" w:line="264"/>
      </w:pPr>
      <w:r>
        <w:t xml:space="preserve">Architectural</w:t>
      </w:r>
    </w:p>
    <w:p>
      <w:pPr>
        <w:pStyle w:val="ListParagraph"/>
        <w:numPr>
          <w:ilvl w:val="0"/>
          <w:numId w:val="1"/>
        </w:numPr>
        <w:spacing w:after="90" w:line="264"/>
      </w:pPr>
      <w:r>
        <w:t xml:space="preserve">Technical</w:t>
      </w:r>
    </w:p>
    <w:p>
      <w:pPr>
        <w:pStyle w:val="ListParagraph"/>
        <w:numPr>
          <w:ilvl w:val="0"/>
          <w:numId w:val="1"/>
        </w:numPr>
        <w:spacing w:after="90" w:line="264"/>
      </w:pPr>
      <w:r>
        <w:t xml:space="preserve">Security</w:t>
      </w:r>
    </w:p>
    <w:p>
      <w:pPr>
        <w:pStyle w:val="ListParagraph"/>
        <w:numPr>
          <w:ilvl w:val="0"/>
          <w:numId w:val="1"/>
        </w:numPr>
        <w:spacing w:after="90" w:line="264"/>
      </w:pPr>
      <w:r>
        <w:t xml:space="preserve">Infrastructure</w:t>
      </w:r>
    </w:p>
    <w:p>
      <w:pPr>
        <w:pStyle w:val="ListParagraph"/>
        <w:numPr>
          <w:ilvl w:val="0"/>
          <w:numId w:val="1"/>
        </w:numPr>
        <w:spacing w:after="90" w:line="264"/>
      </w:pPr>
      <w:r>
        <w:t xml:space="preserve">Data</w:t>
      </w:r>
    </w:p>
    <w:p>
      <w:pPr>
        <w:pStyle w:val="ListParagraph"/>
        <w:numPr>
          <w:ilvl w:val="0"/>
          <w:numId w:val="1"/>
        </w:numPr>
        <w:spacing w:after="90" w:line="264"/>
      </w:pPr>
      <w:r>
        <w:t xml:space="preserve">AI</w:t>
      </w:r>
    </w:p>
    <w:p>
      <w:pPr>
        <w:pStyle w:val="ListParagraph"/>
        <w:numPr>
          <w:ilvl w:val="0"/>
          <w:numId w:val="1"/>
        </w:numPr>
        <w:spacing w:after="90" w:line="264"/>
      </w:pPr>
      <w:r>
        <w:t xml:space="preserve">Operational</w:t>
      </w:r>
    </w:p>
    <w:p>
      <w:pPr>
        <w:pStyle w:val="ListParagraph"/>
        <w:numPr>
          <w:ilvl w:val="0"/>
          <w:numId w:val="1"/>
        </w:numPr>
        <w:spacing w:after="90" w:line="264"/>
      </w:pPr>
      <w:r>
        <w:t xml:space="preserve">Performance</w:t>
      </w:r>
    </w:p>
    <w:p>
      <w:pPr>
        <w:pStyle w:val="ListParagraph"/>
        <w:numPr>
          <w:ilvl w:val="0"/>
          <w:numId w:val="1"/>
        </w:numPr>
        <w:spacing w:after="90" w:line="264"/>
      </w:pPr>
      <w:r>
        <w:t xml:space="preserve">Compliance</w:t>
      </w:r>
    </w:p>
    <w:p>
      <w:pPr>
        <w:spacing w:after="150" w:line="276"/>
        <w:jc w:val="both"/>
      </w:pPr>
      <w:r>
        <w:t xml:space="preserve">Classification determines the required approval authority.</w:t>
      </w:r>
    </w:p>
    <w:p>
      <w:pPr>
        <w:pStyle w:val="Heading1"/>
        <w:pBdr>
          <w:bottom w:val="single" w:color="C6D2E0" w:sz="4" w:space="4"/>
        </w:pBdr>
        <w:spacing w:after="140" w:before="360"/>
      </w:pPr>
      <w:r>
        <w:rPr>
          <w:b/>
          <w:bCs/>
          <w:color w:val="4A6FA5"/>
          <w:sz w:val="26"/>
          <w:szCs w:val="26"/>
        </w:rPr>
        <w:t xml:space="preserve">22.7  </w:t>
      </w:r>
      <w:r>
        <w:rPr>
          <w:b/>
          <w:bCs/>
          <w:color w:val="1F3864"/>
          <w:sz w:val="26"/>
          <w:szCs w:val="26"/>
        </w:rPr>
        <w:t xml:space="preserve">Decision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roles and bodies responsible for reviewing and approving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decision is reviewed by the discipline most qualified to assess 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Architecture Review Board (ARB) approves strategic architectural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Clear, non-overlapping decision governance across every engineering discipline.</w:t>
            </w:r>
          </w:p>
        </w:tc>
      </w:tr>
    </w:tbl>
    <w:p>
      <w:pPr>
        <w:spacing w:after="160"/>
      </w:pPr>
    </w:p>
    <w:p>
      <w:pPr>
        <w:pStyle w:val="Heading2"/>
        <w:spacing w:after="110" w:before="260"/>
      </w:pPr>
      <w:r>
        <w:rPr>
          <w:b/>
          <w:bCs/>
          <w:color w:val="4A6FA5"/>
          <w:sz w:val="21"/>
          <w:szCs w:val="21"/>
        </w:rPr>
        <w:t xml:space="preserve">22.7.1  </w:t>
      </w:r>
      <w:r>
        <w:rPr>
          <w:b/>
          <w:bCs/>
          <w:color w:val="1F3864"/>
          <w:sz w:val="21"/>
          <w:szCs w:val="21"/>
        </w:rPr>
        <w:t xml:space="preserve">Engineering Team</w:t>
      </w:r>
    </w:p>
    <w:p>
      <w:pPr>
        <w:spacing w:after="150" w:line="276"/>
        <w:jc w:val="both"/>
      </w:pPr>
      <w:r>
        <w:t xml:space="preserve">May propose technical decisions.</w:t>
      </w:r>
    </w:p>
    <w:p>
      <w:pPr>
        <w:pStyle w:val="Heading2"/>
        <w:spacing w:after="110" w:before="260"/>
      </w:pPr>
      <w:r>
        <w:rPr>
          <w:b/>
          <w:bCs/>
          <w:color w:val="4A6FA5"/>
          <w:sz w:val="21"/>
          <w:szCs w:val="21"/>
        </w:rPr>
        <w:t xml:space="preserve">22.7.2  </w:t>
      </w:r>
      <w:r>
        <w:rPr>
          <w:b/>
          <w:bCs/>
          <w:color w:val="1F3864"/>
          <w:sz w:val="21"/>
          <w:szCs w:val="21"/>
        </w:rPr>
        <w:t xml:space="preserve">Solution Architect</w:t>
      </w:r>
    </w:p>
    <w:p>
      <w:pPr>
        <w:spacing w:after="150" w:line="276"/>
        <w:jc w:val="both"/>
      </w:pPr>
      <w:r>
        <w:t xml:space="preserve">Reviews architectural consistency.</w:t>
      </w:r>
    </w:p>
    <w:p>
      <w:pPr>
        <w:pStyle w:val="Heading2"/>
        <w:spacing w:after="110" w:before="260"/>
      </w:pPr>
      <w:r>
        <w:rPr>
          <w:b/>
          <w:bCs/>
          <w:color w:val="4A6FA5"/>
          <w:sz w:val="21"/>
          <w:szCs w:val="21"/>
        </w:rPr>
        <w:t xml:space="preserve">22.7.3  </w:t>
      </w:r>
      <w:r>
        <w:rPr>
          <w:b/>
          <w:bCs/>
          <w:color w:val="1F3864"/>
          <w:sz w:val="21"/>
          <w:szCs w:val="21"/>
        </w:rPr>
        <w:t xml:space="preserve">Security Lead</w:t>
      </w:r>
    </w:p>
    <w:p>
      <w:pPr>
        <w:spacing w:after="150" w:line="276"/>
        <w:jc w:val="both"/>
      </w:pPr>
      <w:r>
        <w:t xml:space="preserve">Reviews security-sensitive decisions.</w:t>
      </w:r>
    </w:p>
    <w:p>
      <w:pPr>
        <w:pStyle w:val="Heading2"/>
        <w:spacing w:after="110" w:before="260"/>
      </w:pPr>
      <w:r>
        <w:rPr>
          <w:b/>
          <w:bCs/>
          <w:color w:val="4A6FA5"/>
          <w:sz w:val="21"/>
          <w:szCs w:val="21"/>
        </w:rPr>
        <w:t xml:space="preserve">22.7.4  </w:t>
      </w:r>
      <w:r>
        <w:rPr>
          <w:b/>
          <w:bCs/>
          <w:color w:val="1F3864"/>
          <w:sz w:val="21"/>
          <w:szCs w:val="21"/>
        </w:rPr>
        <w:t xml:space="preserve">DevSecOps Lead</w:t>
      </w:r>
    </w:p>
    <w:p>
      <w:pPr>
        <w:spacing w:after="150" w:line="276"/>
        <w:jc w:val="both"/>
      </w:pPr>
      <w:r>
        <w:t xml:space="preserve">Reviews infrastructure and deployment decisions.</w:t>
      </w:r>
    </w:p>
    <w:p>
      <w:pPr>
        <w:pStyle w:val="Heading2"/>
        <w:spacing w:after="110" w:before="260"/>
      </w:pPr>
      <w:r>
        <w:rPr>
          <w:b/>
          <w:bCs/>
          <w:color w:val="4A6FA5"/>
          <w:sz w:val="21"/>
          <w:szCs w:val="21"/>
        </w:rPr>
        <w:t xml:space="preserve">22.7.5  </w:t>
      </w:r>
      <w:r>
        <w:rPr>
          <w:b/>
          <w:bCs/>
          <w:color w:val="1F3864"/>
          <w:sz w:val="21"/>
          <w:szCs w:val="21"/>
        </w:rPr>
        <w:t xml:space="preserve">Product Owner</w:t>
      </w:r>
    </w:p>
    <w:p>
      <w:pPr>
        <w:spacing w:after="150" w:line="276"/>
        <w:jc w:val="both"/>
      </w:pPr>
      <w:r>
        <w:t xml:space="preserve">Validates alignment with business objectives.</w:t>
      </w:r>
    </w:p>
    <w:p>
      <w:pPr>
        <w:pStyle w:val="Heading2"/>
        <w:spacing w:after="110" w:before="260"/>
      </w:pPr>
      <w:r>
        <w:rPr>
          <w:b/>
          <w:bCs/>
          <w:color w:val="4A6FA5"/>
          <w:sz w:val="21"/>
          <w:szCs w:val="21"/>
        </w:rPr>
        <w:t xml:space="preserve">22.7.6  </w:t>
      </w:r>
      <w:r>
        <w:rPr>
          <w:b/>
          <w:bCs/>
          <w:color w:val="1F3864"/>
          <w:sz w:val="21"/>
          <w:szCs w:val="21"/>
        </w:rPr>
        <w:t xml:space="preserve">Architecture Review Board (ARB)</w:t>
      </w:r>
    </w:p>
    <w:p>
      <w:pPr>
        <w:spacing w:after="150" w:line="276"/>
        <w:jc w:val="both"/>
      </w:pPr>
      <w:r>
        <w:t xml:space="preserve">Approves strategic architectural decisions. The ARB shall consist of representatives from:</w:t>
      </w:r>
    </w:p>
    <w:p>
      <w:pPr>
        <w:pStyle w:val="ListParagraph"/>
        <w:numPr>
          <w:ilvl w:val="0"/>
          <w:numId w:val="1"/>
        </w:numPr>
        <w:spacing w:after="90" w:line="264"/>
      </w:pPr>
      <w:r>
        <w:t xml:space="preserve">Enterprise Architecture</w:t>
      </w:r>
    </w:p>
    <w:p>
      <w:pPr>
        <w:pStyle w:val="ListParagraph"/>
        <w:numPr>
          <w:ilvl w:val="0"/>
          <w:numId w:val="1"/>
        </w:numPr>
        <w:spacing w:after="90" w:line="264"/>
      </w:pPr>
      <w:r>
        <w:t xml:space="preserve">Solution Architecture</w:t>
      </w:r>
    </w:p>
    <w:p>
      <w:pPr>
        <w:pStyle w:val="ListParagraph"/>
        <w:numPr>
          <w:ilvl w:val="0"/>
          <w:numId w:val="1"/>
        </w:numPr>
        <w:spacing w:after="90" w:line="264"/>
      </w:pPr>
      <w:r>
        <w:t xml:space="preserve">Security</w:t>
      </w:r>
    </w:p>
    <w:p>
      <w:pPr>
        <w:pStyle w:val="ListParagraph"/>
        <w:numPr>
          <w:ilvl w:val="0"/>
          <w:numId w:val="1"/>
        </w:numPr>
        <w:spacing w:after="90" w:line="264"/>
      </w:pPr>
      <w:r>
        <w:t xml:space="preserve">Data Architecture</w:t>
      </w:r>
    </w:p>
    <w:p>
      <w:pPr>
        <w:pStyle w:val="ListParagraph"/>
        <w:numPr>
          <w:ilvl w:val="0"/>
          <w:numId w:val="1"/>
        </w:numPr>
        <w:spacing w:after="90" w:line="264"/>
      </w:pPr>
      <w:r>
        <w:t xml:space="preserve">DevSecOps</w:t>
      </w:r>
    </w:p>
    <w:p>
      <w:pPr>
        <w:pStyle w:val="ListParagraph"/>
        <w:numPr>
          <w:ilvl w:val="0"/>
          <w:numId w:val="1"/>
        </w:numPr>
        <w:spacing w:after="90" w:line="264"/>
      </w:pPr>
      <w:r>
        <w:t xml:space="preserve">Product Management</w:t>
      </w:r>
    </w:p>
    <w:p>
      <w:pPr>
        <w:pStyle w:val="ListParagraph"/>
        <w:numPr>
          <w:ilvl w:val="0"/>
          <w:numId w:val="1"/>
        </w:numPr>
        <w:spacing w:after="90" w:line="264"/>
      </w:pPr>
      <w:r>
        <w:t xml:space="preserve">Programme Management</w:t>
      </w:r>
    </w:p>
    <w:p>
      <w:pPr>
        <w:pStyle w:val="Heading1"/>
        <w:pBdr>
          <w:bottom w:val="single" w:color="C6D2E0" w:sz="4" w:space="4"/>
        </w:pBdr>
        <w:spacing w:after="140" w:before="360"/>
      </w:pPr>
      <w:r>
        <w:rPr>
          <w:b/>
          <w:bCs/>
          <w:color w:val="4A6FA5"/>
          <w:sz w:val="26"/>
          <w:szCs w:val="26"/>
        </w:rPr>
        <w:t xml:space="preserve">22.8  </w:t>
      </w:r>
      <w:r>
        <w:rPr>
          <w:b/>
          <w:bCs/>
          <w:color w:val="1F3864"/>
          <w:sz w:val="26"/>
          <w:szCs w:val="26"/>
        </w:rPr>
        <w:t xml:space="preserve">Decision Evaluation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criteria used to evaluate every proposed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decisions balance business value against technical and operational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High-impact decisions are accompanied by a documented evaluation matrix.</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multi-dimensional evaluation applied to every significant decision.</w:t>
            </w:r>
          </w:p>
        </w:tc>
      </w:tr>
    </w:tbl>
    <w:p>
      <w:pPr>
        <w:spacing w:after="160"/>
      </w:pPr>
    </w:p>
    <w:p>
      <w:pPr>
        <w:spacing w:after="150" w:line="276"/>
        <w:jc w:val="both"/>
      </w:pPr>
      <w:r>
        <w:t xml:space="preserve">Every proposed decision shall be assessed against:</w:t>
      </w:r>
    </w:p>
    <w:p>
      <w:pPr>
        <w:pStyle w:val="ListParagraph"/>
        <w:numPr>
          <w:ilvl w:val="0"/>
          <w:numId w:val="1"/>
        </w:numPr>
        <w:spacing w:after="90" w:line="264"/>
      </w:pPr>
      <w:r>
        <w:t xml:space="preserve">Business value</w:t>
      </w:r>
    </w:p>
    <w:p>
      <w:pPr>
        <w:pStyle w:val="ListParagraph"/>
        <w:numPr>
          <w:ilvl w:val="0"/>
          <w:numId w:val="1"/>
        </w:numPr>
        <w:spacing w:after="90" w:line="264"/>
      </w:pPr>
      <w:r>
        <w:t xml:space="preserve">Strategic alignment</w:t>
      </w:r>
    </w:p>
    <w:p>
      <w:pPr>
        <w:pStyle w:val="ListParagraph"/>
        <w:numPr>
          <w:ilvl w:val="0"/>
          <w:numId w:val="1"/>
        </w:numPr>
        <w:spacing w:after="90" w:line="264"/>
      </w:pPr>
      <w:r>
        <w:t xml:space="preserve">Technical feasibility</w:t>
      </w:r>
    </w:p>
    <w:p>
      <w:pPr>
        <w:pStyle w:val="ListParagraph"/>
        <w:numPr>
          <w:ilvl w:val="0"/>
          <w:numId w:val="1"/>
        </w:numPr>
        <w:spacing w:after="90" w:line="264"/>
      </w:pPr>
      <w:r>
        <w:t xml:space="preserve">Security</w:t>
      </w:r>
    </w:p>
    <w:p>
      <w:pPr>
        <w:pStyle w:val="ListParagraph"/>
        <w:numPr>
          <w:ilvl w:val="0"/>
          <w:numId w:val="1"/>
        </w:numPr>
        <w:spacing w:after="90" w:line="264"/>
      </w:pPr>
      <w:r>
        <w:t xml:space="preserve">Scalability</w:t>
      </w:r>
    </w:p>
    <w:p>
      <w:pPr>
        <w:pStyle w:val="ListParagraph"/>
        <w:numPr>
          <w:ilvl w:val="0"/>
          <w:numId w:val="1"/>
        </w:numPr>
        <w:spacing w:after="90" w:line="264"/>
      </w:pPr>
      <w:r>
        <w:t xml:space="preserve">Maintainability</w:t>
      </w:r>
    </w:p>
    <w:p>
      <w:pPr>
        <w:pStyle w:val="ListParagraph"/>
        <w:numPr>
          <w:ilvl w:val="0"/>
          <w:numId w:val="1"/>
        </w:numPr>
        <w:spacing w:after="90" w:line="264"/>
      </w:pPr>
      <w:r>
        <w:t xml:space="preserve">Performance</w:t>
      </w:r>
    </w:p>
    <w:p>
      <w:pPr>
        <w:pStyle w:val="ListParagraph"/>
        <w:numPr>
          <w:ilvl w:val="0"/>
          <w:numId w:val="1"/>
        </w:numPr>
        <w:spacing w:after="90" w:line="264"/>
      </w:pPr>
      <w:r>
        <w:t xml:space="preserve">Reliability</w:t>
      </w:r>
    </w:p>
    <w:p>
      <w:pPr>
        <w:pStyle w:val="ListParagraph"/>
        <w:numPr>
          <w:ilvl w:val="0"/>
          <w:numId w:val="1"/>
        </w:numPr>
        <w:spacing w:after="90" w:line="264"/>
      </w:pPr>
      <w:r>
        <w:t xml:space="preserve">Cost</w:t>
      </w:r>
    </w:p>
    <w:p>
      <w:pPr>
        <w:pStyle w:val="ListParagraph"/>
        <w:numPr>
          <w:ilvl w:val="0"/>
          <w:numId w:val="1"/>
        </w:numPr>
        <w:spacing w:after="90" w:line="264"/>
      </w:pPr>
      <w:r>
        <w:t xml:space="preserve">Vendor dependency</w:t>
      </w:r>
    </w:p>
    <w:p>
      <w:pPr>
        <w:pStyle w:val="ListParagraph"/>
        <w:numPr>
          <w:ilvl w:val="0"/>
          <w:numId w:val="1"/>
        </w:numPr>
        <w:spacing w:after="90" w:line="264"/>
      </w:pPr>
      <w:r>
        <w:t xml:space="preserve">Skills availability</w:t>
      </w:r>
    </w:p>
    <w:p>
      <w:pPr>
        <w:pStyle w:val="ListParagraph"/>
        <w:numPr>
          <w:ilvl w:val="0"/>
          <w:numId w:val="1"/>
        </w:numPr>
        <w:spacing w:after="90" w:line="264"/>
      </w:pPr>
      <w:r>
        <w:t xml:space="preserve">Compliance</w:t>
      </w:r>
    </w:p>
    <w:p>
      <w:pPr>
        <w:pStyle w:val="ListParagraph"/>
        <w:numPr>
          <w:ilvl w:val="0"/>
          <w:numId w:val="1"/>
        </w:numPr>
        <w:spacing w:after="90" w:line="264"/>
      </w:pPr>
      <w:r>
        <w:t xml:space="preserve">Sustainability</w:t>
      </w:r>
    </w:p>
    <w:p>
      <w:pPr>
        <w:pStyle w:val="ListParagraph"/>
        <w:numPr>
          <w:ilvl w:val="0"/>
          <w:numId w:val="1"/>
        </w:numPr>
        <w:spacing w:after="90" w:line="264"/>
      </w:pPr>
      <w:r>
        <w:t xml:space="preserve">User experience</w:t>
      </w:r>
    </w:p>
    <w:p>
      <w:pPr>
        <w:pStyle w:val="ListParagraph"/>
        <w:numPr>
          <w:ilvl w:val="0"/>
          <w:numId w:val="1"/>
        </w:numPr>
        <w:spacing w:after="90" w:line="264"/>
      </w:pPr>
      <w:r>
        <w:t xml:space="preserve">Operational complexity</w:t>
      </w:r>
    </w:p>
    <w:p>
      <w:pPr>
        <w:spacing w:after="150" w:line="276"/>
        <w:jc w:val="both"/>
      </w:pPr>
      <w:r>
        <w:t xml:space="preserve">A documented evaluation matrix shall accompany high-impact decisions.</w:t>
      </w:r>
    </w:p>
    <w:p>
      <w:pPr>
        <w:pStyle w:val="Heading1"/>
        <w:pBdr>
          <w:bottom w:val="single" w:color="C6D2E0" w:sz="4" w:space="4"/>
        </w:pBdr>
        <w:spacing w:after="140" w:before="360"/>
      </w:pPr>
      <w:r>
        <w:rPr>
          <w:b/>
          <w:bCs/>
          <w:color w:val="4A6FA5"/>
          <w:sz w:val="26"/>
          <w:szCs w:val="26"/>
        </w:rPr>
        <w:t xml:space="preserve">22.9  </w:t>
      </w:r>
      <w:r>
        <w:rPr>
          <w:b/>
          <w:bCs/>
          <w:color w:val="1F3864"/>
          <w:sz w:val="26"/>
          <w:szCs w:val="26"/>
        </w:rPr>
        <w:t xml:space="preserve">ADR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where ADRs are stored and how they are organized.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stakeholder a single, governed place to find every past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Superseded ADRs remain archived for historical reference, never deleted.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searchable, version-controlled, fully audited archive of every ADR ever recorded.</w:t>
            </w:r>
          </w:p>
        </w:tc>
      </w:tr>
    </w:tbl>
    <w:p>
      <w:pPr>
        <w:spacing w:after="160"/>
      </w:pPr>
    </w:p>
    <w:p>
      <w:pPr>
        <w:spacing w:after="150" w:line="276"/>
        <w:jc w:val="both"/>
      </w:pPr>
      <w:r>
        <w:t xml:space="preserve">All approved ADRs shall be maintained in the Central Knowledge Repository (CKR). The repository shall support:</w:t>
      </w:r>
    </w:p>
    <w:p>
      <w:pPr>
        <w:pStyle w:val="ListParagraph"/>
        <w:numPr>
          <w:ilvl w:val="0"/>
          <w:numId w:val="1"/>
        </w:numPr>
        <w:spacing w:after="90" w:line="264"/>
      </w:pPr>
      <w:r>
        <w:t xml:space="preserve">Version history</w:t>
      </w:r>
    </w:p>
    <w:p>
      <w:pPr>
        <w:pStyle w:val="ListParagraph"/>
        <w:numPr>
          <w:ilvl w:val="0"/>
          <w:numId w:val="1"/>
        </w:numPr>
        <w:spacing w:after="90" w:line="264"/>
      </w:pPr>
      <w:r>
        <w:t xml:space="preserve">Search</w:t>
      </w:r>
    </w:p>
    <w:p>
      <w:pPr>
        <w:pStyle w:val="ListParagraph"/>
        <w:numPr>
          <w:ilvl w:val="0"/>
          <w:numId w:val="1"/>
        </w:numPr>
        <w:spacing w:after="90" w:line="264"/>
      </w:pPr>
      <w:r>
        <w:t xml:space="preserve">Metadata</w:t>
      </w:r>
    </w:p>
    <w:p>
      <w:pPr>
        <w:pStyle w:val="ListParagraph"/>
        <w:numPr>
          <w:ilvl w:val="0"/>
          <w:numId w:val="1"/>
        </w:numPr>
        <w:spacing w:after="90" w:line="264"/>
      </w:pPr>
      <w:r>
        <w:t xml:space="preserve">Cross-references</w:t>
      </w:r>
    </w:p>
    <w:p>
      <w:pPr>
        <w:pStyle w:val="ListParagraph"/>
        <w:numPr>
          <w:ilvl w:val="0"/>
          <w:numId w:val="1"/>
        </w:numPr>
        <w:spacing w:after="90" w:line="264"/>
      </w:pPr>
      <w:r>
        <w:t xml:space="preserve">Tags</w:t>
      </w:r>
    </w:p>
    <w:p>
      <w:pPr>
        <w:pStyle w:val="ListParagraph"/>
        <w:numPr>
          <w:ilvl w:val="0"/>
          <w:numId w:val="1"/>
        </w:numPr>
        <w:spacing w:after="90" w:line="264"/>
      </w:pPr>
      <w:r>
        <w:t xml:space="preserve">Decision status</w:t>
      </w:r>
    </w:p>
    <w:p>
      <w:pPr>
        <w:pStyle w:val="ListParagraph"/>
        <w:numPr>
          <w:ilvl w:val="0"/>
          <w:numId w:val="1"/>
        </w:numPr>
        <w:spacing w:after="90" w:line="264"/>
      </w:pPr>
      <w:r>
        <w:t xml:space="preserve">Ownership</w:t>
      </w:r>
    </w:p>
    <w:p>
      <w:pPr>
        <w:pStyle w:val="ListParagraph"/>
        <w:numPr>
          <w:ilvl w:val="0"/>
          <w:numId w:val="1"/>
        </w:numPr>
        <w:spacing w:after="90" w:line="264"/>
      </w:pPr>
      <w:r>
        <w:t xml:space="preserve">Approval records</w:t>
      </w:r>
    </w:p>
    <w:p>
      <w:pPr>
        <w:pStyle w:val="ListParagraph"/>
        <w:numPr>
          <w:ilvl w:val="0"/>
          <w:numId w:val="1"/>
        </w:numPr>
        <w:spacing w:after="90" w:line="264"/>
      </w:pPr>
      <w:r>
        <w:t xml:space="preserve">Audit trail</w:t>
      </w:r>
    </w:p>
    <w:p>
      <w:pPr>
        <w:spacing w:after="150" w:line="276"/>
        <w:jc w:val="both"/>
      </w:pPr>
      <w:r>
        <w:t xml:space="preserve">Superseded ADRs shall remain archived for historical reference.</w:t>
      </w:r>
    </w:p>
    <w:p>
      <w:pPr>
        <w:pStyle w:val="Heading1"/>
        <w:pBdr>
          <w:bottom w:val="single" w:color="C6D2E0" w:sz="4" w:space="4"/>
        </w:pBdr>
        <w:spacing w:after="140" w:before="360"/>
      </w:pPr>
      <w:r>
        <w:rPr>
          <w:b/>
          <w:bCs/>
          <w:color w:val="4A6FA5"/>
          <w:sz w:val="26"/>
          <w:szCs w:val="26"/>
        </w:rPr>
        <w:t xml:space="preserve">22.10  </w:t>
      </w:r>
      <w:r>
        <w:rPr>
          <w:b/>
          <w:bCs/>
          <w:color w:val="1F3864"/>
          <w:sz w:val="26"/>
          <w:szCs w:val="26"/>
        </w:rPr>
        <w:t xml:space="preserve">Decision Traceability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ADR must be linked to.</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anyone to trace from a line of code back to the business requirement and decision that justified 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Links span from the PDD and Enterprise Architecture through deployment records and runbooks.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Complete end-to-end traceability from business requirement to operational runbook.</w:t>
            </w:r>
          </w:p>
        </w:tc>
      </w:tr>
    </w:tbl>
    <w:p>
      <w:pPr>
        <w:spacing w:after="160"/>
      </w:pPr>
    </w:p>
    <w:p>
      <w:pPr>
        <w:spacing w:after="150" w:line="276"/>
        <w:jc w:val="both"/>
      </w:pPr>
      <w:r>
        <w:t xml:space="preserve">Each ADR shall be linked to:</w:t>
      </w:r>
    </w:p>
    <w:p>
      <w:pPr>
        <w:pStyle w:val="ListParagraph"/>
        <w:numPr>
          <w:ilvl w:val="0"/>
          <w:numId w:val="1"/>
        </w:numPr>
        <w:spacing w:after="90" w:line="264"/>
      </w:pPr>
      <w:r>
        <w:t xml:space="preserve">Business Requirements</w:t>
      </w:r>
    </w:p>
    <w:p>
      <w:pPr>
        <w:pStyle w:val="ListParagraph"/>
        <w:numPr>
          <w:ilvl w:val="0"/>
          <w:numId w:val="1"/>
        </w:numPr>
        <w:spacing w:after="90" w:line="264"/>
      </w:pPr>
      <w:r>
        <w:t xml:space="preserve">Product Definition Document (PDD)</w:t>
      </w:r>
    </w:p>
    <w:p>
      <w:pPr>
        <w:pStyle w:val="ListParagraph"/>
        <w:numPr>
          <w:ilvl w:val="0"/>
          <w:numId w:val="1"/>
        </w:numPr>
        <w:spacing w:after="90" w:line="264"/>
      </w:pPr>
      <w:r>
        <w:t xml:space="preserve">Enterprise Architecture</w:t>
      </w:r>
    </w:p>
    <w:p>
      <w:pPr>
        <w:pStyle w:val="ListParagraph"/>
        <w:numPr>
          <w:ilvl w:val="0"/>
          <w:numId w:val="1"/>
        </w:numPr>
        <w:spacing w:after="90" w:line="264"/>
      </w:pPr>
      <w:r>
        <w:t xml:space="preserve">Solution Architecture</w:t>
      </w:r>
    </w:p>
    <w:p>
      <w:pPr>
        <w:pStyle w:val="ListParagraph"/>
        <w:numPr>
          <w:ilvl w:val="0"/>
          <w:numId w:val="1"/>
        </w:numPr>
        <w:spacing w:after="90" w:line="264"/>
      </w:pPr>
      <w:r>
        <w:t xml:space="preserve">User Stories</w:t>
      </w:r>
    </w:p>
    <w:p>
      <w:pPr>
        <w:pStyle w:val="ListParagraph"/>
        <w:numPr>
          <w:ilvl w:val="0"/>
          <w:numId w:val="1"/>
        </w:numPr>
        <w:spacing w:after="90" w:line="264"/>
      </w:pPr>
      <w:r>
        <w:t xml:space="preserve">Source Code</w:t>
      </w:r>
    </w:p>
    <w:p>
      <w:pPr>
        <w:pStyle w:val="ListParagraph"/>
        <w:numPr>
          <w:ilvl w:val="0"/>
          <w:numId w:val="1"/>
        </w:numPr>
        <w:spacing w:after="90" w:line="264"/>
      </w:pPr>
      <w:r>
        <w:t xml:space="preserve">Pull Requests</w:t>
      </w:r>
    </w:p>
    <w:p>
      <w:pPr>
        <w:pStyle w:val="ListParagraph"/>
        <w:numPr>
          <w:ilvl w:val="0"/>
          <w:numId w:val="1"/>
        </w:numPr>
        <w:spacing w:after="90" w:line="264"/>
      </w:pPr>
      <w:r>
        <w:t xml:space="preserve">Test Cases</w:t>
      </w:r>
    </w:p>
    <w:p>
      <w:pPr>
        <w:pStyle w:val="ListParagraph"/>
        <w:numPr>
          <w:ilvl w:val="0"/>
          <w:numId w:val="1"/>
        </w:numPr>
        <w:spacing w:after="90" w:line="264"/>
      </w:pPr>
      <w:r>
        <w:t xml:space="preserve">Deployment Records</w:t>
      </w:r>
    </w:p>
    <w:p>
      <w:pPr>
        <w:pStyle w:val="ListParagraph"/>
        <w:numPr>
          <w:ilvl w:val="0"/>
          <w:numId w:val="1"/>
        </w:numPr>
        <w:spacing w:after="90" w:line="264"/>
      </w:pPr>
      <w:r>
        <w:t xml:space="preserve">Risk Register</w:t>
      </w:r>
    </w:p>
    <w:p>
      <w:pPr>
        <w:pStyle w:val="ListParagraph"/>
        <w:numPr>
          <w:ilvl w:val="0"/>
          <w:numId w:val="1"/>
        </w:numPr>
        <w:spacing w:after="90" w:line="264"/>
      </w:pPr>
      <w:r>
        <w:t xml:space="preserve">Change Requests</w:t>
      </w:r>
    </w:p>
    <w:p>
      <w:pPr>
        <w:pStyle w:val="ListParagraph"/>
        <w:numPr>
          <w:ilvl w:val="0"/>
          <w:numId w:val="1"/>
        </w:numPr>
        <w:spacing w:after="90" w:line="264"/>
      </w:pPr>
      <w:r>
        <w:t xml:space="preserve">Operational Runbooks</w:t>
      </w:r>
    </w:p>
    <w:p>
      <w:pPr>
        <w:spacing w:after="150" w:line="276"/>
        <w:jc w:val="both"/>
      </w:pPr>
      <w:r>
        <w:t xml:space="preserve">This ensures complete end-to-end traceability.</w:t>
      </w:r>
    </w:p>
    <w:p>
      <w:pPr>
        <w:pStyle w:val="Heading1"/>
        <w:pBdr>
          <w:bottom w:val="single" w:color="C6D2E0" w:sz="4" w:space="4"/>
        </w:pBdr>
        <w:spacing w:after="140" w:before="360"/>
      </w:pPr>
      <w:r>
        <w:rPr>
          <w:b/>
          <w:bCs/>
          <w:color w:val="4A6FA5"/>
          <w:sz w:val="26"/>
          <w:szCs w:val="26"/>
        </w:rPr>
        <w:t xml:space="preserve">22.11  </w:t>
      </w:r>
      <w:r>
        <w:rPr>
          <w:b/>
          <w:bCs/>
          <w:color w:val="1F3864"/>
          <w:sz w:val="26"/>
          <w:szCs w:val="26"/>
        </w:rPr>
        <w:t xml:space="preserve">Decision Review</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when approved ADRs are reviewed.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outdated decisions from silently governing current engineering practice.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Changes result in either an updated ADR or a new ADR that supersedes the previous 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ADRs that remain current with the platform's evolving technology and regulatory context.</w:t>
            </w:r>
          </w:p>
        </w:tc>
      </w:tr>
    </w:tbl>
    <w:p>
      <w:pPr>
        <w:spacing w:after="160"/>
      </w:pPr>
    </w:p>
    <w:p>
      <w:pPr>
        <w:spacing w:after="150" w:line="276"/>
        <w:jc w:val="both"/>
      </w:pPr>
      <w:r>
        <w:t xml:space="preserve">Approved ADRs shall be reviewed:</w:t>
      </w:r>
    </w:p>
    <w:p>
      <w:pPr>
        <w:pStyle w:val="ListParagraph"/>
        <w:numPr>
          <w:ilvl w:val="0"/>
          <w:numId w:val="1"/>
        </w:numPr>
        <w:spacing w:after="90" w:line="264"/>
      </w:pPr>
      <w:r>
        <w:t xml:space="preserve">Annually.</w:t>
      </w:r>
    </w:p>
    <w:p>
      <w:pPr>
        <w:pStyle w:val="ListParagraph"/>
        <w:numPr>
          <w:ilvl w:val="0"/>
          <w:numId w:val="1"/>
        </w:numPr>
        <w:spacing w:after="90" w:line="264"/>
      </w:pPr>
      <w:r>
        <w:t xml:space="preserve">Before major releases.</w:t>
      </w:r>
    </w:p>
    <w:p>
      <w:pPr>
        <w:pStyle w:val="ListParagraph"/>
        <w:numPr>
          <w:ilvl w:val="0"/>
          <w:numId w:val="1"/>
        </w:numPr>
        <w:spacing w:after="90" w:line="264"/>
      </w:pPr>
      <w:r>
        <w:t xml:space="preserve">Following significant architectural changes.</w:t>
      </w:r>
    </w:p>
    <w:p>
      <w:pPr>
        <w:pStyle w:val="ListParagraph"/>
        <w:numPr>
          <w:ilvl w:val="0"/>
          <w:numId w:val="1"/>
        </w:numPr>
        <w:spacing w:after="90" w:line="264"/>
      </w:pPr>
      <w:r>
        <w:t xml:space="preserve">Following major incidents.</w:t>
      </w:r>
    </w:p>
    <w:p>
      <w:pPr>
        <w:pStyle w:val="ListParagraph"/>
        <w:numPr>
          <w:ilvl w:val="0"/>
          <w:numId w:val="1"/>
        </w:numPr>
        <w:spacing w:after="90" w:line="264"/>
      </w:pPr>
      <w:r>
        <w:t xml:space="preserve">When new technologies or regulations materially affect the original assumptions.</w:t>
      </w:r>
    </w:p>
    <w:p>
      <w:pPr>
        <w:spacing w:after="150" w:line="276"/>
        <w:jc w:val="both"/>
      </w:pPr>
      <w:r>
        <w:t xml:space="preserve">Changes shall result in either an updated ADR or a new ADR that supersedes the previous one.</w:t>
      </w:r>
    </w:p>
    <w:p>
      <w:pPr>
        <w:pStyle w:val="Heading1"/>
        <w:pBdr>
          <w:bottom w:val="single" w:color="C6D2E0" w:sz="4" w:space="4"/>
        </w:pBdr>
        <w:spacing w:after="140" w:before="360"/>
      </w:pPr>
      <w:r>
        <w:rPr>
          <w:b/>
          <w:bCs/>
          <w:color w:val="4A6FA5"/>
          <w:sz w:val="26"/>
          <w:szCs w:val="26"/>
        </w:rPr>
        <w:t xml:space="preserve">22.12  </w:t>
      </w:r>
      <w:r>
        <w:rPr>
          <w:b/>
          <w:bCs/>
          <w:color w:val="1F3864"/>
          <w:sz w:val="26"/>
          <w:szCs w:val="26"/>
        </w:rPr>
        <w:t xml:space="preserve">Antigravity ADR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detects and documents engineering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AI-driven decisions are captured with the same rigor as human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flags decisions requiring Architecture Review Board or Security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significant AI-proposed decision automatically documented as an ADR.</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Detect engineering decisions that require formal documentation.</w:t>
      </w:r>
    </w:p>
    <w:p>
      <w:pPr>
        <w:spacing w:after="90" w:line="264"/>
      </w:pPr>
      <w:r>
        <w:rPr>
          <w:b/>
          <w:bCs/>
          <w:color w:val="1F3864"/>
        </w:rPr>
        <w:t xml:space="preserve">2. </w:t>
      </w:r>
      <w:r>
        <w:t xml:space="preserve">Automatically generate ADRs using the approved template.</w:t>
      </w:r>
    </w:p>
    <w:p>
      <w:pPr>
        <w:spacing w:after="90" w:line="264"/>
      </w:pPr>
      <w:r>
        <w:rPr>
          <w:b/>
          <w:bCs/>
          <w:color w:val="1F3864"/>
        </w:rPr>
        <w:t xml:space="preserve">3. </w:t>
      </w:r>
      <w:r>
        <w:t xml:space="preserve">Compare multiple solution options with objective evaluation criteria.</w:t>
      </w:r>
    </w:p>
    <w:p>
      <w:pPr>
        <w:spacing w:after="90" w:line="264"/>
      </w:pPr>
      <w:r>
        <w:rPr>
          <w:b/>
          <w:bCs/>
          <w:color w:val="1F3864"/>
        </w:rPr>
        <w:t xml:space="preserve">4. </w:t>
      </w:r>
      <w:r>
        <w:t xml:space="preserve">Highlight assumptions, risks, dependencies, and trade-offs.</w:t>
      </w:r>
    </w:p>
    <w:p>
      <w:pPr>
        <w:spacing w:after="90" w:line="264"/>
      </w:pPr>
      <w:r>
        <w:rPr>
          <w:b/>
          <w:bCs/>
          <w:color w:val="1F3864"/>
        </w:rPr>
        <w:t xml:space="preserve">5. </w:t>
      </w:r>
      <w:r>
        <w:t xml:space="preserve">Link each ADR to related requirements, architecture artifacts, implementation tasks, tests, and deployment records.</w:t>
      </w:r>
    </w:p>
    <w:p>
      <w:pPr>
        <w:spacing w:after="90" w:line="264"/>
      </w:pPr>
      <w:r>
        <w:rPr>
          <w:b/>
          <w:bCs/>
          <w:color w:val="1F3864"/>
        </w:rPr>
        <w:t xml:space="preserve">6. </w:t>
      </w:r>
      <w:r>
        <w:t xml:space="preserve">Recommend appropriate reviewers and approval authorities.</w:t>
      </w:r>
    </w:p>
    <w:p>
      <w:pPr>
        <w:spacing w:after="90" w:line="264"/>
      </w:pPr>
      <w:r>
        <w:rPr>
          <w:b/>
          <w:bCs/>
          <w:color w:val="1F3864"/>
        </w:rPr>
        <w:t xml:space="preserve">7. </w:t>
      </w:r>
      <w:r>
        <w:t xml:space="preserve">Flag decisions that require Architecture Review Board or Security approval.</w:t>
      </w:r>
    </w:p>
    <w:p>
      <w:pPr>
        <w:spacing w:after="90" w:line="264"/>
      </w:pPr>
      <w:r>
        <w:rPr>
          <w:b/>
          <w:bCs/>
          <w:color w:val="1F3864"/>
        </w:rPr>
        <w:t xml:space="preserve">8. </w:t>
      </w:r>
      <w:r>
        <w:t xml:space="preserve">Maintain a structured ADR index and update it as new decisions are made.</w:t>
      </w:r>
    </w:p>
    <w:p>
      <w:pPr>
        <w:pStyle w:val="Heading1"/>
        <w:pBdr>
          <w:bottom w:val="single" w:color="C6D2E0" w:sz="4" w:space="4"/>
        </w:pBdr>
        <w:spacing w:after="140" w:before="360"/>
      </w:pPr>
      <w:r>
        <w:rPr>
          <w:b/>
          <w:bCs/>
          <w:color w:val="4A6FA5"/>
          <w:sz w:val="26"/>
          <w:szCs w:val="26"/>
        </w:rPr>
        <w:t xml:space="preserve">22.13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Engineering Decision Management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decision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Central Knowledge Repository is the authoritative source for all engineering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durable knowledge base explaining every significant technical choice on the programme.</w:t>
            </w:r>
          </w:p>
        </w:tc>
      </w:tr>
    </w:tbl>
    <w:p>
      <w:pPr>
        <w:spacing w:after="160"/>
      </w:pPr>
    </w:p>
    <w:p>
      <w:pPr>
        <w:spacing w:after="150" w:line="276"/>
        <w:jc w:val="both"/>
      </w:pPr>
      <w:r>
        <w:t xml:space="preserve">The Engineering Decision Management process will be considered successful when:</w:t>
      </w:r>
    </w:p>
    <w:p>
      <w:pPr>
        <w:pStyle w:val="ListParagraph"/>
        <w:numPr>
          <w:ilvl w:val="0"/>
          <w:numId w:val="1"/>
        </w:numPr>
        <w:spacing w:after="90" w:line="264"/>
      </w:pPr>
      <w:r>
        <w:t xml:space="preserve">All significant engineering and architectural decisions are documented, approved, and traceable.</w:t>
      </w:r>
    </w:p>
    <w:p>
      <w:pPr>
        <w:pStyle w:val="ListParagraph"/>
        <w:numPr>
          <w:ilvl w:val="0"/>
          <w:numId w:val="1"/>
        </w:numPr>
        <w:spacing w:after="90" w:line="264"/>
      </w:pPr>
      <w:r>
        <w:t xml:space="preserve">Decision rationale remains accessible throughout the project lifecycle.</w:t>
      </w:r>
    </w:p>
    <w:p>
      <w:pPr>
        <w:pStyle w:val="ListParagraph"/>
        <w:numPr>
          <w:ilvl w:val="0"/>
          <w:numId w:val="1"/>
        </w:numPr>
        <w:spacing w:after="90" w:line="264"/>
      </w:pPr>
      <w:r>
        <w:t xml:space="preserve">Future engineering teams can understand the context, alternatives, and trade-offs behind previous decisions.</w:t>
      </w:r>
    </w:p>
    <w:p>
      <w:pPr>
        <w:pStyle w:val="ListParagraph"/>
        <w:numPr>
          <w:ilvl w:val="0"/>
          <w:numId w:val="1"/>
        </w:numPr>
        <w:spacing w:after="90" w:line="264"/>
      </w:pPr>
      <w:r>
        <w:t xml:space="preserve">Governance bodies have clear visibility into strategic technical choices.</w:t>
      </w:r>
    </w:p>
    <w:p>
      <w:pPr>
        <w:pStyle w:val="ListParagraph"/>
        <w:numPr>
          <w:ilvl w:val="0"/>
          <w:numId w:val="1"/>
        </w:numPr>
        <w:spacing w:after="90" w:line="264"/>
      </w:pPr>
      <w:r>
        <w:t xml:space="preserve">Decision records reduce rework, improve consistency, and support informed evolution of the platform.</w:t>
      </w:r>
    </w:p>
    <w:p>
      <w:pPr>
        <w:pStyle w:val="ListParagraph"/>
        <w:numPr>
          <w:ilvl w:val="0"/>
          <w:numId w:val="1"/>
        </w:numPr>
        <w:spacing w:after="90" w:line="264"/>
      </w:pPr>
      <w:r>
        <w:t xml:space="preserve">The Central Knowledge Repository serves as the authoritative source for all engineering decisions.</w:t>
      </w:r>
    </w:p>
    <w:p>
      <w:pPr>
        <w:pStyle w:val="Heading1"/>
        <w:pBdr>
          <w:bottom w:val="single" w:color="C6D2E0" w:sz="4" w:space="4"/>
        </w:pBdr>
        <w:spacing w:after="140" w:before="360"/>
      </w:pPr>
      <w:r>
        <w:rPr>
          <w:b/>
          <w:bCs/>
          <w:color w:val="4A6FA5"/>
          <w:sz w:val="26"/>
          <w:szCs w:val="26"/>
        </w:rPr>
        <w:t xml:space="preserve">22.14  </w:t>
      </w:r>
      <w:r>
        <w:rPr>
          <w:b/>
          <w:bCs/>
          <w:color w:val="1F3864"/>
          <w:sz w:val="26"/>
          <w:szCs w:val="26"/>
        </w:rPr>
        <w:t xml:space="preserve">Enterprise Decision Management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Engineering decisions represent the institutional knowledge that shapes the long-term evolution of the SAPZ ESM and CKR platforms. By formally recording architectural choices, technology selections, trade-offs, and governance approvals through Architecture Decision Records, the programme ensures transparency, accountability, and continuity across changing teams and project phases. This disciplined approach strengthens enterprise architecture governance, supports auditability, and provides a durable knowledge base that enables future enhancements while preserving the strategic intent behind every significant technical decision.</w:t>
            </w:r>
          </w:p>
        </w:tc>
      </w:tr>
    </w:tbl>
    <w:p>
      <w:pPr>
        <w:pStyle w:val="Heading1"/>
        <w:pBdr>
          <w:bottom w:val="single" w:color="C6D2E0" w:sz="4" w:space="4"/>
        </w:pBdr>
        <w:spacing w:after="140" w:before="360"/>
      </w:pPr>
      <w:r>
        <w:rPr>
          <w:b/>
          <w:bCs/>
          <w:color w:val="4A6FA5"/>
          <w:sz w:val="26"/>
          <w:szCs w:val="26"/>
        </w:rPr>
        <w:t xml:space="preserve">22.15  </w:t>
      </w:r>
      <w:r>
        <w:rPr>
          <w:b/>
          <w:bCs/>
          <w:color w:val="1F3864"/>
          <w:sz w:val="26"/>
          <w:szCs w:val="26"/>
        </w:rPr>
        <w:t xml:space="preserve">Chapter Summary</w:t>
      </w:r>
    </w:p>
    <w:p>
      <w:pPr>
        <w:spacing w:after="150" w:line="276"/>
        <w:jc w:val="both"/>
      </w:pPr>
      <w:r>
        <w:t xml:space="preserve">This chapter established the Enterprise Engineering Decision Management Standard: six Guiding Principles, the categories of decision that require an ADR, the eleven-stage Decision Lifecycle, the standard ADR Template, Decision Categories and Decision Governance, decision evaluation criteria, the ADR Repository, decision traceability, decision review cadence, and the Antigravity ADR Instructions.</w:t>
      </w:r>
    </w:p>
    <w:p>
      <w:pPr>
        <w:pStyle w:val="Heading2"/>
        <w:spacing w:after="110" w:before="260"/>
      </w:pPr>
      <w:r>
        <w:rPr>
          <w:b/>
          <w:bCs/>
          <w:color w:val="4A6FA5"/>
          <w:sz w:val="21"/>
          <w:szCs w:val="21"/>
        </w:rPr>
        <w:t xml:space="preserve">22.15.1  </w:t>
      </w:r>
      <w:r>
        <w:rPr>
          <w:b/>
          <w:bCs/>
          <w:color w:val="1F3864"/>
          <w:sz w:val="21"/>
          <w:szCs w:val="21"/>
        </w:rPr>
        <w:t xml:space="preserve">Key Engineering Principles</w:t>
      </w:r>
    </w:p>
    <w:p>
      <w:pPr>
        <w:pStyle w:val="ListParagraph"/>
        <w:numPr>
          <w:ilvl w:val="0"/>
          <w:numId w:val="1"/>
        </w:numPr>
        <w:spacing w:after="90" w:line="264"/>
      </w:pPr>
      <w:r>
        <w:t xml:space="preserve">Every strategic engineering decision is documented through an ADR maintained in the CKR (Section 22.1).</w:t>
      </w:r>
    </w:p>
    <w:p>
      <w:pPr>
        <w:pStyle w:val="ListParagraph"/>
        <w:numPr>
          <w:ilvl w:val="0"/>
          <w:numId w:val="1"/>
        </w:numPr>
        <w:spacing w:after="90" w:line="264"/>
      </w:pPr>
      <w:r>
        <w:t xml:space="preserve">No significant architectural decision bypasses the eleven-stage Decision Lifecycle (Section 22.4).</w:t>
      </w:r>
    </w:p>
    <w:p>
      <w:pPr>
        <w:pStyle w:val="ListParagraph"/>
        <w:numPr>
          <w:ilvl w:val="0"/>
          <w:numId w:val="1"/>
        </w:numPr>
        <w:spacing w:after="90" w:line="264"/>
      </w:pPr>
      <w:r>
        <w:t xml:space="preserve">The Architecture Review Board (ARB) approves strategic architectural decisions (Section 22.7.6).</w:t>
      </w:r>
    </w:p>
    <w:p>
      <w:pPr>
        <w:pStyle w:val="ListParagraph"/>
        <w:numPr>
          <w:ilvl w:val="0"/>
          <w:numId w:val="1"/>
        </w:numPr>
        <w:spacing w:after="90" w:line="264"/>
      </w:pPr>
      <w:r>
        <w:t xml:space="preserve">Superseded ADRs remain archived, never deleted, for historical reference (Section 22.9).</w:t>
      </w:r>
    </w:p>
    <w:p>
      <w:pPr>
        <w:pStyle w:val="Heading2"/>
        <w:spacing w:after="110" w:before="260"/>
      </w:pPr>
      <w:r>
        <w:rPr>
          <w:b/>
          <w:bCs/>
          <w:color w:val="4A6FA5"/>
          <w:sz w:val="21"/>
          <w:szCs w:val="21"/>
        </w:rPr>
        <w:t xml:space="preserve">22.15.2  </w:t>
      </w:r>
      <w:r>
        <w:rPr>
          <w:b/>
          <w:bCs/>
          <w:color w:val="1F3864"/>
          <w:sz w:val="21"/>
          <w:szCs w:val="21"/>
        </w:rPr>
        <w:t xml:space="preserve">Implementation Checklist</w:t>
      </w:r>
    </w:p>
    <w:p>
      <w:pPr>
        <w:pStyle w:val="ListParagraph"/>
        <w:numPr>
          <w:ilvl w:val="0"/>
          <w:numId w:val="1"/>
        </w:numPr>
        <w:spacing w:after="90" w:line="264"/>
      </w:pPr>
      <w:r>
        <w:t xml:space="preserve">☐ Confirm every ADR follows the standard template (Section 22.5) with all fifteen sections completed.</w:t>
      </w:r>
    </w:p>
    <w:p>
      <w:pPr>
        <w:pStyle w:val="ListParagraph"/>
        <w:numPr>
          <w:ilvl w:val="0"/>
          <w:numId w:val="1"/>
        </w:numPr>
        <w:spacing w:after="90" w:line="264"/>
      </w:pPr>
      <w:r>
        <w:t xml:space="preserve">☐ Confirm ADR classification (Section 22.6) correctly routes each decision to its approval authority.</w:t>
      </w:r>
    </w:p>
    <w:p>
      <w:pPr>
        <w:pStyle w:val="ListParagraph"/>
        <w:numPr>
          <w:ilvl w:val="0"/>
          <w:numId w:val="1"/>
        </w:numPr>
        <w:spacing w:after="90" w:line="264"/>
      </w:pPr>
      <w:r>
        <w:t xml:space="preserve">☐ Confirm ADRs are linked to source code, Pull Requests, and test cases for full traceability (Section 22.10).</w:t>
      </w:r>
    </w:p>
    <w:p>
      <w:pPr>
        <w:pStyle w:val="ListParagraph"/>
        <w:numPr>
          <w:ilvl w:val="0"/>
          <w:numId w:val="1"/>
        </w:numPr>
        <w:spacing w:after="90" w:line="264"/>
      </w:pPr>
      <w:r>
        <w:t xml:space="preserve">☐ Confirm ADRs are reviewed on the defined cadence (Section 22.11), not left static indefinitely.</w:t>
      </w:r>
    </w:p>
    <w:p>
      <w:pPr>
        <w:pStyle w:val="Heading2"/>
        <w:spacing w:after="110" w:before="260"/>
      </w:pPr>
      <w:r>
        <w:rPr>
          <w:b/>
          <w:bCs/>
          <w:color w:val="4A6FA5"/>
          <w:sz w:val="21"/>
          <w:szCs w:val="21"/>
        </w:rPr>
        <w:t xml:space="preserve">22.15.3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13 — AI and Knowledge Management Standards</w:t>
      </w:r>
    </w:p>
    <w:p>
      <w:pPr>
        <w:pStyle w:val="ListParagraph"/>
        <w:numPr>
          <w:ilvl w:val="0"/>
          <w:numId w:val="1"/>
        </w:numPr>
        <w:spacing w:after="90" w:line="264"/>
      </w:pPr>
      <w:r>
        <w:t xml:space="preserve">Chapter 18 — Code Review and Pull Request Policy</w:t>
      </w:r>
    </w:p>
    <w:p>
      <w:pPr>
        <w:pStyle w:val="ListParagraph"/>
        <w:numPr>
          <w:ilvl w:val="0"/>
          <w:numId w:val="1"/>
        </w:numPr>
        <w:spacing w:after="90" w:line="264"/>
      </w:pPr>
      <w:r>
        <w:t xml:space="preserve">Chapter 21 — Risk and Change Management</w:t>
      </w:r>
    </w:p>
    <w:p>
      <w:pPr>
        <w:pStyle w:val="ListParagraph"/>
        <w:numPr>
          <w:ilvl w:val="0"/>
          <w:numId w:val="1"/>
        </w:numPr>
        <w:spacing w:after="90" w:line="264"/>
      </w:pPr>
      <w:r>
        <w:t xml:space="preserve">Chapter 23 — Antigravity Operating Instructions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2026-07-19T19:20:24.994Z</dcterms:created>
  <dcterms:modified xsi:type="dcterms:W3CDTF">2026-07-19T19:20:24.995Z</dcterms:modified>
</cp:coreProperties>
</file>

<file path=docProps/custom.xml><?xml version="1.0" encoding="utf-8"?>
<Properties xmlns="http://schemas.openxmlformats.org/officeDocument/2006/custom-properties" xmlns:vt="http://schemas.openxmlformats.org/officeDocument/2006/docPropsVTypes"/>
</file>