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24</w:t>
      </w:r>
    </w:p>
    <w:p>
      <w:pPr>
        <w:pBdr>
          <w:bottom w:val="single" w:color="1F3864" w:sz="14" w:space="10"/>
        </w:pBdr>
        <w:spacing w:after="160"/>
        <w:jc w:val="center"/>
      </w:pPr>
      <w:r>
        <w:rPr>
          <w:b/>
          <w:bCs/>
          <w:color w:val="152238"/>
          <w:sz w:val="40"/>
          <w:szCs w:val="40"/>
        </w:rPr>
        <w:t xml:space="preserve">Final Engineering Acceptance Checklist</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The Master Go-Live Readiness &amp; Delivery Audit</w:t>
      </w:r>
    </w:p>
    <w:p>
      <w:r>
        <w:br w:type="page"/>
      </w:r>
    </w:p>
    <w:p>
      <w:pPr>
        <w:spacing w:after="40"/>
        <w:jc w:val="left"/>
      </w:pPr>
      <w:r>
        <w:rPr>
          <w:b/>
          <w:bCs/>
          <w:caps/>
          <w:color w:val="4A6FA5"/>
          <w:sz w:val="22"/>
          <w:szCs w:val="22"/>
        </w:rPr>
        <w:t xml:space="preserve">CHAPTER 24</w:t>
      </w:r>
    </w:p>
    <w:p>
      <w:pPr>
        <w:pBdr>
          <w:bottom w:val="single" w:color="1F3864" w:sz="12" w:space="8"/>
        </w:pBdr>
        <w:spacing w:after="200"/>
        <w:jc w:val="left"/>
      </w:pPr>
      <w:r>
        <w:rPr>
          <w:b/>
          <w:bCs/>
          <w:color w:val="152238"/>
          <w:sz w:val="44"/>
          <w:szCs w:val="44"/>
        </w:rPr>
        <w:t xml:space="preserve">Final Engineering Acceptance Checklist</w:t>
      </w:r>
    </w:p>
    <w:p>
      <w:pPr>
        <w:spacing w:after="90" w:before="180"/>
      </w:pPr>
      <w:r>
        <w:rPr>
          <w:b/>
          <w:bCs/>
          <w:color w:val="152238"/>
          <w:sz w:val="19"/>
          <w:szCs w:val="19"/>
        </w:rPr>
        <w:t xml:space="preserve">Chapter Overview</w:t>
      </w:r>
    </w:p>
    <w:p>
      <w:pPr>
        <w:spacing w:after="150" w:line="276"/>
        <w:jc w:val="both"/>
      </w:pPr>
      <w:r>
        <w:t xml:space="preserve">This final chapter serves as the Master Go-Live Readiness and Delivery Audit for the Enterprise System Management (ESM) Platform and Central Knowledge Repository (CKR) — the engineering equivalent of a pre-flight checklist or launch readiness review. Nothing proceeds to production, or to client acceptance, unless every mandatory item across twelve acceptance domains has been verified. It also serves as auditable evidence, during procurement and delivery review alike, that the engineering process behind this handbook is disciplined and aligned with enterprise governance expectations.</w:t>
      </w:r>
    </w:p>
    <w:p>
      <w:pPr>
        <w:spacing w:after="90" w:before="180"/>
      </w:pPr>
      <w:r>
        <w:rPr>
          <w:b/>
          <w:bCs/>
          <w:color w:val="152238"/>
          <w:sz w:val="19"/>
          <w:szCs w:val="19"/>
        </w:rPr>
        <w:t xml:space="preserve">Purpose</w:t>
      </w:r>
    </w:p>
    <w:p>
      <w:pPr>
        <w:spacing w:after="150" w:line="276"/>
        <w:jc w:val="both"/>
      </w:pPr>
      <w:r>
        <w:t xml:space="preserve">To ensure the solution is fully compliant with approved business requirements, enterprise architecture, security policies, quality standards, operational readiness expectations, and contractual obligations before deployment into production and formal acceptance by the National Programme Coordination Office (NPCO).</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the six Acceptance Principles governing final sign-off.</w:t>
      </w:r>
    </w:p>
    <w:p>
      <w:pPr>
        <w:pStyle w:val="ListParagraph"/>
        <w:numPr>
          <w:ilvl w:val="0"/>
          <w:numId w:val="1"/>
        </w:numPr>
        <w:spacing w:after="90" w:line="264"/>
      </w:pPr>
      <w:r>
        <w:t xml:space="preserve">Understand the twelve acceptance checklists spanning engineering through governance and compliance.</w:t>
      </w:r>
    </w:p>
    <w:p>
      <w:pPr>
        <w:pStyle w:val="ListParagraph"/>
        <w:numPr>
          <w:ilvl w:val="0"/>
          <w:numId w:val="1"/>
        </w:numPr>
        <w:spacing w:after="90" w:line="264"/>
      </w:pPr>
      <w:r>
        <w:t xml:space="preserve">Understand the Go-Live Readiness Review (GLRR) and Production Acceptance process.</w:t>
      </w:r>
    </w:p>
    <w:p>
      <w:pPr>
        <w:pStyle w:val="ListParagraph"/>
        <w:numPr>
          <w:ilvl w:val="0"/>
          <w:numId w:val="1"/>
        </w:numPr>
        <w:spacing w:after="90" w:line="264"/>
      </w:pPr>
      <w:r>
        <w:t xml:space="preserve">Understand Hypercare and Warranty, the Antigravity Final Acceptance Instructions, and the Final Engineering Deliverables.</w:t>
      </w:r>
    </w:p>
    <w:p>
      <w:pPr>
        <w:pStyle w:val="Heading1"/>
        <w:pBdr>
          <w:bottom w:val="single" w:color="C6D2E0" w:sz="4" w:space="4"/>
        </w:pBdr>
        <w:spacing w:after="140" w:before="360"/>
      </w:pPr>
      <w:r>
        <w:rPr>
          <w:b/>
          <w:bCs/>
          <w:color w:val="4A6FA5"/>
          <w:sz w:val="26"/>
          <w:szCs w:val="26"/>
        </w:rPr>
        <w:t xml:space="preserve">24.1  </w:t>
      </w:r>
      <w:r>
        <w:rPr>
          <w:b/>
          <w:bCs/>
          <w:color w:val="1F3864"/>
          <w:sz w:val="26"/>
          <w:szCs w:val="26"/>
        </w:rPr>
        <w:t xml:space="preserve">Purpose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the mandatory acceptance criteria and final engineering readiness checklist.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the client and donor from accepting a platform that is not genuinely production-ready.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Governs the completion, verification, approval, and handover of the entire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solution fully compliant with requirements, architecture, security, quality, and contractual obligations before go-live.</w:t>
            </w:r>
          </w:p>
        </w:tc>
      </w:tr>
    </w:tbl>
    <w:p>
      <w:pPr>
        <w:spacing w:after="160"/>
      </w:pPr>
    </w:p>
    <w:p>
      <w:pPr>
        <w:spacing w:after="150" w:line="276"/>
        <w:jc w:val="both"/>
      </w:pPr>
      <w:r>
        <w:t xml:space="preserve">This document establishes the mandatory acceptance criteria and final engineering readiness checklist governing the completion, verification, approval, and handover of the SAPZ Enterprise System Management (ESM) Platform and Central Knowledge Repository (CKR).</w:t>
      </w:r>
    </w:p>
    <w:p>
      <w:pPr>
        <w:spacing w:after="150" w:line="276"/>
        <w:jc w:val="both"/>
      </w:pPr>
      <w:r>
        <w:t xml:space="preserve">The objective is to ensure that the solution is fully compliant with approved business requirements, enterprise architecture, security policies, quality standards, operational readiness expectations, and contractual obligations before deployment into production and formal acceptance by the National Programme Coordination Office (NPCO).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WARNING</w:t>
            </w:r>
          </w:p>
          <w:p>
            <w:pPr>
              <w:spacing w:after="0"/>
            </w:pPr>
            <w:r>
              <w:rPr>
                <w:sz w:val="18"/>
                <w:szCs w:val="18"/>
              </w:rPr>
              <w:t xml:space="preserve">No solution component shall be considered complete or accepted unless all applicable checklist items have been successfully verified and approved.</w:t>
            </w:r>
          </w:p>
        </w:tc>
      </w:tr>
    </w:tbl>
    <w:p>
      <w:pPr>
        <w:pStyle w:val="Heading1"/>
        <w:pBdr>
          <w:bottom w:val="single" w:color="C6D2E0" w:sz="4" w:space="4"/>
        </w:pBdr>
        <w:spacing w:after="140" w:before="360"/>
      </w:pPr>
      <w:r>
        <w:rPr>
          <w:b/>
          <w:bCs/>
          <w:color w:val="4A6FA5"/>
          <w:sz w:val="26"/>
          <w:szCs w:val="26"/>
        </w:rPr>
        <w:t xml:space="preserve">24.2  </w:t>
      </w:r>
      <w:r>
        <w:rPr>
          <w:b/>
          <w:bCs/>
          <w:color w:val="1F3864"/>
          <w:sz w:val="26"/>
          <w:szCs w:val="26"/>
        </w:rPr>
        <w:t xml:space="preserve">Acceptance Principles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six principles underpinning final acceptance.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acceptance is evidence-based, not a calendar-driven formality.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Acceptance requires documented approval from designated governance authorities.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final acceptance decision that is defensible, auditable, and evidence-backed.</w:t>
            </w:r>
          </w:p>
        </w:tc>
      </w:tr>
    </w:tbl>
    <w:p>
      <w:pPr>
        <w:spacing w:after="160"/>
      </w:pPr>
    </w:p>
    <w:p>
      <w:pPr>
        <w:spacing w:after="150" w:line="276"/>
        <w:jc w:val="both"/>
      </w:pPr>
      <w:r>
        <w:t xml:space="preserve">Final acceptance shall be based on the following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70"/>
              <w:left w:type="dxa" w:w="110"/>
              <w:bottom w:type="dxa" w:w="70"/>
              <w:right w:type="dxa" w:w="110"/>
            </w:tcMar>
            <w:vAlign w:val="top"/>
          </w:tcPr>
          <w:p>
            <w:r>
              <w:rPr>
                <w:b/>
                <w:bCs/>
                <w:color w:val="FFFFFF"/>
                <w:sz w:val="17"/>
                <w:szCs w:val="17"/>
              </w:rPr>
              <w:t xml:space="preserve">Principle</w:t>
            </w:r>
          </w:p>
        </w:tc>
        <w:tc>
          <w:tcPr>
            <w:tcW w:type="dxa" w:w="7459"/>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621"/>
            <w:tcMar>
              <w:top w:type="dxa" w:w="70"/>
              <w:left w:type="dxa" w:w="110"/>
              <w:bottom w:type="dxa" w:w="70"/>
              <w:right w:type="dxa" w:w="110"/>
            </w:tcMar>
            <w:vAlign w:val="top"/>
          </w:tcPr>
          <w:p>
            <w:r>
              <w:rPr>
                <w:b/>
                <w:bCs/>
                <w:color w:val="1A1A1A"/>
                <w:sz w:val="16"/>
                <w:szCs w:val="16"/>
              </w:rPr>
              <w:t xml:space="preserve">Complete Traceability</w:t>
            </w:r>
          </w:p>
        </w:tc>
        <w:tc>
          <w:tcPr>
            <w:tcW w:type="dxa" w:w="7459"/>
            <w:tcMar>
              <w:top w:type="dxa" w:w="70"/>
              <w:left w:type="dxa" w:w="110"/>
              <w:bottom w:type="dxa" w:w="70"/>
              <w:right w:type="dxa" w:w="110"/>
            </w:tcMar>
            <w:vAlign w:val="top"/>
          </w:tcPr>
          <w:p>
            <w:r>
              <w:rPr>
                <w:b w:val="false"/>
                <w:bCs w:val="false"/>
                <w:color w:val="1A1A1A"/>
                <w:sz w:val="16"/>
                <w:szCs w:val="16"/>
              </w:rPr>
              <w:t xml:space="preserve">Every delivered feature shall be traceable to an approved business requirement and verified through testing.</w:t>
            </w:r>
          </w:p>
        </w:tc>
      </w:tr>
      <w:tr>
        <w:tc>
          <w:tcPr>
            <w:tcW w:type="dxa" w:w="2621"/>
            <w:tcMar>
              <w:top w:type="dxa" w:w="70"/>
              <w:left w:type="dxa" w:w="110"/>
              <w:bottom w:type="dxa" w:w="70"/>
              <w:right w:type="dxa" w:w="110"/>
            </w:tcMar>
            <w:vAlign w:val="top"/>
          </w:tcPr>
          <w:p>
            <w:r>
              <w:rPr>
                <w:b/>
                <w:bCs/>
                <w:color w:val="1A1A1A"/>
                <w:sz w:val="16"/>
                <w:szCs w:val="16"/>
              </w:rPr>
              <w:t xml:space="preserve">Quality Assurance</w:t>
            </w:r>
          </w:p>
        </w:tc>
        <w:tc>
          <w:tcPr>
            <w:tcW w:type="dxa" w:w="7459"/>
            <w:tcMar>
              <w:top w:type="dxa" w:w="70"/>
              <w:left w:type="dxa" w:w="110"/>
              <w:bottom w:type="dxa" w:w="70"/>
              <w:right w:type="dxa" w:w="110"/>
            </w:tcMar>
            <w:vAlign w:val="top"/>
          </w:tcPr>
          <w:p>
            <w:r>
              <w:rPr>
                <w:b w:val="false"/>
                <w:bCs w:val="false"/>
                <w:color w:val="1A1A1A"/>
                <w:sz w:val="16"/>
                <w:szCs w:val="16"/>
              </w:rPr>
              <w:t xml:space="preserve">All quality gates shall be satisfied before release.</w:t>
            </w:r>
          </w:p>
        </w:tc>
      </w:tr>
      <w:tr>
        <w:tc>
          <w:tcPr>
            <w:tcW w:type="dxa" w:w="2621"/>
            <w:tcMar>
              <w:top w:type="dxa" w:w="70"/>
              <w:left w:type="dxa" w:w="110"/>
              <w:bottom w:type="dxa" w:w="70"/>
              <w:right w:type="dxa" w:w="110"/>
            </w:tcMar>
            <w:vAlign w:val="top"/>
          </w:tcPr>
          <w:p>
            <w:r>
              <w:rPr>
                <w:b/>
                <w:bCs/>
                <w:color w:val="1A1A1A"/>
                <w:sz w:val="16"/>
                <w:szCs w:val="16"/>
              </w:rPr>
              <w:t xml:space="preserve">Security Assurance</w:t>
            </w:r>
          </w:p>
        </w:tc>
        <w:tc>
          <w:tcPr>
            <w:tcW w:type="dxa" w:w="7459"/>
            <w:tcMar>
              <w:top w:type="dxa" w:w="70"/>
              <w:left w:type="dxa" w:w="110"/>
              <w:bottom w:type="dxa" w:w="70"/>
              <w:right w:type="dxa" w:w="110"/>
            </w:tcMar>
            <w:vAlign w:val="top"/>
          </w:tcPr>
          <w:p>
            <w:r>
              <w:rPr>
                <w:b w:val="false"/>
                <w:bCs w:val="false"/>
                <w:color w:val="1A1A1A"/>
                <w:sz w:val="16"/>
                <w:szCs w:val="16"/>
              </w:rPr>
              <w:t xml:space="preserve">Critical and high-risk security findings shall be resolved before production deployment.</w:t>
            </w:r>
          </w:p>
        </w:tc>
      </w:tr>
      <w:tr>
        <w:tc>
          <w:tcPr>
            <w:tcW w:type="dxa" w:w="2621"/>
            <w:tcMar>
              <w:top w:type="dxa" w:w="70"/>
              <w:left w:type="dxa" w:w="110"/>
              <w:bottom w:type="dxa" w:w="70"/>
              <w:right w:type="dxa" w:w="110"/>
            </w:tcMar>
            <w:vAlign w:val="top"/>
          </w:tcPr>
          <w:p>
            <w:r>
              <w:rPr>
                <w:b/>
                <w:bCs/>
                <w:color w:val="1A1A1A"/>
                <w:sz w:val="16"/>
                <w:szCs w:val="16"/>
              </w:rPr>
              <w:t xml:space="preserve">Operational Readiness</w:t>
            </w:r>
          </w:p>
        </w:tc>
        <w:tc>
          <w:tcPr>
            <w:tcW w:type="dxa" w:w="7459"/>
            <w:tcMar>
              <w:top w:type="dxa" w:w="70"/>
              <w:left w:type="dxa" w:w="110"/>
              <w:bottom w:type="dxa" w:w="70"/>
              <w:right w:type="dxa" w:w="110"/>
            </w:tcMar>
            <w:vAlign w:val="top"/>
          </w:tcPr>
          <w:p>
            <w:r>
              <w:rPr>
                <w:b w:val="false"/>
                <w:bCs w:val="false"/>
                <w:color w:val="1A1A1A"/>
                <w:sz w:val="16"/>
                <w:szCs w:val="16"/>
              </w:rPr>
              <w:t xml:space="preserve">The solution shall be fully deployable, monitorable, supportable, and recoverable.</w:t>
            </w:r>
          </w:p>
        </w:tc>
      </w:tr>
      <w:tr>
        <w:tc>
          <w:tcPr>
            <w:tcW w:type="dxa" w:w="2621"/>
            <w:tcMar>
              <w:top w:type="dxa" w:w="70"/>
              <w:left w:type="dxa" w:w="110"/>
              <w:bottom w:type="dxa" w:w="70"/>
              <w:right w:type="dxa" w:w="110"/>
            </w:tcMar>
            <w:vAlign w:val="top"/>
          </w:tcPr>
          <w:p>
            <w:r>
              <w:rPr>
                <w:b/>
                <w:bCs/>
                <w:color w:val="1A1A1A"/>
                <w:sz w:val="16"/>
                <w:szCs w:val="16"/>
              </w:rPr>
              <w:t xml:space="preserve">Knowledge Transfer</w:t>
            </w:r>
          </w:p>
        </w:tc>
        <w:tc>
          <w:tcPr>
            <w:tcW w:type="dxa" w:w="7459"/>
            <w:tcMar>
              <w:top w:type="dxa" w:w="70"/>
              <w:left w:type="dxa" w:w="110"/>
              <w:bottom w:type="dxa" w:w="70"/>
              <w:right w:type="dxa" w:w="110"/>
            </w:tcMar>
            <w:vAlign w:val="top"/>
          </w:tcPr>
          <w:p>
            <w:r>
              <w:rPr>
                <w:b w:val="false"/>
                <w:bCs w:val="false"/>
                <w:color w:val="1A1A1A"/>
                <w:sz w:val="16"/>
                <w:szCs w:val="16"/>
              </w:rPr>
              <w:t xml:space="preserve">All documentation, training, and handover activities shall be completed.</w:t>
            </w:r>
          </w:p>
        </w:tc>
      </w:tr>
      <w:tr>
        <w:tc>
          <w:tcPr>
            <w:tcW w:type="dxa" w:w="2621"/>
            <w:tcMar>
              <w:top w:type="dxa" w:w="70"/>
              <w:left w:type="dxa" w:w="110"/>
              <w:bottom w:type="dxa" w:w="70"/>
              <w:right w:type="dxa" w:w="110"/>
            </w:tcMar>
            <w:vAlign w:val="top"/>
          </w:tcPr>
          <w:p>
            <w:r>
              <w:rPr>
                <w:b/>
                <w:bCs/>
                <w:color w:val="1A1A1A"/>
                <w:sz w:val="16"/>
                <w:szCs w:val="16"/>
              </w:rPr>
              <w:t xml:space="preserve">Formal Approval</w:t>
            </w:r>
          </w:p>
        </w:tc>
        <w:tc>
          <w:tcPr>
            <w:tcW w:type="dxa" w:w="7459"/>
            <w:tcMar>
              <w:top w:type="dxa" w:w="70"/>
              <w:left w:type="dxa" w:w="110"/>
              <w:bottom w:type="dxa" w:w="70"/>
              <w:right w:type="dxa" w:w="110"/>
            </w:tcMar>
            <w:vAlign w:val="top"/>
          </w:tcPr>
          <w:p>
            <w:r>
              <w:rPr>
                <w:b w:val="false"/>
                <w:bCs w:val="false"/>
                <w:color w:val="1A1A1A"/>
                <w:sz w:val="16"/>
                <w:szCs w:val="16"/>
              </w:rPr>
              <w:t xml:space="preserve">Acceptance shall require documented approval from designated governance authorities.</w:t>
            </w:r>
          </w:p>
        </w:tc>
      </w:tr>
    </w:tbl>
    <w:p>
      <w:pPr>
        <w:pStyle w:val="Heading1"/>
        <w:pBdr>
          <w:bottom w:val="single" w:color="C6D2E0" w:sz="4" w:space="4"/>
        </w:pBdr>
        <w:spacing w:after="140" w:before="360"/>
      </w:pPr>
      <w:r>
        <w:rPr>
          <w:b/>
          <w:bCs/>
          <w:color w:val="4A6FA5"/>
          <w:sz w:val="26"/>
          <w:szCs w:val="26"/>
        </w:rPr>
        <w:t xml:space="preserve">24.3  </w:t>
      </w:r>
      <w:r>
        <w:rPr>
          <w:b/>
          <w:bCs/>
          <w:color w:val="1F3864"/>
          <w:sz w:val="26"/>
          <w:szCs w:val="26"/>
        </w:rPr>
        <w:t xml:space="preserve">Engineering Readiness Checklist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Verify architecture, coding, and engineering standards compliance.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Confirms the platform was built according to the standards defined throughout this handbook.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Directly verifies compliance with Chapters 6 through 9 and Chapter 22.</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Engineering foundations fully compliant before any other acceptance domain is reviewed.</w:t>
            </w:r>
          </w:p>
        </w:tc>
      </w:tr>
    </w:tbl>
    <w:p>
      <w:pPr>
        <w:spacing w:after="160"/>
      </w:pPr>
    </w:p>
    <w:p>
      <w:pPr>
        <w:spacing w:after="150" w:line="276"/>
        <w:jc w:val="both"/>
      </w:pPr>
      <w:r>
        <w:t xml:space="preserve">The engineering team shall verify that: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67"/>
        <w:gridCol w:w="1613"/>
      </w:tblGrid>
      <w:tr>
        <w:trPr>
          <w:tblHeader/>
        </w:trPr>
        <w:tc>
          <w:tcPr>
            <w:tcW w:type="dxa" w:w="8467"/>
            <w:shd w:fill="1F3864" w:val="clear"/>
            <w:tcMar>
              <w:top w:type="dxa" w:w="70"/>
              <w:left w:type="dxa" w:w="110"/>
              <w:bottom w:type="dxa" w:w="70"/>
              <w:right w:type="dxa" w:w="110"/>
            </w:tcMar>
            <w:vAlign w:val="top"/>
          </w:tcPr>
          <w:p>
            <w:r>
              <w:rPr>
                <w:b/>
                <w:bCs/>
                <w:color w:val="FFFFFF"/>
                <w:sz w:val="17"/>
                <w:szCs w:val="17"/>
              </w:rPr>
              <w:t xml:space="preserve">Item</w:t>
            </w:r>
          </w:p>
        </w:tc>
        <w:tc>
          <w:tcPr>
            <w:tcW w:type="dxa" w:w="1613"/>
            <w:shd w:fill="1F3864" w:val="clear"/>
            <w:tcMar>
              <w:top w:type="dxa" w:w="70"/>
              <w:left w:type="dxa" w:w="110"/>
              <w:bottom w:type="dxa" w:w="70"/>
              <w:right w:type="dxa" w:w="110"/>
            </w:tcMar>
            <w:vAlign w:val="top"/>
          </w:tcPr>
          <w:p>
            <w:r>
              <w:rPr>
                <w:b/>
                <w:bCs/>
                <w:color w:val="FFFFFF"/>
                <w:sz w:val="17"/>
                <w:szCs w:val="17"/>
              </w:rPr>
              <w:t xml:space="preserve">Verification</w:t>
            </w:r>
          </w:p>
        </w:tc>
      </w:tr>
      <w:tr>
        <w:tc>
          <w:tcPr>
            <w:tcW w:type="dxa" w:w="8467"/>
            <w:tcMar>
              <w:top w:type="dxa" w:w="70"/>
              <w:left w:type="dxa" w:w="110"/>
              <w:bottom w:type="dxa" w:w="70"/>
              <w:right w:type="dxa" w:w="110"/>
            </w:tcMar>
            <w:vAlign w:val="top"/>
          </w:tcPr>
          <w:p>
            <w:r>
              <w:rPr>
                <w:b/>
                <w:bCs/>
                <w:color w:val="1A1A1A"/>
                <w:sz w:val="16"/>
                <w:szCs w:val="16"/>
              </w:rPr>
              <w:t xml:space="preserve">Enterprise Architecture implemented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Solution Architecture compliant</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Approved technology stack used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Coding standards followed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Repository structure compliant</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Architecture Decision Records completed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Engineering standards satisfied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Definition of Done achieved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bl>
    <w:p>
      <w:pPr>
        <w:pStyle w:val="Heading1"/>
        <w:pBdr>
          <w:bottom w:val="single" w:color="C6D2E0" w:sz="4" w:space="4"/>
        </w:pBdr>
        <w:spacing w:after="140" w:before="360"/>
      </w:pPr>
      <w:r>
        <w:rPr>
          <w:b/>
          <w:bCs/>
          <w:color w:val="4A6FA5"/>
          <w:sz w:val="26"/>
          <w:szCs w:val="26"/>
        </w:rPr>
        <w:t xml:space="preserve">24.4  </w:t>
      </w:r>
      <w:r>
        <w:rPr>
          <w:b/>
          <w:bCs/>
          <w:color w:val="1F3864"/>
          <w:sz w:val="26"/>
          <w:szCs w:val="26"/>
        </w:rPr>
        <w:t xml:space="preserve">Functional Acceptance Checklist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Verify all functional requirements have been implemented and validated.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Confirms the platform delivers the business capabilities the client is paying for.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Directly verifies compliance with the SRS and PDD.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functional capability implemented, tested, and confirmed operational.</w:t>
            </w:r>
          </w:p>
        </w:tc>
      </w:tr>
    </w:tbl>
    <w:p>
      <w:pPr>
        <w:spacing w:after="160"/>
      </w:pPr>
    </w:p>
    <w:p>
      <w:pPr>
        <w:spacing w:after="150" w:line="276"/>
        <w:jc w:val="both"/>
      </w:pPr>
      <w:r>
        <w:t xml:space="preserve">Confirm that: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67"/>
        <w:gridCol w:w="1613"/>
      </w:tblGrid>
      <w:tr>
        <w:trPr>
          <w:tblHeader/>
        </w:trPr>
        <w:tc>
          <w:tcPr>
            <w:tcW w:type="dxa" w:w="8467"/>
            <w:shd w:fill="1F3864" w:val="clear"/>
            <w:tcMar>
              <w:top w:type="dxa" w:w="70"/>
              <w:left w:type="dxa" w:w="110"/>
              <w:bottom w:type="dxa" w:w="70"/>
              <w:right w:type="dxa" w:w="110"/>
            </w:tcMar>
            <w:vAlign w:val="top"/>
          </w:tcPr>
          <w:p>
            <w:r>
              <w:rPr>
                <w:b/>
                <w:bCs/>
                <w:color w:val="FFFFFF"/>
                <w:sz w:val="17"/>
                <w:szCs w:val="17"/>
              </w:rPr>
              <w:t xml:space="preserve">Item</w:t>
            </w:r>
          </w:p>
        </w:tc>
        <w:tc>
          <w:tcPr>
            <w:tcW w:type="dxa" w:w="1613"/>
            <w:shd w:fill="1F3864" w:val="clear"/>
            <w:tcMar>
              <w:top w:type="dxa" w:w="70"/>
              <w:left w:type="dxa" w:w="110"/>
              <w:bottom w:type="dxa" w:w="70"/>
              <w:right w:type="dxa" w:w="110"/>
            </w:tcMar>
            <w:vAlign w:val="top"/>
          </w:tcPr>
          <w:p>
            <w:r>
              <w:rPr>
                <w:b/>
                <w:bCs/>
                <w:color w:val="FFFFFF"/>
                <w:sz w:val="17"/>
                <w:szCs w:val="17"/>
              </w:rPr>
              <w:t xml:space="preserve">Verification</w:t>
            </w:r>
          </w:p>
        </w:tc>
      </w:tr>
      <w:tr>
        <w:tc>
          <w:tcPr>
            <w:tcW w:type="dxa" w:w="8467"/>
            <w:tcMar>
              <w:top w:type="dxa" w:w="70"/>
              <w:left w:type="dxa" w:w="110"/>
              <w:bottom w:type="dxa" w:w="70"/>
              <w:right w:type="dxa" w:w="110"/>
            </w:tcMar>
            <w:vAlign w:val="top"/>
          </w:tcPr>
          <w:p>
            <w:r>
              <w:rPr>
                <w:b/>
                <w:bCs/>
                <w:color w:val="1A1A1A"/>
                <w:sz w:val="16"/>
                <w:szCs w:val="16"/>
              </w:rPr>
              <w:t xml:space="preserve">All functional requirements implemented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User stories completed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Acceptance criteria satisfied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Business workflows validated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Search functionality operational</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Knowledge repository functional</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Workflow automation operational</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Dashboards operational</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Reporting validated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AI-assisted capabilities verified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bl>
    <w:p>
      <w:pPr>
        <w:pStyle w:val="Heading1"/>
        <w:pBdr>
          <w:bottom w:val="single" w:color="C6D2E0" w:sz="4" w:space="4"/>
        </w:pBdr>
        <w:spacing w:after="140" w:before="360"/>
      </w:pPr>
      <w:r>
        <w:rPr>
          <w:b/>
          <w:bCs/>
          <w:color w:val="4A6FA5"/>
          <w:sz w:val="26"/>
          <w:szCs w:val="26"/>
        </w:rPr>
        <w:t xml:space="preserve">24.5  </w:t>
      </w:r>
      <w:r>
        <w:rPr>
          <w:b/>
          <w:bCs/>
          <w:color w:val="1F3864"/>
          <w:sz w:val="26"/>
          <w:szCs w:val="26"/>
        </w:rPr>
        <w:t xml:space="preserve">Non-Functional Acceptance Checklist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Verify performance, scalability, availability, and accessibility targets.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Confirms the platform will perform acceptably under real operating conditions.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Directly verifies compliance with non-functional testing standards in Chapter 16.</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Non-functional quality attributes validated, not merely assumed.</w:t>
            </w:r>
          </w:p>
        </w:tc>
      </w:tr>
    </w:tbl>
    <w:p>
      <w:pPr>
        <w:spacing w:after="160"/>
      </w:pPr>
    </w:p>
    <w:p>
      <w:pPr>
        <w:spacing w:after="150" w:line="276"/>
        <w:jc w:val="both"/>
      </w:pPr>
      <w:r>
        <w:t xml:space="preserve">Verify: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67"/>
        <w:gridCol w:w="1613"/>
      </w:tblGrid>
      <w:tr>
        <w:trPr>
          <w:tblHeader/>
        </w:trPr>
        <w:tc>
          <w:tcPr>
            <w:tcW w:type="dxa" w:w="8467"/>
            <w:shd w:fill="1F3864" w:val="clear"/>
            <w:tcMar>
              <w:top w:type="dxa" w:w="70"/>
              <w:left w:type="dxa" w:w="110"/>
              <w:bottom w:type="dxa" w:w="70"/>
              <w:right w:type="dxa" w:w="110"/>
            </w:tcMar>
            <w:vAlign w:val="top"/>
          </w:tcPr>
          <w:p>
            <w:r>
              <w:rPr>
                <w:b/>
                <w:bCs/>
                <w:color w:val="FFFFFF"/>
                <w:sz w:val="17"/>
                <w:szCs w:val="17"/>
              </w:rPr>
              <w:t xml:space="preserve">Item</w:t>
            </w:r>
          </w:p>
        </w:tc>
        <w:tc>
          <w:tcPr>
            <w:tcW w:type="dxa" w:w="1613"/>
            <w:shd w:fill="1F3864" w:val="clear"/>
            <w:tcMar>
              <w:top w:type="dxa" w:w="70"/>
              <w:left w:type="dxa" w:w="110"/>
              <w:bottom w:type="dxa" w:w="70"/>
              <w:right w:type="dxa" w:w="110"/>
            </w:tcMar>
            <w:vAlign w:val="top"/>
          </w:tcPr>
          <w:p>
            <w:r>
              <w:rPr>
                <w:b/>
                <w:bCs/>
                <w:color w:val="FFFFFF"/>
                <w:sz w:val="17"/>
                <w:szCs w:val="17"/>
              </w:rPr>
              <w:t xml:space="preserve">Verification</w:t>
            </w:r>
          </w:p>
        </w:tc>
      </w:tr>
      <w:tr>
        <w:tc>
          <w:tcPr>
            <w:tcW w:type="dxa" w:w="8467"/>
            <w:tcMar>
              <w:top w:type="dxa" w:w="70"/>
              <w:left w:type="dxa" w:w="110"/>
              <w:bottom w:type="dxa" w:w="70"/>
              <w:right w:type="dxa" w:w="110"/>
            </w:tcMar>
            <w:vAlign w:val="top"/>
          </w:tcPr>
          <w:p>
            <w:r>
              <w:rPr>
                <w:b/>
                <w:bCs/>
                <w:color w:val="1A1A1A"/>
                <w:sz w:val="16"/>
                <w:szCs w:val="16"/>
              </w:rPr>
              <w:t xml:space="preserve">Performance objectives achieved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Scalability validated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Availability targets met</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Reliability demonstrated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Accessibility compliant (WCAG 2.1 AA)</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Usability validated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Disaster recovery tested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Backup restoration verified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Monitoring operational</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bl>
    <w:p>
      <w:pPr>
        <w:pStyle w:val="Heading1"/>
        <w:pBdr>
          <w:bottom w:val="single" w:color="C6D2E0" w:sz="4" w:space="4"/>
        </w:pBdr>
        <w:spacing w:after="140" w:before="360"/>
      </w:pPr>
      <w:r>
        <w:rPr>
          <w:b/>
          <w:bCs/>
          <w:color w:val="4A6FA5"/>
          <w:sz w:val="26"/>
          <w:szCs w:val="26"/>
        </w:rPr>
        <w:t xml:space="preserve">24.6  </w:t>
      </w:r>
      <w:r>
        <w:rPr>
          <w:b/>
          <w:bCs/>
          <w:color w:val="1F3864"/>
          <w:sz w:val="26"/>
          <w:szCs w:val="26"/>
        </w:rPr>
        <w:t xml:space="preserve">Security Acceptance Checklist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Verify mandatory security controls and vulnerability remediation.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a vulnerable platform from being accepted into production.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Directly verifies compliance with Chapter 14 — Security and Compliance Standards.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Zero unresolved Critical or High vulnerabilities at go-live.</w:t>
            </w:r>
          </w:p>
        </w:tc>
      </w:tr>
    </w:tbl>
    <w:p>
      <w:pPr>
        <w:spacing w:after="160"/>
      </w:pPr>
    </w:p>
    <w:p>
      <w:pPr>
        <w:spacing w:after="150" w:line="276"/>
        <w:jc w:val="both"/>
      </w:pPr>
      <w:r>
        <w:t xml:space="preserve">Confirm that: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67"/>
        <w:gridCol w:w="1613"/>
      </w:tblGrid>
      <w:tr>
        <w:trPr>
          <w:tblHeader/>
        </w:trPr>
        <w:tc>
          <w:tcPr>
            <w:tcW w:type="dxa" w:w="8467"/>
            <w:shd w:fill="1F3864" w:val="clear"/>
            <w:tcMar>
              <w:top w:type="dxa" w:w="70"/>
              <w:left w:type="dxa" w:w="110"/>
              <w:bottom w:type="dxa" w:w="70"/>
              <w:right w:type="dxa" w:w="110"/>
            </w:tcMar>
            <w:vAlign w:val="top"/>
          </w:tcPr>
          <w:p>
            <w:r>
              <w:rPr>
                <w:b/>
                <w:bCs/>
                <w:color w:val="FFFFFF"/>
                <w:sz w:val="17"/>
                <w:szCs w:val="17"/>
              </w:rPr>
              <w:t xml:space="preserve">Item</w:t>
            </w:r>
          </w:p>
        </w:tc>
        <w:tc>
          <w:tcPr>
            <w:tcW w:type="dxa" w:w="1613"/>
            <w:shd w:fill="1F3864" w:val="clear"/>
            <w:tcMar>
              <w:top w:type="dxa" w:w="70"/>
              <w:left w:type="dxa" w:w="110"/>
              <w:bottom w:type="dxa" w:w="70"/>
              <w:right w:type="dxa" w:w="110"/>
            </w:tcMar>
            <w:vAlign w:val="top"/>
          </w:tcPr>
          <w:p>
            <w:r>
              <w:rPr>
                <w:b/>
                <w:bCs/>
                <w:color w:val="FFFFFF"/>
                <w:sz w:val="17"/>
                <w:szCs w:val="17"/>
              </w:rPr>
              <w:t xml:space="preserve">Verification</w:t>
            </w:r>
          </w:p>
        </w:tc>
      </w:tr>
      <w:tr>
        <w:tc>
          <w:tcPr>
            <w:tcW w:type="dxa" w:w="8467"/>
            <w:tcMar>
              <w:top w:type="dxa" w:w="70"/>
              <w:left w:type="dxa" w:w="110"/>
              <w:bottom w:type="dxa" w:w="70"/>
              <w:right w:type="dxa" w:w="110"/>
            </w:tcMar>
            <w:vAlign w:val="top"/>
          </w:tcPr>
          <w:p>
            <w:r>
              <w:rPr>
                <w:b/>
                <w:bCs/>
                <w:color w:val="1A1A1A"/>
                <w:sz w:val="16"/>
                <w:szCs w:val="16"/>
              </w:rPr>
              <w:t xml:space="preserve">Authentication validated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Authorization verified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Encryption implemented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Secrets managed securely</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Audit logging enabled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OWASP Top 10 mitigated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Vulnerability scan passed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Penetration testing completed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No Critical or High vulnerabilities remain</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bl>
    <w:p>
      <w:pPr>
        <w:pStyle w:val="Heading1"/>
        <w:pBdr>
          <w:bottom w:val="single" w:color="C6D2E0" w:sz="4" w:space="4"/>
        </w:pBdr>
        <w:spacing w:after="140" w:before="360"/>
      </w:pPr>
      <w:r>
        <w:rPr>
          <w:b/>
          <w:bCs/>
          <w:color w:val="4A6FA5"/>
          <w:sz w:val="26"/>
          <w:szCs w:val="26"/>
        </w:rPr>
        <w:t xml:space="preserve">24.7  </w:t>
      </w:r>
      <w:r>
        <w:rPr>
          <w:b/>
          <w:bCs/>
          <w:color w:val="1F3864"/>
          <w:sz w:val="26"/>
          <w:szCs w:val="26"/>
        </w:rPr>
        <w:t xml:space="preserve">Data Acceptance Checklist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Verify database schema, migration, and data integrity.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the accuracy and completeness of the platform's most critical asset.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Directly verifies compliance with Chapter 11 — Database Engineering Standards.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database schema and dataset verified accurate and complete before go-live.</w:t>
            </w:r>
          </w:p>
        </w:tc>
      </w:tr>
    </w:tbl>
    <w:p>
      <w:pPr>
        <w:spacing w:after="160"/>
      </w:pPr>
    </w:p>
    <w:p>
      <w:pPr>
        <w:spacing w:after="150" w:line="276"/>
        <w:jc w:val="both"/>
      </w:pPr>
      <w:r>
        <w:t xml:space="preserve">Verify that: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67"/>
        <w:gridCol w:w="1613"/>
      </w:tblGrid>
      <w:tr>
        <w:trPr>
          <w:tblHeader/>
        </w:trPr>
        <w:tc>
          <w:tcPr>
            <w:tcW w:type="dxa" w:w="8467"/>
            <w:shd w:fill="1F3864" w:val="clear"/>
            <w:tcMar>
              <w:top w:type="dxa" w:w="70"/>
              <w:left w:type="dxa" w:w="110"/>
              <w:bottom w:type="dxa" w:w="70"/>
              <w:right w:type="dxa" w:w="110"/>
            </w:tcMar>
            <w:vAlign w:val="top"/>
          </w:tcPr>
          <w:p>
            <w:r>
              <w:rPr>
                <w:b/>
                <w:bCs/>
                <w:color w:val="FFFFFF"/>
                <w:sz w:val="17"/>
                <w:szCs w:val="17"/>
              </w:rPr>
              <w:t xml:space="preserve">Item</w:t>
            </w:r>
          </w:p>
        </w:tc>
        <w:tc>
          <w:tcPr>
            <w:tcW w:type="dxa" w:w="1613"/>
            <w:shd w:fill="1F3864" w:val="clear"/>
            <w:tcMar>
              <w:top w:type="dxa" w:w="70"/>
              <w:left w:type="dxa" w:w="110"/>
              <w:bottom w:type="dxa" w:w="70"/>
              <w:right w:type="dxa" w:w="110"/>
            </w:tcMar>
            <w:vAlign w:val="top"/>
          </w:tcPr>
          <w:p>
            <w:r>
              <w:rPr>
                <w:b/>
                <w:bCs/>
                <w:color w:val="FFFFFF"/>
                <w:sz w:val="17"/>
                <w:szCs w:val="17"/>
              </w:rPr>
              <w:t xml:space="preserve">Verification</w:t>
            </w:r>
          </w:p>
        </w:tc>
      </w:tr>
      <w:tr>
        <w:tc>
          <w:tcPr>
            <w:tcW w:type="dxa" w:w="8467"/>
            <w:tcMar>
              <w:top w:type="dxa" w:w="70"/>
              <w:left w:type="dxa" w:w="110"/>
              <w:bottom w:type="dxa" w:w="70"/>
              <w:right w:type="dxa" w:w="110"/>
            </w:tcMar>
            <w:vAlign w:val="top"/>
          </w:tcPr>
          <w:p>
            <w:r>
              <w:rPr>
                <w:b/>
                <w:bCs/>
                <w:color w:val="1A1A1A"/>
                <w:sz w:val="16"/>
                <w:szCs w:val="16"/>
              </w:rPr>
              <w:t xml:space="preserve">Database schema approved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Data migration completed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Data validation passed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Referential integrity verified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Backup procedures validated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Master/reference data loaded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Data retention policy implemented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bl>
    <w:p>
      <w:pPr>
        <w:pStyle w:val="Heading1"/>
        <w:pBdr>
          <w:bottom w:val="single" w:color="C6D2E0" w:sz="4" w:space="4"/>
        </w:pBdr>
        <w:spacing w:after="140" w:before="360"/>
      </w:pPr>
      <w:r>
        <w:rPr>
          <w:b/>
          <w:bCs/>
          <w:color w:val="4A6FA5"/>
          <w:sz w:val="26"/>
          <w:szCs w:val="26"/>
        </w:rPr>
        <w:t xml:space="preserve">24.8  </w:t>
      </w:r>
      <w:r>
        <w:rPr>
          <w:b/>
          <w:bCs/>
          <w:color w:val="1F3864"/>
          <w:sz w:val="26"/>
          <w:szCs w:val="26"/>
        </w:rPr>
        <w:t xml:space="preserve">API and Integration Acceptance Checklist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Verify API functionality, security, and documentation.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Confirms the platform's integration backbone is fully operational.</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Directly verifies compliance with Chapter 12 — API Engineering Standards.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API endpoint and external integration validated before go-live.</w:t>
            </w:r>
          </w:p>
        </w:tc>
      </w:tr>
    </w:tbl>
    <w:p>
      <w:pPr>
        <w:spacing w:after="160"/>
      </w:pPr>
    </w:p>
    <w:p>
      <w:pPr>
        <w:spacing w:after="150" w:line="276"/>
        <w:jc w:val="both"/>
      </w:pPr>
      <w:r>
        <w:t xml:space="preserve">Confirm: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67"/>
        <w:gridCol w:w="1613"/>
      </w:tblGrid>
      <w:tr>
        <w:trPr>
          <w:tblHeader/>
        </w:trPr>
        <w:tc>
          <w:tcPr>
            <w:tcW w:type="dxa" w:w="8467"/>
            <w:shd w:fill="1F3864" w:val="clear"/>
            <w:tcMar>
              <w:top w:type="dxa" w:w="70"/>
              <w:left w:type="dxa" w:w="110"/>
              <w:bottom w:type="dxa" w:w="70"/>
              <w:right w:type="dxa" w:w="110"/>
            </w:tcMar>
            <w:vAlign w:val="top"/>
          </w:tcPr>
          <w:p>
            <w:r>
              <w:rPr>
                <w:b/>
                <w:bCs/>
                <w:color w:val="FFFFFF"/>
                <w:sz w:val="17"/>
                <w:szCs w:val="17"/>
              </w:rPr>
              <w:t xml:space="preserve">Item</w:t>
            </w:r>
          </w:p>
        </w:tc>
        <w:tc>
          <w:tcPr>
            <w:tcW w:type="dxa" w:w="1613"/>
            <w:shd w:fill="1F3864" w:val="clear"/>
            <w:tcMar>
              <w:top w:type="dxa" w:w="70"/>
              <w:left w:type="dxa" w:w="110"/>
              <w:bottom w:type="dxa" w:w="70"/>
              <w:right w:type="dxa" w:w="110"/>
            </w:tcMar>
            <w:vAlign w:val="top"/>
          </w:tcPr>
          <w:p>
            <w:r>
              <w:rPr>
                <w:b/>
                <w:bCs/>
                <w:color w:val="FFFFFF"/>
                <w:sz w:val="17"/>
                <w:szCs w:val="17"/>
              </w:rPr>
              <w:t xml:space="preserve">Verification</w:t>
            </w:r>
          </w:p>
        </w:tc>
      </w:tr>
      <w:tr>
        <w:tc>
          <w:tcPr>
            <w:tcW w:type="dxa" w:w="8467"/>
            <w:tcMar>
              <w:top w:type="dxa" w:w="70"/>
              <w:left w:type="dxa" w:w="110"/>
              <w:bottom w:type="dxa" w:w="70"/>
              <w:right w:type="dxa" w:w="110"/>
            </w:tcMar>
            <w:vAlign w:val="top"/>
          </w:tcPr>
          <w:p>
            <w:r>
              <w:rPr>
                <w:b/>
                <w:bCs/>
                <w:color w:val="1A1A1A"/>
                <w:sz w:val="16"/>
                <w:szCs w:val="16"/>
              </w:rPr>
              <w:t xml:space="preserve">API endpoints operational</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Authentication functional</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External integrations validated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Error handling verified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Rate limiting configured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API documentation complete</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Webhooks tested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bl>
    <w:p>
      <w:pPr>
        <w:pStyle w:val="Heading1"/>
        <w:pBdr>
          <w:bottom w:val="single" w:color="C6D2E0" w:sz="4" w:space="4"/>
        </w:pBdr>
        <w:spacing w:after="140" w:before="360"/>
      </w:pPr>
      <w:r>
        <w:rPr>
          <w:b/>
          <w:bCs/>
          <w:color w:val="4A6FA5"/>
          <w:sz w:val="26"/>
          <w:szCs w:val="26"/>
        </w:rPr>
        <w:t xml:space="preserve">24.9  </w:t>
      </w:r>
      <w:r>
        <w:rPr>
          <w:b/>
          <w:bCs/>
          <w:color w:val="1F3864"/>
          <w:sz w:val="26"/>
          <w:szCs w:val="26"/>
        </w:rPr>
        <w:t xml:space="preserve">Quality Engineering Acceptance Checklist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Verify test execution results and coverage.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Confirms the platform's quality has been demonstrated through evidence, not assertion.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Directly verifies compliance with Chapter 16 — Quality Engineering and Testing Standards.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Full test evidence, at target coverage, with defects resolved to agreed thresholds.</w:t>
            </w:r>
          </w:p>
        </w:tc>
      </w:tr>
    </w:tbl>
    <w:p>
      <w:pPr>
        <w:spacing w:after="160"/>
      </w:pPr>
    </w:p>
    <w:p>
      <w:pPr>
        <w:spacing w:after="150" w:line="276"/>
        <w:jc w:val="both"/>
      </w:pPr>
      <w:r>
        <w:t xml:space="preserve">Verify: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67"/>
        <w:gridCol w:w="1613"/>
      </w:tblGrid>
      <w:tr>
        <w:trPr>
          <w:tblHeader/>
        </w:trPr>
        <w:tc>
          <w:tcPr>
            <w:tcW w:type="dxa" w:w="8467"/>
            <w:shd w:fill="1F3864" w:val="clear"/>
            <w:tcMar>
              <w:top w:type="dxa" w:w="70"/>
              <w:left w:type="dxa" w:w="110"/>
              <w:bottom w:type="dxa" w:w="70"/>
              <w:right w:type="dxa" w:w="110"/>
            </w:tcMar>
            <w:vAlign w:val="top"/>
          </w:tcPr>
          <w:p>
            <w:r>
              <w:rPr>
                <w:b/>
                <w:bCs/>
                <w:color w:val="FFFFFF"/>
                <w:sz w:val="17"/>
                <w:szCs w:val="17"/>
              </w:rPr>
              <w:t xml:space="preserve">Item</w:t>
            </w:r>
          </w:p>
        </w:tc>
        <w:tc>
          <w:tcPr>
            <w:tcW w:type="dxa" w:w="1613"/>
            <w:shd w:fill="1F3864" w:val="clear"/>
            <w:tcMar>
              <w:top w:type="dxa" w:w="70"/>
              <w:left w:type="dxa" w:w="110"/>
              <w:bottom w:type="dxa" w:w="70"/>
              <w:right w:type="dxa" w:w="110"/>
            </w:tcMar>
            <w:vAlign w:val="top"/>
          </w:tcPr>
          <w:p>
            <w:r>
              <w:rPr>
                <w:b/>
                <w:bCs/>
                <w:color w:val="FFFFFF"/>
                <w:sz w:val="17"/>
                <w:szCs w:val="17"/>
              </w:rPr>
              <w:t xml:space="preserve">Verification</w:t>
            </w:r>
          </w:p>
        </w:tc>
      </w:tr>
      <w:tr>
        <w:tc>
          <w:tcPr>
            <w:tcW w:type="dxa" w:w="8467"/>
            <w:tcMar>
              <w:top w:type="dxa" w:w="70"/>
              <w:left w:type="dxa" w:w="110"/>
              <w:bottom w:type="dxa" w:w="70"/>
              <w:right w:type="dxa" w:w="110"/>
            </w:tcMar>
            <w:vAlign w:val="top"/>
          </w:tcPr>
          <w:p>
            <w:r>
              <w:rPr>
                <w:b/>
                <w:bCs/>
                <w:color w:val="1A1A1A"/>
                <w:sz w:val="16"/>
                <w:szCs w:val="16"/>
              </w:rPr>
              <w:t xml:space="preserve">Unit tests passed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Integration tests passed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API tests passed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End-to-End tests passed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Regression tests completed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UAT completed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Test coverage meets target</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Defects resolved within agreed thresholds</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bl>
    <w:p>
      <w:pPr>
        <w:pStyle w:val="Heading1"/>
        <w:pBdr>
          <w:bottom w:val="single" w:color="C6D2E0" w:sz="4" w:space="4"/>
        </w:pBdr>
        <w:spacing w:after="140" w:before="360"/>
      </w:pPr>
      <w:r>
        <w:rPr>
          <w:b/>
          <w:bCs/>
          <w:color w:val="4A6FA5"/>
          <w:sz w:val="26"/>
          <w:szCs w:val="26"/>
        </w:rPr>
        <w:t xml:space="preserve">24.10  </w:t>
      </w:r>
      <w:r>
        <w:rPr>
          <w:b/>
          <w:bCs/>
          <w:color w:val="1F3864"/>
          <w:sz w:val="26"/>
          <w:szCs w:val="26"/>
        </w:rPr>
        <w:t xml:space="preserve">DevSecOps Acceptance Checklist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Verify deployment pipeline, infrastructure, and rollback readiness.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Confirms the platform can be deployed, monitored, and rolled back reliably.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Directly verifies compliance with Chapter 15 — DevSecOps and Infrastructure Standards.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deployment pipeline and infrastructure verified ready for production traffic.</w:t>
            </w:r>
          </w:p>
        </w:tc>
      </w:tr>
    </w:tbl>
    <w:p>
      <w:pPr>
        <w:spacing w:after="160"/>
      </w:pPr>
    </w:p>
    <w:p>
      <w:pPr>
        <w:spacing w:after="150" w:line="276"/>
        <w:jc w:val="both"/>
      </w:pPr>
      <w:r>
        <w:t xml:space="preserve">Confirm: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67"/>
        <w:gridCol w:w="1613"/>
      </w:tblGrid>
      <w:tr>
        <w:trPr>
          <w:tblHeader/>
        </w:trPr>
        <w:tc>
          <w:tcPr>
            <w:tcW w:type="dxa" w:w="8467"/>
            <w:shd w:fill="1F3864" w:val="clear"/>
            <w:tcMar>
              <w:top w:type="dxa" w:w="70"/>
              <w:left w:type="dxa" w:w="110"/>
              <w:bottom w:type="dxa" w:w="70"/>
              <w:right w:type="dxa" w:w="110"/>
            </w:tcMar>
            <w:vAlign w:val="top"/>
          </w:tcPr>
          <w:p>
            <w:r>
              <w:rPr>
                <w:b/>
                <w:bCs/>
                <w:color w:val="FFFFFF"/>
                <w:sz w:val="17"/>
                <w:szCs w:val="17"/>
              </w:rPr>
              <w:t xml:space="preserve">Item</w:t>
            </w:r>
          </w:p>
        </w:tc>
        <w:tc>
          <w:tcPr>
            <w:tcW w:type="dxa" w:w="1613"/>
            <w:shd w:fill="1F3864" w:val="clear"/>
            <w:tcMar>
              <w:top w:type="dxa" w:w="70"/>
              <w:left w:type="dxa" w:w="110"/>
              <w:bottom w:type="dxa" w:w="70"/>
              <w:right w:type="dxa" w:w="110"/>
            </w:tcMar>
            <w:vAlign w:val="top"/>
          </w:tcPr>
          <w:p>
            <w:r>
              <w:rPr>
                <w:b/>
                <w:bCs/>
                <w:color w:val="FFFFFF"/>
                <w:sz w:val="17"/>
                <w:szCs w:val="17"/>
              </w:rPr>
              <w:t xml:space="preserve">Verification</w:t>
            </w:r>
          </w:p>
        </w:tc>
      </w:tr>
      <w:tr>
        <w:tc>
          <w:tcPr>
            <w:tcW w:type="dxa" w:w="8467"/>
            <w:tcMar>
              <w:top w:type="dxa" w:w="70"/>
              <w:left w:type="dxa" w:w="110"/>
              <w:bottom w:type="dxa" w:w="70"/>
              <w:right w:type="dxa" w:w="110"/>
            </w:tcMar>
            <w:vAlign w:val="top"/>
          </w:tcPr>
          <w:p>
            <w:r>
              <w:rPr>
                <w:b/>
                <w:bCs/>
                <w:color w:val="1A1A1A"/>
                <w:sz w:val="16"/>
                <w:szCs w:val="16"/>
              </w:rPr>
              <w:t xml:space="preserve">CI/CD pipeline operational</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Infrastructure as Code validated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Deployment scripts verified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Environment configuration complete</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Monitoring dashboards active</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Logging configured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Rollback procedures tested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bl>
    <w:p>
      <w:pPr>
        <w:pStyle w:val="Heading1"/>
        <w:pBdr>
          <w:bottom w:val="single" w:color="C6D2E0" w:sz="4" w:space="4"/>
        </w:pBdr>
        <w:spacing w:after="140" w:before="360"/>
      </w:pPr>
      <w:r>
        <w:rPr>
          <w:b/>
          <w:bCs/>
          <w:color w:val="4A6FA5"/>
          <w:sz w:val="26"/>
          <w:szCs w:val="26"/>
        </w:rPr>
        <w:t xml:space="preserve">24.11  </w:t>
      </w:r>
      <w:r>
        <w:rPr>
          <w:b/>
          <w:bCs/>
          <w:color w:val="1F3864"/>
          <w:sz w:val="26"/>
          <w:szCs w:val="26"/>
        </w:rPr>
        <w:t xml:space="preserve">Documentation Acceptance Checklist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Verify completeness of all mandatory documentation.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the client can operate and maintain the platform after handover.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Directly verifies compliance with Chapter 17 — Documentation Standards.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complete documentation set ready for NPCO's independent operation of the platform.</w:t>
            </w:r>
          </w:p>
        </w:tc>
      </w:tr>
    </w:tbl>
    <w:p>
      <w:pPr>
        <w:spacing w:after="160"/>
      </w:pPr>
    </w:p>
    <w:p>
      <w:pPr>
        <w:spacing w:after="150" w:line="276"/>
        <w:jc w:val="both"/>
      </w:pPr>
      <w:r>
        <w:t xml:space="preserve">Verify: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67"/>
        <w:gridCol w:w="1613"/>
      </w:tblGrid>
      <w:tr>
        <w:trPr>
          <w:tblHeader/>
        </w:trPr>
        <w:tc>
          <w:tcPr>
            <w:tcW w:type="dxa" w:w="8467"/>
            <w:shd w:fill="1F3864" w:val="clear"/>
            <w:tcMar>
              <w:top w:type="dxa" w:w="70"/>
              <w:left w:type="dxa" w:w="110"/>
              <w:bottom w:type="dxa" w:w="70"/>
              <w:right w:type="dxa" w:w="110"/>
            </w:tcMar>
            <w:vAlign w:val="top"/>
          </w:tcPr>
          <w:p>
            <w:r>
              <w:rPr>
                <w:b/>
                <w:bCs/>
                <w:color w:val="FFFFFF"/>
                <w:sz w:val="17"/>
                <w:szCs w:val="17"/>
              </w:rPr>
              <w:t xml:space="preserve">Item</w:t>
            </w:r>
          </w:p>
        </w:tc>
        <w:tc>
          <w:tcPr>
            <w:tcW w:type="dxa" w:w="1613"/>
            <w:shd w:fill="1F3864" w:val="clear"/>
            <w:tcMar>
              <w:top w:type="dxa" w:w="70"/>
              <w:left w:type="dxa" w:w="110"/>
              <w:bottom w:type="dxa" w:w="70"/>
              <w:right w:type="dxa" w:w="110"/>
            </w:tcMar>
            <w:vAlign w:val="top"/>
          </w:tcPr>
          <w:p>
            <w:r>
              <w:rPr>
                <w:b/>
                <w:bCs/>
                <w:color w:val="FFFFFF"/>
                <w:sz w:val="17"/>
                <w:szCs w:val="17"/>
              </w:rPr>
              <w:t xml:space="preserve">Verification</w:t>
            </w:r>
          </w:p>
        </w:tc>
      </w:tr>
      <w:tr>
        <w:tc>
          <w:tcPr>
            <w:tcW w:type="dxa" w:w="8467"/>
            <w:tcMar>
              <w:top w:type="dxa" w:w="70"/>
              <w:left w:type="dxa" w:w="110"/>
              <w:bottom w:type="dxa" w:w="70"/>
              <w:right w:type="dxa" w:w="110"/>
            </w:tcMar>
            <w:vAlign w:val="top"/>
          </w:tcPr>
          <w:p>
            <w:r>
              <w:rPr>
                <w:b/>
                <w:bCs/>
                <w:color w:val="1A1A1A"/>
                <w:sz w:val="16"/>
                <w:szCs w:val="16"/>
              </w:rPr>
              <w:t xml:space="preserve">User Manual completed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Administrator Guide completed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Technical Documentation complete</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API Documentation complete</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Database Documentation complete</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Operations Runbooks completed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Knowledge Base populated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Release Notes prepared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bl>
    <w:p>
      <w:pPr>
        <w:pStyle w:val="Heading1"/>
        <w:pBdr>
          <w:bottom w:val="single" w:color="C6D2E0" w:sz="4" w:space="4"/>
        </w:pBdr>
        <w:spacing w:after="140" w:before="360"/>
      </w:pPr>
      <w:r>
        <w:rPr>
          <w:b/>
          <w:bCs/>
          <w:color w:val="4A6FA5"/>
          <w:sz w:val="26"/>
          <w:szCs w:val="26"/>
        </w:rPr>
        <w:t xml:space="preserve">24.12  </w:t>
      </w:r>
      <w:r>
        <w:rPr>
          <w:b/>
          <w:bCs/>
          <w:color w:val="1F3864"/>
          <w:sz w:val="26"/>
          <w:szCs w:val="26"/>
        </w:rPr>
        <w:t xml:space="preserve">Training and Knowledge Transfer Checklist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Verify all training and knowledge transfer activities are complete.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the client's ability to operate the platform without ongoing vendor dependency.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Directly verifies compliance with Section 17.14 — Knowledge Transfer Documentation.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client team trained and equipped to sustain the platform independently.</w:t>
            </w:r>
          </w:p>
        </w:tc>
      </w:tr>
    </w:tbl>
    <w:p>
      <w:pPr>
        <w:spacing w:after="160"/>
      </w:pPr>
    </w:p>
    <w:p>
      <w:pPr>
        <w:spacing w:after="150" w:line="276"/>
        <w:jc w:val="both"/>
      </w:pPr>
      <w:r>
        <w:t xml:space="preserve">Confirm: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67"/>
        <w:gridCol w:w="1613"/>
      </w:tblGrid>
      <w:tr>
        <w:trPr>
          <w:tblHeader/>
        </w:trPr>
        <w:tc>
          <w:tcPr>
            <w:tcW w:type="dxa" w:w="8467"/>
            <w:shd w:fill="1F3864" w:val="clear"/>
            <w:tcMar>
              <w:top w:type="dxa" w:w="70"/>
              <w:left w:type="dxa" w:w="110"/>
              <w:bottom w:type="dxa" w:w="70"/>
              <w:right w:type="dxa" w:w="110"/>
            </w:tcMar>
            <w:vAlign w:val="top"/>
          </w:tcPr>
          <w:p>
            <w:r>
              <w:rPr>
                <w:b/>
                <w:bCs/>
                <w:color w:val="FFFFFF"/>
                <w:sz w:val="17"/>
                <w:szCs w:val="17"/>
              </w:rPr>
              <w:t xml:space="preserve">Item</w:t>
            </w:r>
          </w:p>
        </w:tc>
        <w:tc>
          <w:tcPr>
            <w:tcW w:type="dxa" w:w="1613"/>
            <w:shd w:fill="1F3864" w:val="clear"/>
            <w:tcMar>
              <w:top w:type="dxa" w:w="70"/>
              <w:left w:type="dxa" w:w="110"/>
              <w:bottom w:type="dxa" w:w="70"/>
              <w:right w:type="dxa" w:w="110"/>
            </w:tcMar>
            <w:vAlign w:val="top"/>
          </w:tcPr>
          <w:p>
            <w:r>
              <w:rPr>
                <w:b/>
                <w:bCs/>
                <w:color w:val="FFFFFF"/>
                <w:sz w:val="17"/>
                <w:szCs w:val="17"/>
              </w:rPr>
              <w:t xml:space="preserve">Verification</w:t>
            </w:r>
          </w:p>
        </w:tc>
      </w:tr>
      <w:tr>
        <w:tc>
          <w:tcPr>
            <w:tcW w:type="dxa" w:w="8467"/>
            <w:tcMar>
              <w:top w:type="dxa" w:w="70"/>
              <w:left w:type="dxa" w:w="110"/>
              <w:bottom w:type="dxa" w:w="70"/>
              <w:right w:type="dxa" w:w="110"/>
            </w:tcMar>
            <w:vAlign w:val="top"/>
          </w:tcPr>
          <w:p>
            <w:r>
              <w:rPr>
                <w:b/>
                <w:bCs/>
                <w:color w:val="1A1A1A"/>
                <w:sz w:val="16"/>
                <w:szCs w:val="16"/>
              </w:rPr>
              <w:t xml:space="preserve">End-user training completed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Administrator training completed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Technical team training completed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Knowledge transfer sessions conducted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Training materials delivered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Recorded demonstrations provided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Handover documentation signed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bl>
    <w:p>
      <w:pPr>
        <w:pStyle w:val="Heading1"/>
        <w:pBdr>
          <w:bottom w:val="single" w:color="C6D2E0" w:sz="4" w:space="4"/>
        </w:pBdr>
        <w:spacing w:after="140" w:before="360"/>
      </w:pPr>
      <w:r>
        <w:rPr>
          <w:b/>
          <w:bCs/>
          <w:color w:val="4A6FA5"/>
          <w:sz w:val="26"/>
          <w:szCs w:val="26"/>
        </w:rPr>
        <w:t xml:space="preserve">24.13  </w:t>
      </w:r>
      <w:r>
        <w:rPr>
          <w:b/>
          <w:bCs/>
          <w:color w:val="1F3864"/>
          <w:sz w:val="26"/>
          <w:szCs w:val="26"/>
        </w:rPr>
        <w:t xml:space="preserve">Operational Readiness Checklist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Verify the production environment and support model are ready.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the platform can be operated and supported from day one of go-live.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Directly verifies compliance with Section 15.17 — Operational Support.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production environment, support model, and hypercare plan fully prepared.</w:t>
            </w:r>
          </w:p>
        </w:tc>
      </w:tr>
    </w:tbl>
    <w:p>
      <w:pPr>
        <w:spacing w:after="160"/>
      </w:pPr>
    </w:p>
    <w:p>
      <w:pPr>
        <w:spacing w:after="150" w:line="276"/>
        <w:jc w:val="both"/>
      </w:pPr>
      <w:r>
        <w:t xml:space="preserve">Verify: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67"/>
        <w:gridCol w:w="1613"/>
      </w:tblGrid>
      <w:tr>
        <w:trPr>
          <w:tblHeader/>
        </w:trPr>
        <w:tc>
          <w:tcPr>
            <w:tcW w:type="dxa" w:w="8467"/>
            <w:shd w:fill="1F3864" w:val="clear"/>
            <w:tcMar>
              <w:top w:type="dxa" w:w="70"/>
              <w:left w:type="dxa" w:w="110"/>
              <w:bottom w:type="dxa" w:w="70"/>
              <w:right w:type="dxa" w:w="110"/>
            </w:tcMar>
            <w:vAlign w:val="top"/>
          </w:tcPr>
          <w:p>
            <w:r>
              <w:rPr>
                <w:b/>
                <w:bCs/>
                <w:color w:val="FFFFFF"/>
                <w:sz w:val="17"/>
                <w:szCs w:val="17"/>
              </w:rPr>
              <w:t xml:space="preserve">Item</w:t>
            </w:r>
          </w:p>
        </w:tc>
        <w:tc>
          <w:tcPr>
            <w:tcW w:type="dxa" w:w="1613"/>
            <w:shd w:fill="1F3864" w:val="clear"/>
            <w:tcMar>
              <w:top w:type="dxa" w:w="70"/>
              <w:left w:type="dxa" w:w="110"/>
              <w:bottom w:type="dxa" w:w="70"/>
              <w:right w:type="dxa" w:w="110"/>
            </w:tcMar>
            <w:vAlign w:val="top"/>
          </w:tcPr>
          <w:p>
            <w:r>
              <w:rPr>
                <w:b/>
                <w:bCs/>
                <w:color w:val="FFFFFF"/>
                <w:sz w:val="17"/>
                <w:szCs w:val="17"/>
              </w:rPr>
              <w:t xml:space="preserve">Verification</w:t>
            </w:r>
          </w:p>
        </w:tc>
      </w:tr>
      <w:tr>
        <w:tc>
          <w:tcPr>
            <w:tcW w:type="dxa" w:w="8467"/>
            <w:tcMar>
              <w:top w:type="dxa" w:w="70"/>
              <w:left w:type="dxa" w:w="110"/>
              <w:bottom w:type="dxa" w:w="70"/>
              <w:right w:type="dxa" w:w="110"/>
            </w:tcMar>
            <w:vAlign w:val="top"/>
          </w:tcPr>
          <w:p>
            <w:r>
              <w:rPr>
                <w:b/>
                <w:bCs/>
                <w:color w:val="1A1A1A"/>
                <w:sz w:val="16"/>
                <w:szCs w:val="16"/>
              </w:rPr>
              <w:t xml:space="preserve">Production environment ready</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Monitoring enabled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Alerting configured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Backup schedule active</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Disaster Recovery Plan tested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Support model established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Service Desk prepared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Hypercare plan approved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bl>
    <w:p>
      <w:pPr>
        <w:pStyle w:val="Heading1"/>
        <w:pBdr>
          <w:bottom w:val="single" w:color="C6D2E0" w:sz="4" w:space="4"/>
        </w:pBdr>
        <w:spacing w:after="140" w:before="360"/>
      </w:pPr>
      <w:r>
        <w:rPr>
          <w:b/>
          <w:bCs/>
          <w:color w:val="4A6FA5"/>
          <w:sz w:val="26"/>
          <w:szCs w:val="26"/>
        </w:rPr>
        <w:t xml:space="preserve">24.14  </w:t>
      </w:r>
      <w:r>
        <w:rPr>
          <w:b/>
          <w:bCs/>
          <w:color w:val="1F3864"/>
          <w:sz w:val="26"/>
          <w:szCs w:val="26"/>
        </w:rPr>
        <w:t xml:space="preserve">Governance and Compliance Checklist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Verify all governance approvals and compliance obligations are satisfied.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Confirms the platform has cleared every governance gate defined in this handbook.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Directly verifies compliance with Chapters 6, 21, and 22.</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governance approval documented and closed before go-live.</w:t>
            </w:r>
          </w:p>
        </w:tc>
      </w:tr>
    </w:tbl>
    <w:p>
      <w:pPr>
        <w:spacing w:after="160"/>
      </w:pPr>
    </w:p>
    <w:p>
      <w:pPr>
        <w:spacing w:after="150" w:line="276"/>
        <w:jc w:val="both"/>
      </w:pPr>
      <w:r>
        <w:t xml:space="preserve">Confirm: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67"/>
        <w:gridCol w:w="1613"/>
      </w:tblGrid>
      <w:tr>
        <w:trPr>
          <w:tblHeader/>
        </w:trPr>
        <w:tc>
          <w:tcPr>
            <w:tcW w:type="dxa" w:w="8467"/>
            <w:shd w:fill="1F3864" w:val="clear"/>
            <w:tcMar>
              <w:top w:type="dxa" w:w="70"/>
              <w:left w:type="dxa" w:w="110"/>
              <w:bottom w:type="dxa" w:w="70"/>
              <w:right w:type="dxa" w:w="110"/>
            </w:tcMar>
            <w:vAlign w:val="top"/>
          </w:tcPr>
          <w:p>
            <w:r>
              <w:rPr>
                <w:b/>
                <w:bCs/>
                <w:color w:val="FFFFFF"/>
                <w:sz w:val="17"/>
                <w:szCs w:val="17"/>
              </w:rPr>
              <w:t xml:space="preserve">Item</w:t>
            </w:r>
          </w:p>
        </w:tc>
        <w:tc>
          <w:tcPr>
            <w:tcW w:type="dxa" w:w="1613"/>
            <w:shd w:fill="1F3864" w:val="clear"/>
            <w:tcMar>
              <w:top w:type="dxa" w:w="70"/>
              <w:left w:type="dxa" w:w="110"/>
              <w:bottom w:type="dxa" w:w="70"/>
              <w:right w:type="dxa" w:w="110"/>
            </w:tcMar>
            <w:vAlign w:val="top"/>
          </w:tcPr>
          <w:p>
            <w:r>
              <w:rPr>
                <w:b/>
                <w:bCs/>
                <w:color w:val="FFFFFF"/>
                <w:sz w:val="17"/>
                <w:szCs w:val="17"/>
              </w:rPr>
              <w:t xml:space="preserve">Verification</w:t>
            </w:r>
          </w:p>
        </w:tc>
      </w:tr>
      <w:tr>
        <w:tc>
          <w:tcPr>
            <w:tcW w:type="dxa" w:w="8467"/>
            <w:tcMar>
              <w:top w:type="dxa" w:w="70"/>
              <w:left w:type="dxa" w:w="110"/>
              <w:bottom w:type="dxa" w:w="70"/>
              <w:right w:type="dxa" w:w="110"/>
            </w:tcMar>
            <w:vAlign w:val="top"/>
          </w:tcPr>
          <w:p>
            <w:r>
              <w:rPr>
                <w:b/>
                <w:bCs/>
                <w:color w:val="1A1A1A"/>
                <w:sz w:val="16"/>
                <w:szCs w:val="16"/>
              </w:rPr>
              <w:t xml:space="preserve">Risk Register updated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Change Requests closed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ADRs approved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Security approvals obtained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Architecture approvals obtained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UAT sign-off completed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r>
        <w:tc>
          <w:tcPr>
            <w:tcW w:type="dxa" w:w="8467"/>
            <w:tcMar>
              <w:top w:type="dxa" w:w="70"/>
              <w:left w:type="dxa" w:w="110"/>
              <w:bottom w:type="dxa" w:w="70"/>
              <w:right w:type="dxa" w:w="110"/>
            </w:tcMar>
            <w:vAlign w:val="top"/>
          </w:tcPr>
          <w:p>
            <w:r>
              <w:rPr>
                <w:b/>
                <w:bCs/>
                <w:color w:val="1A1A1A"/>
                <w:sz w:val="16"/>
                <w:szCs w:val="16"/>
              </w:rPr>
              <w:t xml:space="preserve">Executive approval obtained</w:t>
            </w:r>
          </w:p>
        </w:tc>
        <w:tc>
          <w:tcPr>
            <w:tcW w:type="dxa" w:w="1613"/>
            <w:tcMar>
              <w:top w:type="dxa" w:w="70"/>
              <w:left w:type="dxa" w:w="110"/>
              <w:bottom w:type="dxa" w:w="70"/>
              <w:right w:type="dxa" w:w="110"/>
            </w:tcMar>
            <w:vAlign w:val="top"/>
          </w:tcPr>
          <w:p>
            <w:r>
              <w:rPr>
                <w:b w:val="false"/>
                <w:bCs w:val="false"/>
                <w:color w:val="1A1A1A"/>
                <w:sz w:val="16"/>
                <w:szCs w:val="16"/>
              </w:rPr>
              <w:t xml:space="preserve">☐</w:t>
            </w:r>
          </w:p>
        </w:tc>
      </w:tr>
    </w:tbl>
    <w:p>
      <w:pPr>
        <w:pStyle w:val="Heading1"/>
        <w:pBdr>
          <w:bottom w:val="single" w:color="C6D2E0" w:sz="4" w:space="4"/>
        </w:pBdr>
        <w:spacing w:after="140" w:before="360"/>
      </w:pPr>
      <w:r>
        <w:rPr>
          <w:b/>
          <w:bCs/>
          <w:color w:val="4A6FA5"/>
          <w:sz w:val="26"/>
          <w:szCs w:val="26"/>
        </w:rPr>
        <w:t xml:space="preserve">24.15  </w:t>
      </w:r>
      <w:r>
        <w:rPr>
          <w:b/>
          <w:bCs/>
          <w:color w:val="1F3864"/>
          <w:sz w:val="26"/>
          <w:szCs w:val="26"/>
        </w:rPr>
        <w:t xml:space="preserve">Go-Live Readiness Review (GLRR)</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formal review conducted before production deployment.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every governance discipline a final opportunity to object before go-live.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Chaired by the Programme Manager, with representatives from every engineering and business discipline.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single, formal go/no-go decision point before production deployment.</w:t>
            </w:r>
          </w:p>
        </w:tc>
      </w:tr>
    </w:tbl>
    <w:p>
      <w:pPr>
        <w:spacing w:after="160"/>
      </w:pPr>
    </w:p>
    <w:p>
      <w:pPr>
        <w:spacing w:after="150" w:line="276"/>
        <w:jc w:val="both"/>
      </w:pPr>
      <w:r>
        <w:t xml:space="preserve">A formal Go-Live Readiness Review shall be conducted before production deployment. The review shall confirm:</w:t>
      </w:r>
    </w:p>
    <w:p>
      <w:pPr>
        <w:pStyle w:val="ListParagraph"/>
        <w:numPr>
          <w:ilvl w:val="0"/>
          <w:numId w:val="1"/>
        </w:numPr>
        <w:spacing w:after="90" w:line="264"/>
      </w:pPr>
      <w:r>
        <w:t xml:space="preserve">All mandatory acceptance criteria have been met.</w:t>
      </w:r>
    </w:p>
    <w:p>
      <w:pPr>
        <w:pStyle w:val="ListParagraph"/>
        <w:numPr>
          <w:ilvl w:val="0"/>
          <w:numId w:val="1"/>
        </w:numPr>
        <w:spacing w:after="90" w:line="264"/>
      </w:pPr>
      <w:r>
        <w:t xml:space="preserve">No unresolved Critical or High risks remain.</w:t>
      </w:r>
    </w:p>
    <w:p>
      <w:pPr>
        <w:pStyle w:val="ListParagraph"/>
        <w:numPr>
          <w:ilvl w:val="0"/>
          <w:numId w:val="1"/>
        </w:numPr>
        <w:spacing w:after="90" w:line="264"/>
      </w:pPr>
      <w:r>
        <w:t xml:space="preserve">Business stakeholders approve deployment.</w:t>
      </w:r>
    </w:p>
    <w:p>
      <w:pPr>
        <w:pStyle w:val="ListParagraph"/>
        <w:numPr>
          <w:ilvl w:val="0"/>
          <w:numId w:val="1"/>
        </w:numPr>
        <w:spacing w:after="90" w:line="264"/>
      </w:pPr>
      <w:r>
        <w:t xml:space="preserve">Operational support is prepared.</w:t>
      </w:r>
    </w:p>
    <w:p>
      <w:pPr>
        <w:pStyle w:val="ListParagraph"/>
        <w:numPr>
          <w:ilvl w:val="0"/>
          <w:numId w:val="1"/>
        </w:numPr>
        <w:spacing w:after="90" w:line="264"/>
      </w:pPr>
      <w:r>
        <w:t xml:space="preserve">Rollback plans have been validated.</w:t>
      </w:r>
    </w:p>
    <w:p>
      <w:pPr>
        <w:pStyle w:val="ListParagraph"/>
        <w:numPr>
          <w:ilvl w:val="0"/>
          <w:numId w:val="1"/>
        </w:numPr>
        <w:spacing w:after="90" w:line="264"/>
      </w:pPr>
      <w:r>
        <w:t xml:space="preserve">Monitoring and incident response are active.</w:t>
      </w:r>
    </w:p>
    <w:p>
      <w:pPr>
        <w:spacing w:after="150" w:line="276"/>
        <w:jc w:val="both"/>
      </w:pPr>
      <w:r>
        <w:t xml:space="preserve">The Go-Live Readiness Review shall be chaired by the Programme Manager and include representatives from:</w:t>
      </w:r>
    </w:p>
    <w:p>
      <w:pPr>
        <w:pStyle w:val="ListParagraph"/>
        <w:numPr>
          <w:ilvl w:val="0"/>
          <w:numId w:val="1"/>
        </w:numPr>
        <w:spacing w:after="90" w:line="264"/>
      </w:pPr>
      <w:r>
        <w:t xml:space="preserve">NPCO</w:t>
      </w:r>
    </w:p>
    <w:p>
      <w:pPr>
        <w:pStyle w:val="ListParagraph"/>
        <w:numPr>
          <w:ilvl w:val="0"/>
          <w:numId w:val="1"/>
        </w:numPr>
        <w:spacing w:after="90" w:line="264"/>
      </w:pPr>
      <w:r>
        <w:t xml:space="preserve">Product Owner</w:t>
      </w:r>
    </w:p>
    <w:p>
      <w:pPr>
        <w:pStyle w:val="ListParagraph"/>
        <w:numPr>
          <w:ilvl w:val="0"/>
          <w:numId w:val="1"/>
        </w:numPr>
        <w:spacing w:after="90" w:line="264"/>
      </w:pPr>
      <w:r>
        <w:t xml:space="preserve">Solution Architecture</w:t>
      </w:r>
    </w:p>
    <w:p>
      <w:pPr>
        <w:pStyle w:val="ListParagraph"/>
        <w:numPr>
          <w:ilvl w:val="0"/>
          <w:numId w:val="1"/>
        </w:numPr>
        <w:spacing w:after="90" w:line="264"/>
      </w:pPr>
      <w:r>
        <w:t xml:space="preserve">Engineering</w:t>
      </w:r>
    </w:p>
    <w:p>
      <w:pPr>
        <w:pStyle w:val="ListParagraph"/>
        <w:numPr>
          <w:ilvl w:val="0"/>
          <w:numId w:val="1"/>
        </w:numPr>
        <w:spacing w:after="90" w:line="264"/>
      </w:pPr>
      <w:r>
        <w:t xml:space="preserve">Quality Assurance</w:t>
      </w:r>
    </w:p>
    <w:p>
      <w:pPr>
        <w:pStyle w:val="ListParagraph"/>
        <w:numPr>
          <w:ilvl w:val="0"/>
          <w:numId w:val="1"/>
        </w:numPr>
        <w:spacing w:after="90" w:line="264"/>
      </w:pPr>
      <w:r>
        <w:t xml:space="preserve">DevSecOps</w:t>
      </w:r>
    </w:p>
    <w:p>
      <w:pPr>
        <w:pStyle w:val="ListParagraph"/>
        <w:numPr>
          <w:ilvl w:val="0"/>
          <w:numId w:val="1"/>
        </w:numPr>
        <w:spacing w:after="90" w:line="264"/>
      </w:pPr>
      <w:r>
        <w:t xml:space="preserve">Information Security</w:t>
      </w:r>
    </w:p>
    <w:p>
      <w:pPr>
        <w:pStyle w:val="ListParagraph"/>
        <w:numPr>
          <w:ilvl w:val="0"/>
          <w:numId w:val="1"/>
        </w:numPr>
        <w:spacing w:after="90" w:line="264"/>
      </w:pPr>
      <w:r>
        <w:t xml:space="preserve">Business Operations</w:t>
      </w:r>
    </w:p>
    <w:p>
      <w:pPr>
        <w:pStyle w:val="Heading1"/>
        <w:pBdr>
          <w:bottom w:val="single" w:color="C6D2E0" w:sz="4" w:space="4"/>
        </w:pBdr>
        <w:spacing w:after="140" w:before="360"/>
      </w:pPr>
      <w:r>
        <w:rPr>
          <w:b/>
          <w:bCs/>
          <w:color w:val="4A6FA5"/>
          <w:sz w:val="26"/>
          <w:szCs w:val="26"/>
        </w:rPr>
        <w:t xml:space="preserve">24.16  </w:t>
      </w:r>
      <w:r>
        <w:rPr>
          <w:b/>
          <w:bCs/>
          <w:color w:val="1F3864"/>
          <w:sz w:val="26"/>
          <w:szCs w:val="26"/>
        </w:rPr>
        <w:t xml:space="preserve">Production Acceptance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requirements for formal production acceptance.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Establishes an unambiguous, documented moment of project completion.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Requires a formal acceptance certificate signed by authorized representatives.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documented, signed record that the platform has been formally accepted.</w:t>
            </w:r>
          </w:p>
        </w:tc>
      </w:tr>
    </w:tbl>
    <w:p>
      <w:pPr>
        <w:spacing w:after="160"/>
      </w:pPr>
    </w:p>
    <w:p>
      <w:pPr>
        <w:spacing w:after="150" w:line="276"/>
        <w:jc w:val="both"/>
      </w:pPr>
      <w:r>
        <w:t xml:space="preserve">Formal production acceptance shall require:</w:t>
      </w:r>
    </w:p>
    <w:p>
      <w:pPr>
        <w:pStyle w:val="ListParagraph"/>
        <w:numPr>
          <w:ilvl w:val="0"/>
          <w:numId w:val="1"/>
        </w:numPr>
        <w:spacing w:after="90" w:line="264"/>
      </w:pPr>
      <w:r>
        <w:t xml:space="preserve">Successful deployment.</w:t>
      </w:r>
    </w:p>
    <w:p>
      <w:pPr>
        <w:pStyle w:val="ListParagraph"/>
        <w:numPr>
          <w:ilvl w:val="0"/>
          <w:numId w:val="1"/>
        </w:numPr>
        <w:spacing w:after="90" w:line="264"/>
      </w:pPr>
      <w:r>
        <w:t xml:space="preserve">Production smoke testing.</w:t>
      </w:r>
    </w:p>
    <w:p>
      <w:pPr>
        <w:pStyle w:val="ListParagraph"/>
        <w:numPr>
          <w:ilvl w:val="0"/>
          <w:numId w:val="1"/>
        </w:numPr>
        <w:spacing w:after="90" w:line="264"/>
      </w:pPr>
      <w:r>
        <w:t xml:space="preserve">Business verification.</w:t>
      </w:r>
    </w:p>
    <w:p>
      <w:pPr>
        <w:pStyle w:val="ListParagraph"/>
        <w:numPr>
          <w:ilvl w:val="0"/>
          <w:numId w:val="1"/>
        </w:numPr>
        <w:spacing w:after="90" w:line="264"/>
      </w:pPr>
      <w:r>
        <w:t xml:space="preserve">Operational validation.</w:t>
      </w:r>
    </w:p>
    <w:p>
      <w:pPr>
        <w:pStyle w:val="ListParagraph"/>
        <w:numPr>
          <w:ilvl w:val="0"/>
          <w:numId w:val="1"/>
        </w:numPr>
        <w:spacing w:after="90" w:line="264"/>
      </w:pPr>
      <w:r>
        <w:t xml:space="preserve">Hypercare initiation.</w:t>
      </w:r>
    </w:p>
    <w:p>
      <w:pPr>
        <w:pStyle w:val="ListParagraph"/>
        <w:numPr>
          <w:ilvl w:val="0"/>
          <w:numId w:val="1"/>
        </w:numPr>
        <w:spacing w:after="90" w:line="264"/>
      </w:pPr>
      <w:r>
        <w:t xml:space="preserve">Formal acceptance certificate signed by authorized representatives.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WARNING</w:t>
            </w:r>
          </w:p>
          <w:p>
            <w:pPr>
              <w:spacing w:after="0"/>
            </w:pPr>
            <w:r>
              <w:rPr>
                <w:sz w:val="18"/>
                <w:szCs w:val="18"/>
              </w:rPr>
              <w:t xml:space="preserve">No project shall be considered complete until formal acceptance has been documented.</w:t>
            </w:r>
          </w:p>
        </w:tc>
      </w:tr>
    </w:tbl>
    <w:p>
      <w:pPr>
        <w:pStyle w:val="Heading1"/>
        <w:pBdr>
          <w:bottom w:val="single" w:color="C6D2E0" w:sz="4" w:space="4"/>
        </w:pBdr>
        <w:spacing w:after="140" w:before="360"/>
      </w:pPr>
      <w:r>
        <w:rPr>
          <w:b/>
          <w:bCs/>
          <w:color w:val="4A6FA5"/>
          <w:sz w:val="26"/>
          <w:szCs w:val="26"/>
        </w:rPr>
        <w:t xml:space="preserve">24.17  </w:t>
      </w:r>
      <w:r>
        <w:rPr>
          <w:b/>
          <w:bCs/>
          <w:color w:val="1F3864"/>
          <w:sz w:val="26"/>
          <w:szCs w:val="26"/>
        </w:rPr>
        <w:t xml:space="preserve">Hypercare and Warranty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heightened support period following production deployment.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Provides a safety net during the highest-risk period of the platform's operational life.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Exit from Hypercare requires stakeholder approval, not a fixed calendar date alone.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Rapid resolution of any post-go-live issues before the team steps back to standard support.</w:t>
            </w:r>
          </w:p>
        </w:tc>
      </w:tr>
    </w:tbl>
    <w:p>
      <w:pPr>
        <w:spacing w:after="160"/>
      </w:pPr>
    </w:p>
    <w:p>
      <w:pPr>
        <w:spacing w:after="150" w:line="276"/>
        <w:jc w:val="both"/>
      </w:pPr>
      <w:r>
        <w:t xml:space="preserve">Following production deployment, the project shall enter a Hypercare period during which:</w:t>
      </w:r>
    </w:p>
    <w:p>
      <w:pPr>
        <w:pStyle w:val="ListParagraph"/>
        <w:numPr>
          <w:ilvl w:val="0"/>
          <w:numId w:val="1"/>
        </w:numPr>
        <w:spacing w:after="90" w:line="264"/>
      </w:pPr>
      <w:r>
        <w:t xml:space="preserve">Critical incidents receive immediate attention.</w:t>
      </w:r>
    </w:p>
    <w:p>
      <w:pPr>
        <w:pStyle w:val="ListParagraph"/>
        <w:numPr>
          <w:ilvl w:val="0"/>
          <w:numId w:val="1"/>
        </w:numPr>
        <w:spacing w:after="90" w:line="264"/>
      </w:pPr>
      <w:r>
        <w:t xml:space="preserve">Daily operational reviews are conducted.</w:t>
      </w:r>
    </w:p>
    <w:p>
      <w:pPr>
        <w:pStyle w:val="ListParagraph"/>
        <w:numPr>
          <w:ilvl w:val="0"/>
          <w:numId w:val="1"/>
        </w:numPr>
        <w:spacing w:after="90" w:line="264"/>
      </w:pPr>
      <w:r>
        <w:t xml:space="preserve">Performance is monitored continuously.</w:t>
      </w:r>
    </w:p>
    <w:p>
      <w:pPr>
        <w:pStyle w:val="ListParagraph"/>
        <w:numPr>
          <w:ilvl w:val="0"/>
          <w:numId w:val="1"/>
        </w:numPr>
        <w:spacing w:after="90" w:line="264"/>
      </w:pPr>
      <w:r>
        <w:t xml:space="preserve">User feedback is collected.</w:t>
      </w:r>
    </w:p>
    <w:p>
      <w:pPr>
        <w:pStyle w:val="ListParagraph"/>
        <w:numPr>
          <w:ilvl w:val="0"/>
          <w:numId w:val="1"/>
        </w:numPr>
        <w:spacing w:after="90" w:line="264"/>
      </w:pPr>
      <w:r>
        <w:t xml:space="preserve">Defects are prioritized and resolved.</w:t>
      </w:r>
    </w:p>
    <w:p>
      <w:pPr>
        <w:pStyle w:val="ListParagraph"/>
        <w:numPr>
          <w:ilvl w:val="0"/>
          <w:numId w:val="1"/>
        </w:numPr>
        <w:spacing w:after="90" w:line="264"/>
      </w:pPr>
      <w:r>
        <w:t xml:space="preserve">Knowledge transfer continues where required.</w:t>
      </w:r>
    </w:p>
    <w:p>
      <w:pPr>
        <w:spacing w:after="150" w:line="276"/>
        <w:jc w:val="both"/>
      </w:pPr>
      <w:r>
        <w:t xml:space="preserve">Exit from Hypercare shall require stakeholder approval.</w:t>
      </w:r>
    </w:p>
    <w:p>
      <w:pPr>
        <w:pStyle w:val="Heading1"/>
        <w:pBdr>
          <w:bottom w:val="single" w:color="C6D2E0" w:sz="4" w:space="4"/>
        </w:pBdr>
        <w:spacing w:after="140" w:before="360"/>
      </w:pPr>
      <w:r>
        <w:rPr>
          <w:b/>
          <w:bCs/>
          <w:color w:val="4A6FA5"/>
          <w:sz w:val="26"/>
          <w:szCs w:val="26"/>
        </w:rPr>
        <w:t xml:space="preserve">24.18  </w:t>
      </w:r>
      <w:r>
        <w:rPr>
          <w:b/>
          <w:bCs/>
          <w:color w:val="1F3864"/>
          <w:sz w:val="26"/>
          <w:szCs w:val="26"/>
        </w:rPr>
        <w:t xml:space="preserve">Antigravity Final Acceptance Instructions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Antigravity prepares the solution for final delivery.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assurance that AI-assisted delivery culminates in the same rigorous acceptance process as any enterprise engineering programme.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Antigravity generates evidence for every completed checklist item, not just a completion claim.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complete, evidence-backed Handover Package and Final Acceptance Report.</w:t>
            </w:r>
          </w:p>
        </w:tc>
      </w:tr>
    </w:tbl>
    <w:p>
      <w:pPr>
        <w:spacing w:after="160"/>
      </w:pPr>
    </w:p>
    <w:p>
      <w:pPr>
        <w:spacing w:after="150" w:line="276"/>
        <w:jc w:val="both"/>
      </w:pPr>
      <w:r>
        <w:t xml:space="preserve">When preparing the solution for delivery, Antigravity shall:</w:t>
      </w:r>
    </w:p>
    <w:p>
      <w:pPr>
        <w:spacing w:after="90" w:line="264"/>
      </w:pPr>
      <w:r>
        <w:rPr>
          <w:b/>
          <w:bCs/>
          <w:color w:val="1F3864"/>
        </w:rPr>
        <w:t xml:space="preserve">1. </w:t>
      </w:r>
      <w:r>
        <w:t xml:space="preserve">Execute the complete engineering acceptance checklist.</w:t>
      </w:r>
    </w:p>
    <w:p>
      <w:pPr>
        <w:spacing w:after="90" w:line="264"/>
      </w:pPr>
      <w:r>
        <w:rPr>
          <w:b/>
          <w:bCs/>
          <w:color w:val="1F3864"/>
        </w:rPr>
        <w:t xml:space="preserve">2. </w:t>
      </w:r>
      <w:r>
        <w:t xml:space="preserve">Verify compliance with all engineering standards and governance policies.</w:t>
      </w:r>
    </w:p>
    <w:p>
      <w:pPr>
        <w:spacing w:after="90" w:line="264"/>
      </w:pPr>
      <w:r>
        <w:rPr>
          <w:b/>
          <w:bCs/>
          <w:color w:val="1F3864"/>
        </w:rPr>
        <w:t xml:space="preserve">3. </w:t>
      </w:r>
      <w:r>
        <w:t xml:space="preserve">Confirm traceability between requirements, implementation, testing, documentation, and deployment.</w:t>
      </w:r>
    </w:p>
    <w:p>
      <w:pPr>
        <w:spacing w:after="90" w:line="264"/>
      </w:pPr>
      <w:r>
        <w:rPr>
          <w:b/>
          <w:bCs/>
          <w:color w:val="1F3864"/>
        </w:rPr>
        <w:t xml:space="preserve">4. </w:t>
      </w:r>
      <w:r>
        <w:t xml:space="preserve">Generate evidence for every completed checklist item.</w:t>
      </w:r>
    </w:p>
    <w:p>
      <w:pPr>
        <w:spacing w:after="90" w:line="264"/>
      </w:pPr>
      <w:r>
        <w:rPr>
          <w:b/>
          <w:bCs/>
          <w:color w:val="1F3864"/>
        </w:rPr>
        <w:t xml:space="preserve">5. </w:t>
      </w:r>
      <w:r>
        <w:t xml:space="preserve">Produce a Go-Live Readiness Report summarizing quality, security, performance, and operational readiness.</w:t>
      </w:r>
    </w:p>
    <w:p>
      <w:pPr>
        <w:spacing w:after="90" w:line="264"/>
      </w:pPr>
      <w:r>
        <w:rPr>
          <w:b/>
          <w:bCs/>
          <w:color w:val="1F3864"/>
        </w:rPr>
        <w:t xml:space="preserve">6. </w:t>
      </w:r>
      <w:r>
        <w:t xml:space="preserve">Flag any outstanding risks, defects, or incomplete deliverables that prevent production release.</w:t>
      </w:r>
    </w:p>
    <w:p>
      <w:pPr>
        <w:spacing w:after="90" w:line="264"/>
      </w:pPr>
      <w:r>
        <w:rPr>
          <w:b/>
          <w:bCs/>
          <w:color w:val="1F3864"/>
        </w:rPr>
        <w:t xml:space="preserve">7. </w:t>
      </w:r>
      <w:r>
        <w:t xml:space="preserve">Generate a final Handover Package containing source code, documentation, deployment artifacts, training materials, and support procedures.</w:t>
      </w:r>
    </w:p>
    <w:p>
      <w:pPr>
        <w:spacing w:after="90" w:line="264"/>
      </w:pPr>
      <w:r>
        <w:rPr>
          <w:b/>
          <w:bCs/>
          <w:color w:val="1F3864"/>
        </w:rPr>
        <w:t xml:space="preserve">8. </w:t>
      </w:r>
      <w:r>
        <w:t xml:space="preserve">Produce a Final Acceptance Report with recommendations for post-go-live monitoring and continuous improvement.</w:t>
      </w:r>
    </w:p>
    <w:p>
      <w:pPr>
        <w:pStyle w:val="Heading1"/>
        <w:pBdr>
          <w:bottom w:val="single" w:color="C6D2E0" w:sz="4" w:space="4"/>
        </w:pBdr>
        <w:spacing w:after="140" w:before="360"/>
      </w:pPr>
      <w:r>
        <w:rPr>
          <w:b/>
          <w:bCs/>
          <w:color w:val="4A6FA5"/>
          <w:sz w:val="26"/>
          <w:szCs w:val="26"/>
        </w:rPr>
        <w:t xml:space="preserve">24.19  </w:t>
      </w:r>
      <w:r>
        <w:rPr>
          <w:b/>
          <w:bCs/>
          <w:color w:val="1F3864"/>
          <w:sz w:val="26"/>
          <w:szCs w:val="26"/>
        </w:rPr>
        <w:t xml:space="preserve">Final Engineering Deliverables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complete contents of the final delivery package.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 single, comprehensive package representing the entire engineering effort.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Spans source code through the Warranty &amp; Hypercare Plan.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complete, self-contained handover package requiring no follow-up requests.</w:t>
            </w:r>
          </w:p>
        </w:tc>
      </w:tr>
    </w:tbl>
    <w:p>
      <w:pPr>
        <w:spacing w:after="160"/>
      </w:pPr>
    </w:p>
    <w:p>
      <w:pPr>
        <w:spacing w:after="150" w:line="276"/>
        <w:jc w:val="both"/>
      </w:pPr>
      <w:r>
        <w:t xml:space="preserve">The final delivery package shall include:</w:t>
      </w:r>
    </w:p>
    <w:p>
      <w:pPr>
        <w:pStyle w:val="ListParagraph"/>
        <w:numPr>
          <w:ilvl w:val="0"/>
          <w:numId w:val="1"/>
        </w:numPr>
        <w:spacing w:after="90" w:line="264"/>
      </w:pPr>
      <w:r>
        <w:t xml:space="preserve">Approved Source Code Repository</w:t>
      </w:r>
    </w:p>
    <w:p>
      <w:pPr>
        <w:pStyle w:val="ListParagraph"/>
        <w:numPr>
          <w:ilvl w:val="0"/>
          <w:numId w:val="1"/>
        </w:numPr>
        <w:spacing w:after="90" w:line="264"/>
      </w:pPr>
      <w:r>
        <w:t xml:space="preserve">Product Definition Document (PDD)</w:t>
      </w:r>
    </w:p>
    <w:p>
      <w:pPr>
        <w:pStyle w:val="ListParagraph"/>
        <w:numPr>
          <w:ilvl w:val="0"/>
          <w:numId w:val="1"/>
        </w:numPr>
        <w:spacing w:after="90" w:line="264"/>
      </w:pPr>
      <w:r>
        <w:t xml:space="preserve">Enterprise &amp; Solution Architecture Documents</w:t>
      </w:r>
    </w:p>
    <w:p>
      <w:pPr>
        <w:pStyle w:val="ListParagraph"/>
        <w:numPr>
          <w:ilvl w:val="0"/>
          <w:numId w:val="1"/>
        </w:numPr>
        <w:spacing w:after="90" w:line="264"/>
      </w:pPr>
      <w:r>
        <w:t xml:space="preserve">Architecture Decision Records (ADRs)</w:t>
      </w:r>
    </w:p>
    <w:p>
      <w:pPr>
        <w:pStyle w:val="ListParagraph"/>
        <w:numPr>
          <w:ilvl w:val="0"/>
          <w:numId w:val="1"/>
        </w:numPr>
        <w:spacing w:after="90" w:line="264"/>
      </w:pPr>
      <w:r>
        <w:t xml:space="preserve">Database Schema &amp; Data Dictionary</w:t>
      </w:r>
    </w:p>
    <w:p>
      <w:pPr>
        <w:pStyle w:val="ListParagraph"/>
        <w:numPr>
          <w:ilvl w:val="0"/>
          <w:numId w:val="1"/>
        </w:numPr>
        <w:spacing w:after="90" w:line="264"/>
      </w:pPr>
      <w:r>
        <w:t xml:space="preserve">API Specifications (OpenAPI)</w:t>
      </w:r>
    </w:p>
    <w:p>
      <w:pPr>
        <w:pStyle w:val="ListParagraph"/>
        <w:numPr>
          <w:ilvl w:val="0"/>
          <w:numId w:val="1"/>
        </w:numPr>
        <w:spacing w:after="90" w:line="264"/>
      </w:pPr>
      <w:r>
        <w:t xml:space="preserve">Test Strategy, Test Cases &amp; Test Reports</w:t>
      </w:r>
    </w:p>
    <w:p>
      <w:pPr>
        <w:pStyle w:val="ListParagraph"/>
        <w:numPr>
          <w:ilvl w:val="0"/>
          <w:numId w:val="1"/>
        </w:numPr>
        <w:spacing w:after="90" w:line="264"/>
      </w:pPr>
      <w:r>
        <w:t xml:space="preserve">CI/CD Pipeline Configuration</w:t>
      </w:r>
    </w:p>
    <w:p>
      <w:pPr>
        <w:pStyle w:val="ListParagraph"/>
        <w:numPr>
          <w:ilvl w:val="0"/>
          <w:numId w:val="1"/>
        </w:numPr>
        <w:spacing w:after="90" w:line="264"/>
      </w:pPr>
      <w:r>
        <w:t xml:space="preserve">Infrastructure as Code Templates</w:t>
      </w:r>
    </w:p>
    <w:p>
      <w:pPr>
        <w:pStyle w:val="ListParagraph"/>
        <w:numPr>
          <w:ilvl w:val="0"/>
          <w:numId w:val="1"/>
        </w:numPr>
        <w:spacing w:after="90" w:line="264"/>
      </w:pPr>
      <w:r>
        <w:t xml:space="preserve">Security Assessment Reports</w:t>
      </w:r>
    </w:p>
    <w:p>
      <w:pPr>
        <w:pStyle w:val="ListParagraph"/>
        <w:numPr>
          <w:ilvl w:val="0"/>
          <w:numId w:val="1"/>
        </w:numPr>
        <w:spacing w:after="90" w:line="264"/>
      </w:pPr>
      <w:r>
        <w:t xml:space="preserve">User Manuals &amp; Administrator Guides</w:t>
      </w:r>
    </w:p>
    <w:p>
      <w:pPr>
        <w:pStyle w:val="ListParagraph"/>
        <w:numPr>
          <w:ilvl w:val="0"/>
          <w:numId w:val="1"/>
        </w:numPr>
        <w:spacing w:after="90" w:line="264"/>
      </w:pPr>
      <w:r>
        <w:t xml:space="preserve">Operations Runbooks</w:t>
      </w:r>
    </w:p>
    <w:p>
      <w:pPr>
        <w:pStyle w:val="ListParagraph"/>
        <w:numPr>
          <w:ilvl w:val="0"/>
          <w:numId w:val="1"/>
        </w:numPr>
        <w:spacing w:after="90" w:line="264"/>
      </w:pPr>
      <w:r>
        <w:t xml:space="preserve">Training Materials &amp; Recorded Demonstrations</w:t>
      </w:r>
    </w:p>
    <w:p>
      <w:pPr>
        <w:pStyle w:val="ListParagraph"/>
        <w:numPr>
          <w:ilvl w:val="0"/>
          <w:numId w:val="1"/>
        </w:numPr>
        <w:spacing w:after="90" w:line="264"/>
      </w:pPr>
      <w:r>
        <w:t xml:space="preserve">Release Notes</w:t>
      </w:r>
    </w:p>
    <w:p>
      <w:pPr>
        <w:pStyle w:val="ListParagraph"/>
        <w:numPr>
          <w:ilvl w:val="0"/>
          <w:numId w:val="1"/>
        </w:numPr>
        <w:spacing w:after="90" w:line="264"/>
      </w:pPr>
      <w:r>
        <w:t xml:space="preserve">Risk Register</w:t>
      </w:r>
    </w:p>
    <w:p>
      <w:pPr>
        <w:pStyle w:val="ListParagraph"/>
        <w:numPr>
          <w:ilvl w:val="0"/>
          <w:numId w:val="1"/>
        </w:numPr>
        <w:spacing w:after="90" w:line="264"/>
      </w:pPr>
      <w:r>
        <w:t xml:space="preserve">Change Log</w:t>
      </w:r>
    </w:p>
    <w:p>
      <w:pPr>
        <w:pStyle w:val="ListParagraph"/>
        <w:numPr>
          <w:ilvl w:val="0"/>
          <w:numId w:val="1"/>
        </w:numPr>
        <w:spacing w:after="90" w:line="264"/>
      </w:pPr>
      <w:r>
        <w:t xml:space="preserve">Go-Live Readiness Report</w:t>
      </w:r>
    </w:p>
    <w:p>
      <w:pPr>
        <w:pStyle w:val="ListParagraph"/>
        <w:numPr>
          <w:ilvl w:val="0"/>
          <w:numId w:val="1"/>
        </w:numPr>
        <w:spacing w:after="90" w:line="264"/>
      </w:pPr>
      <w:r>
        <w:t xml:space="preserve">Final Acceptance Report</w:t>
      </w:r>
    </w:p>
    <w:p>
      <w:pPr>
        <w:pStyle w:val="ListParagraph"/>
        <w:numPr>
          <w:ilvl w:val="0"/>
          <w:numId w:val="1"/>
        </w:numPr>
        <w:spacing w:after="90" w:line="264"/>
      </w:pPr>
      <w:r>
        <w:t xml:space="preserve">Knowledge Transfer Report</w:t>
      </w:r>
    </w:p>
    <w:p>
      <w:pPr>
        <w:pStyle w:val="ListParagraph"/>
        <w:numPr>
          <w:ilvl w:val="0"/>
          <w:numId w:val="1"/>
        </w:numPr>
        <w:spacing w:after="90" w:line="264"/>
      </w:pPr>
      <w:r>
        <w:t xml:space="preserve">Warranty &amp; Hypercare Plan</w:t>
      </w:r>
    </w:p>
    <w:p>
      <w:pPr>
        <w:pStyle w:val="Heading1"/>
        <w:pBdr>
          <w:bottom w:val="single" w:color="C6D2E0" w:sz="4" w:space="4"/>
        </w:pBdr>
        <w:spacing w:after="140" w:before="360"/>
      </w:pPr>
      <w:r>
        <w:rPr>
          <w:b/>
          <w:bCs/>
          <w:color w:val="4A6FA5"/>
          <w:sz w:val="26"/>
          <w:szCs w:val="26"/>
        </w:rPr>
        <w:t xml:space="preserve">24.20  </w:t>
      </w:r>
      <w:r>
        <w:rPr>
          <w:b/>
          <w:bCs/>
          <w:color w:val="1F3864"/>
          <w:sz w:val="26"/>
          <w:szCs w:val="26"/>
        </w:rPr>
        <w:t xml:space="preserve">Success Criteria</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success looks like for the Final Engineering Acceptance process.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and donor a concrete, verifiable standard for evaluating project completion.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Success requires formal governance approval, not engineering self-certification alone.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NPCO and stakeholders can operate independently, backed by a complete audit trail.</w:t>
            </w:r>
          </w:p>
        </w:tc>
      </w:tr>
    </w:tbl>
    <w:p>
      <w:pPr>
        <w:spacing w:after="160"/>
      </w:pPr>
    </w:p>
    <w:p>
      <w:pPr>
        <w:spacing w:after="150" w:line="276"/>
        <w:jc w:val="both"/>
      </w:pPr>
      <w:r>
        <w:t xml:space="preserve">The Final Engineering Acceptance process will be considered successful when:</w:t>
      </w:r>
    </w:p>
    <w:p>
      <w:pPr>
        <w:pStyle w:val="ListParagraph"/>
        <w:numPr>
          <w:ilvl w:val="0"/>
          <w:numId w:val="1"/>
        </w:numPr>
        <w:spacing w:after="90" w:line="264"/>
      </w:pPr>
      <w:r>
        <w:t xml:space="preserve">Every contractual requirement has been implemented and independently verified.</w:t>
      </w:r>
    </w:p>
    <w:p>
      <w:pPr>
        <w:pStyle w:val="ListParagraph"/>
        <w:numPr>
          <w:ilvl w:val="0"/>
          <w:numId w:val="1"/>
        </w:numPr>
        <w:spacing w:after="90" w:line="264"/>
      </w:pPr>
      <w:r>
        <w:t xml:space="preserve">All engineering, security, quality, and governance standards have been satisfied.</w:t>
      </w:r>
    </w:p>
    <w:p>
      <w:pPr>
        <w:pStyle w:val="ListParagraph"/>
        <w:numPr>
          <w:ilvl w:val="0"/>
          <w:numId w:val="1"/>
        </w:numPr>
        <w:spacing w:after="90" w:line="264"/>
      </w:pPr>
      <w:r>
        <w:t xml:space="preserve">The platform is demonstrably secure, reliable, scalable, maintainable, and operationally ready.</w:t>
      </w:r>
    </w:p>
    <w:p>
      <w:pPr>
        <w:pStyle w:val="ListParagraph"/>
        <w:numPr>
          <w:ilvl w:val="0"/>
          <w:numId w:val="1"/>
        </w:numPr>
        <w:spacing w:after="90" w:line="264"/>
      </w:pPr>
      <w:r>
        <w:t xml:space="preserve">Documentation and knowledge transfer enable NPCO and participating stakeholders to manage the platform independently.</w:t>
      </w:r>
    </w:p>
    <w:p>
      <w:pPr>
        <w:pStyle w:val="ListParagraph"/>
        <w:numPr>
          <w:ilvl w:val="0"/>
          <w:numId w:val="1"/>
        </w:numPr>
        <w:spacing w:after="90" w:line="264"/>
      </w:pPr>
      <w:r>
        <w:t xml:space="preserve">Governance bodies have formally approved the solution for production use.</w:t>
      </w:r>
    </w:p>
    <w:p>
      <w:pPr>
        <w:pStyle w:val="ListParagraph"/>
        <w:numPr>
          <w:ilvl w:val="0"/>
          <w:numId w:val="1"/>
        </w:numPr>
        <w:spacing w:after="90" w:line="264"/>
      </w:pPr>
      <w:r>
        <w:t xml:space="preserve">The complete delivery package provides a comprehensive, auditable record of the project's implementation, testing, deployment, and handover.</w:t>
      </w:r>
    </w:p>
    <w:p>
      <w:pPr>
        <w:pStyle w:val="Heading1"/>
        <w:pBdr>
          <w:bottom w:val="single" w:color="C6D2E0" w:sz="4" w:space="4"/>
        </w:pBdr>
        <w:spacing w:after="140" w:before="360"/>
      </w:pPr>
      <w:r>
        <w:rPr>
          <w:b/>
          <w:bCs/>
          <w:color w:val="4A6FA5"/>
          <w:sz w:val="26"/>
          <w:szCs w:val="26"/>
        </w:rPr>
        <w:t xml:space="preserve">24.21  </w:t>
      </w:r>
      <w:r>
        <w:rPr>
          <w:b/>
          <w:bCs/>
          <w:color w:val="1F3864"/>
          <w:sz w:val="26"/>
          <w:szCs w:val="26"/>
        </w:rPr>
        <w:t xml:space="preserve">Enterprise Acceptance Statement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The Final Engineering Acceptance Checklist is the definitive quality and governance gate for the SAPZ ESM and CKR programme. It ensures that every aspect of the solution — from architecture and code quality to security, operational readiness, documentation, and stakeholder approval — has been rigorously validated before production deployment. By enforcing structured acceptance criteria and comprehensive evidence-based verification, the programme delivers a platform that meets the expectations of the Federal Government of Nigeria, IFAD, and all participating stakeholders, while providing a sustainable foundation for long-term operation, maintenance, and continuous improvement.</w:t>
            </w:r>
          </w:p>
        </w:tc>
      </w:tr>
    </w:tbl>
    <w:p>
      <w:pPr>
        <w:pStyle w:val="Heading1"/>
        <w:pBdr>
          <w:bottom w:val="single" w:color="C6D2E0" w:sz="4" w:space="4"/>
        </w:pBdr>
        <w:spacing w:after="140" w:before="360"/>
      </w:pPr>
      <w:r>
        <w:rPr>
          <w:b/>
          <w:bCs/>
          <w:color w:val="4A6FA5"/>
          <w:sz w:val="26"/>
          <w:szCs w:val="26"/>
        </w:rPr>
        <w:t xml:space="preserve">24.22  </w:t>
      </w:r>
      <w:r>
        <w:rPr>
          <w:b/>
          <w:bCs/>
          <w:color w:val="1F3864"/>
          <w:sz w:val="26"/>
          <w:szCs w:val="26"/>
        </w:rPr>
        <w:t xml:space="preserve">Chapter Summary</w:t>
      </w:r>
    </w:p>
    <w:p>
      <w:pPr>
        <w:spacing w:after="150" w:line="276"/>
        <w:jc w:val="both"/>
      </w:pPr>
      <w:r>
        <w:t xml:space="preserve">This final chapter established the Master Go-Live Readiness and Delivery Audit: six Acceptance Principles, twelve acceptance checklists spanning engineering, functional, non-functional, security, data, API and integration, quality engineering, DevSecOps, documentation, training and knowledge transfer, operational readiness, and governance and compliance domains, the Go-Live Readiness Review (GLRR), Production Acceptance, Hypercare and Warranty, the Antigravity Final Acceptance Instructions, and the complete Final Engineering Deliverables package. Together with Chapter 1 — Executive Overview, this chapter closes the loop on the SAPZ Enterprise Engineering Handbook: the platform is not accepted until it demonstrably satisfies every standard defined across all twenty-four chapters.</w:t>
      </w:r>
    </w:p>
    <w:p>
      <w:pPr>
        <w:pStyle w:val="Heading2"/>
        <w:spacing w:after="110" w:before="260"/>
      </w:pPr>
      <w:r>
        <w:rPr>
          <w:b/>
          <w:bCs/>
          <w:color w:val="4A6FA5"/>
          <w:sz w:val="21"/>
          <w:szCs w:val="21"/>
        </w:rPr>
        <w:t xml:space="preserve">24.22.1  </w:t>
      </w:r>
      <w:r>
        <w:rPr>
          <w:b/>
          <w:bCs/>
          <w:color w:val="1F3864"/>
          <w:sz w:val="21"/>
          <w:szCs w:val="21"/>
        </w:rPr>
        <w:t xml:space="preserve">Key Engineering Principles</w:t>
      </w:r>
    </w:p>
    <w:p>
      <w:pPr>
        <w:pStyle w:val="ListParagraph"/>
        <w:numPr>
          <w:ilvl w:val="0"/>
          <w:numId w:val="1"/>
        </w:numPr>
        <w:spacing w:after="90" w:line="264"/>
      </w:pPr>
      <w:r>
        <w:t xml:space="preserve">No solution component is considered complete or accepted unless all applicable checklist items are verified (Section 24.1).</w:t>
      </w:r>
    </w:p>
    <w:p>
      <w:pPr>
        <w:pStyle w:val="ListParagraph"/>
        <w:numPr>
          <w:ilvl w:val="0"/>
          <w:numId w:val="1"/>
        </w:numPr>
        <w:spacing w:after="90" w:line="264"/>
      </w:pPr>
      <w:r>
        <w:t xml:space="preserve">No project is considered complete until formal acceptance has been documented (Section 24.16).</w:t>
      </w:r>
    </w:p>
    <w:p>
      <w:pPr>
        <w:pStyle w:val="ListParagraph"/>
        <w:numPr>
          <w:ilvl w:val="0"/>
          <w:numId w:val="1"/>
        </w:numPr>
        <w:spacing w:after="90" w:line="264"/>
      </w:pPr>
      <w:r>
        <w:t xml:space="preserve">Exit from Hypercare requires stakeholder approval, not a fixed calendar date alone (Section 24.17).</w:t>
      </w:r>
    </w:p>
    <w:p>
      <w:pPr>
        <w:pStyle w:val="ListParagraph"/>
        <w:numPr>
          <w:ilvl w:val="0"/>
          <w:numId w:val="1"/>
        </w:numPr>
        <w:spacing w:after="90" w:line="264"/>
      </w:pPr>
      <w:r>
        <w:t xml:space="preserve">The Final Engineering Deliverables package (Section 24.19) is the complete, auditable record of the entire engineering effort.</w:t>
      </w:r>
    </w:p>
    <w:p>
      <w:pPr>
        <w:pStyle w:val="Heading2"/>
        <w:spacing w:after="110" w:before="260"/>
      </w:pPr>
      <w:r>
        <w:rPr>
          <w:b/>
          <w:bCs/>
          <w:color w:val="4A6FA5"/>
          <w:sz w:val="21"/>
          <w:szCs w:val="21"/>
        </w:rPr>
        <w:t xml:space="preserve">24.22.2  </w:t>
      </w:r>
      <w:r>
        <w:rPr>
          <w:b/>
          <w:bCs/>
          <w:color w:val="1F3864"/>
          <w:sz w:val="21"/>
          <w:szCs w:val="21"/>
        </w:rPr>
        <w:t xml:space="preserve">Implementation Checklist</w:t>
      </w:r>
    </w:p>
    <w:p>
      <w:pPr>
        <w:pStyle w:val="ListParagraph"/>
        <w:numPr>
          <w:ilvl w:val="0"/>
          <w:numId w:val="1"/>
        </w:numPr>
        <w:spacing w:after="90" w:line="264"/>
      </w:pPr>
      <w:r>
        <w:t xml:space="preserve">☐ Confirm all twelve acceptance checklists (Sections 24.3–24.14) are fully verified before scheduling the GLRR.</w:t>
      </w:r>
    </w:p>
    <w:p>
      <w:pPr>
        <w:pStyle w:val="ListParagraph"/>
        <w:numPr>
          <w:ilvl w:val="0"/>
          <w:numId w:val="1"/>
        </w:numPr>
        <w:spacing w:after="90" w:line="264"/>
      </w:pPr>
      <w:r>
        <w:t xml:space="preserve">☐ Confirm the Go-Live Readiness Review (Section 24.15) includes representatives from every required discipline.</w:t>
      </w:r>
    </w:p>
    <w:p>
      <w:pPr>
        <w:pStyle w:val="ListParagraph"/>
        <w:numPr>
          <w:ilvl w:val="0"/>
          <w:numId w:val="1"/>
        </w:numPr>
        <w:spacing w:after="90" w:line="264"/>
      </w:pPr>
      <w:r>
        <w:t xml:space="preserve">☐ Confirm the Final Acceptance Certificate (Section 24.16) is signed by authorized representatives before go-live.</w:t>
      </w:r>
    </w:p>
    <w:p>
      <w:pPr>
        <w:pStyle w:val="ListParagraph"/>
        <w:numPr>
          <w:ilvl w:val="0"/>
          <w:numId w:val="1"/>
        </w:numPr>
        <w:spacing w:after="90" w:line="264"/>
      </w:pPr>
      <w:r>
        <w:t xml:space="preserve">☐ Confirm the Final Engineering Deliverables package (Section 24.19) is complete and handed over to NPCO.</w:t>
      </w:r>
    </w:p>
    <w:p>
      <w:pPr>
        <w:pStyle w:val="Heading2"/>
        <w:spacing w:after="110" w:before="260"/>
      </w:pPr>
      <w:r>
        <w:rPr>
          <w:b/>
          <w:bCs/>
          <w:color w:val="4A6FA5"/>
          <w:sz w:val="21"/>
          <w:szCs w:val="21"/>
        </w:rPr>
        <w:t xml:space="preserve">24.22.3  </w:t>
      </w:r>
      <w:r>
        <w:rPr>
          <w:b/>
          <w:bCs/>
          <w:color w:val="1F3864"/>
          <w:sz w:val="21"/>
          <w:szCs w:val="21"/>
        </w:rPr>
        <w:t xml:space="preserve">Related Chapters</w:t>
      </w:r>
    </w:p>
    <w:p>
      <w:pPr>
        <w:pStyle w:val="ListParagraph"/>
        <w:numPr>
          <w:ilvl w:val="0"/>
          <w:numId w:val="1"/>
        </w:numPr>
        <w:spacing w:after="90" w:line="264"/>
      </w:pPr>
      <w:r>
        <w:t xml:space="preserve">Chapter 1 — Executive Overview</w:t>
      </w:r>
    </w:p>
    <w:p>
      <w:pPr>
        <w:pStyle w:val="ListParagraph"/>
        <w:numPr>
          <w:ilvl w:val="0"/>
          <w:numId w:val="1"/>
        </w:numPr>
        <w:spacing w:after="90" w:line="264"/>
      </w:pPr>
      <w:r>
        <w:t xml:space="preserve">Chapter 14 — Security and Compliance Standards</w:t>
      </w:r>
    </w:p>
    <w:p>
      <w:pPr>
        <w:pStyle w:val="ListParagraph"/>
        <w:numPr>
          <w:ilvl w:val="0"/>
          <w:numId w:val="1"/>
        </w:numPr>
        <w:spacing w:after="90" w:line="264"/>
      </w:pPr>
      <w:r>
        <w:t xml:space="preserve">Chapter 16 — Quality Engineering and Testing Standards</w:t>
      </w:r>
    </w:p>
    <w:p>
      <w:pPr>
        <w:pStyle w:val="ListParagraph"/>
        <w:numPr>
          <w:ilvl w:val="0"/>
          <w:numId w:val="1"/>
        </w:numPr>
        <w:spacing w:after="90" w:line="264"/>
      </w:pPr>
      <w:r>
        <w:t xml:space="preserve">Chapter 19 — Definition of Ready (DoR) and Definition of Done (DoD)</w:t>
      </w:r>
    </w:p>
    <w:p>
      <w:pPr>
        <w:pStyle w:val="ListParagraph"/>
        <w:numPr>
          <w:ilvl w:val="0"/>
          <w:numId w:val="1"/>
        </w:numPr>
        <w:spacing w:after="90" w:line="264"/>
      </w:pPr>
      <w:r>
        <w:t xml:space="preserve">Chapter 21 — Risk and Change Management</w:t>
      </w:r>
    </w:p>
    <w:p>
      <w:pPr>
        <w:pStyle w:val="ListParagraph"/>
        <w:numPr>
          <w:ilvl w:val="0"/>
          <w:numId w:val="1"/>
        </w:numPr>
        <w:spacing w:after="90" w:line="264"/>
      </w:pPr>
      <w:r>
        <w:t xml:space="preserve">Chapter 22 — Engineering Decision Log / Architecture Decision Record (ADR) Process</w:t>
      </w:r>
    </w:p>
    <w:p>
      <w:pPr>
        <w:pStyle w:val="ListParagraph"/>
        <w:numPr>
          <w:ilvl w:val="0"/>
          <w:numId w:val="1"/>
        </w:numPr>
        <w:spacing w:after="90" w:line="264"/>
      </w:pPr>
      <w:r>
        <w:t xml:space="preserve">Chapter 23 — Antigravity Operating Instructions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2026-07-19T19:25:06.539Z</dcterms:created>
  <dcterms:modified xsi:type="dcterms:W3CDTF">2026-07-19T19:25:06.540Z</dcterms:modified>
</cp:coreProperties>
</file>

<file path=docProps/custom.xml><?xml version="1.0" encoding="utf-8"?>
<Properties xmlns="http://schemas.openxmlformats.org/officeDocument/2006/custom-properties" xmlns:vt="http://schemas.openxmlformats.org/officeDocument/2006/docPropsVTypes"/>
</file>