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97771F"/>
          <w:sz w:val="22"/>
          <w:szCs w:val="22"/>
        </w:rPr>
        <w:t xml:space="preserve">SAPZ MASTER ENGINEERING KNOWLEDGE BASE</w:t>
      </w:r>
    </w:p>
    <w:p>
      <w:pPr>
        <w:spacing w:after="260"/>
        <w:jc w:val="center"/>
      </w:pPr>
      <w:r>
        <w:rPr>
          <w:b/>
          <w:bCs/>
          <w:color w:val="1C1E21"/>
          <w:sz w:val="28"/>
          <w:szCs w:val="28"/>
        </w:rPr>
        <w:t xml:space="preserve">Part 1</w:t>
      </w:r>
    </w:p>
    <w:p>
      <w:pPr>
        <w:pBdr>
          <w:bottom w:val="single" w:color="33363C" w:sz="14" w:space="10"/>
        </w:pBdr>
        <w:spacing w:after="160"/>
        <w:jc w:val="center"/>
      </w:pPr>
      <w:r>
        <w:rPr>
          <w:b/>
          <w:bCs/>
          <w:color w:val="1C1E21"/>
          <w:sz w:val="40"/>
          <w:szCs w:val="40"/>
        </w:rPr>
        <w:t xml:space="preserve">Engineering Knowledge Map</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Knowledge Base (MEKB) — Bridging Documentation and Implementation</w:t>
      </w:r>
    </w:p>
    <w:p>
      <w:r>
        <w:br w:type="page"/>
      </w:r>
    </w:p>
    <w:p>
      <w:pPr>
        <w:spacing w:after="40"/>
        <w:jc w:val="left"/>
      </w:pPr>
      <w:r>
        <w:rPr>
          <w:b/>
          <w:bCs/>
          <w:caps/>
          <w:color w:val="97771F"/>
          <w:sz w:val="22"/>
          <w:szCs w:val="22"/>
        </w:rPr>
        <w:t xml:space="preserve">PART 1</w:t>
      </w:r>
    </w:p>
    <w:p>
      <w:pPr>
        <w:pBdr>
          <w:bottom w:val="single" w:color="33363C" w:sz="12" w:space="8"/>
        </w:pBdr>
        <w:spacing w:after="200"/>
        <w:jc w:val="left"/>
      </w:pPr>
      <w:r>
        <w:rPr>
          <w:b/>
          <w:bCs/>
          <w:color w:val="1C1E21"/>
          <w:sz w:val="44"/>
          <w:szCs w:val="44"/>
        </w:rPr>
        <w:t xml:space="preserve">Engineering Knowledge Map</w:t>
      </w:r>
    </w:p>
    <w:p>
      <w:pPr>
        <w:spacing w:after="90" w:before="180"/>
      </w:pPr>
      <w:r>
        <w:rPr>
          <w:b/>
          <w:bCs/>
          <w:color w:val="1C1E21"/>
          <w:sz w:val="19"/>
          <w:szCs w:val="19"/>
        </w:rPr>
        <w:t xml:space="preserve">Part Overview</w:t>
      </w:r>
    </w:p>
    <w:p>
      <w:pPr>
        <w:spacing w:after="150" w:line="276"/>
        <w:jc w:val="both"/>
      </w:pPr>
      <w:r>
        <w:t xml:space="preserve">This Part establishes the master map of the SAPZ engineering documentation ecosystem: which documents exist, what each governs, how they depend on one another, and the order of authority when documents must be read together. It is the entry point to the Master Engineering Knowledge Base (MEKB) — the bridge between eighteen months of completed business, architecture, and engineering documentation and the incremental, AI-assisted software implementation that follows.</w:t>
      </w:r>
    </w:p>
    <w:p>
      <w:pPr>
        <w:spacing w:after="150" w:line="276"/>
        <w:jc w:val="both"/>
      </w:pPr>
      <w:r>
        <w:t xml:space="preserve">Nothing in this Part introduces new scope, redesigns any prior decision, or contradicts any governing document. It organizes what already exists so that Antigravity, and any human engineer working alongside it, can locate the correct authority for any implementation question in seconds rather than hours.</w:t>
      </w:r>
    </w:p>
    <w:p>
      <w:pPr>
        <w:spacing w:after="90" w:before="180"/>
      </w:pPr>
      <w:r>
        <w:rPr>
          <w:b/>
          <w:bCs/>
          <w:color w:val="1C1E21"/>
          <w:sz w:val="19"/>
          <w:szCs w:val="19"/>
        </w:rPr>
        <w:t xml:space="preserve">Purpose</w:t>
      </w:r>
    </w:p>
    <w:p>
      <w:pPr>
        <w:spacing w:after="150" w:line="276"/>
        <w:jc w:val="both"/>
      </w:pPr>
      <w:r>
        <w:t xml:space="preserve">To provide complete, auditable traceability across every governing document produced for the SAPZ Enterprise System Management (ESM) Platform and Central Knowledge Repository (CKR) programme, and to define precisely which documents govern which engineering activities.</w:t>
      </w:r>
    </w:p>
    <w:p>
      <w:pPr>
        <w:spacing w:after="90" w:before="180"/>
      </w:pPr>
      <w:r>
        <w:rPr>
          <w:b/>
          <w:bCs/>
          <w:color w:val="1C1E21"/>
          <w:sz w:val="19"/>
          <w:szCs w:val="19"/>
        </w:rPr>
        <w:t xml:space="preserve">How This Part Is Organized</w:t>
      </w:r>
    </w:p>
    <w:p>
      <w:pPr>
        <w:pStyle w:val="ListParagraph"/>
        <w:numPr>
          <w:ilvl w:val="0"/>
          <w:numId w:val="1"/>
        </w:numPr>
        <w:spacing w:after="90" w:line="264"/>
      </w:pPr>
      <w:r>
        <w:t xml:space="preserve">Section 1.2 — the Master Document Register, mapping the eighteen governing document families to the actual documents produced.</w:t>
      </w:r>
    </w:p>
    <w:p>
      <w:pPr>
        <w:pStyle w:val="ListParagraph"/>
        <w:numPr>
          <w:ilvl w:val="0"/>
          <w:numId w:val="1"/>
        </w:numPr>
        <w:spacing w:after="90" w:line="264"/>
      </w:pPr>
      <w:r>
        <w:t xml:space="preserve">Section 1.3 — the end-to-end traceability backbone linking business objective to operational support.</w:t>
      </w:r>
    </w:p>
    <w:p>
      <w:pPr>
        <w:pStyle w:val="ListParagraph"/>
        <w:numPr>
          <w:ilvl w:val="0"/>
          <w:numId w:val="1"/>
        </w:numPr>
        <w:spacing w:after="90" w:line="264"/>
      </w:pPr>
      <w:r>
        <w:t xml:space="preserve">Section 1.4 — the Document Dependency Map showing which documents feed which.</w:t>
      </w:r>
    </w:p>
    <w:p>
      <w:pPr>
        <w:pStyle w:val="ListParagraph"/>
        <w:numPr>
          <w:ilvl w:val="0"/>
          <w:numId w:val="1"/>
        </w:numPr>
        <w:spacing w:after="90" w:line="264"/>
      </w:pPr>
      <w:r>
        <w:t xml:space="preserve">Section 1.5 — the Governance-to-Activity Matrix showing which documents govern which engineering task.</w:t>
      </w:r>
    </w:p>
    <w:p>
      <w:pPr>
        <w:pStyle w:val="ListParagraph"/>
        <w:numPr>
          <w:ilvl w:val="0"/>
          <w:numId w:val="1"/>
        </w:numPr>
        <w:spacing w:after="90" w:line="264"/>
      </w:pPr>
      <w:r>
        <w:t xml:space="preserve">Section 1.6 — the Document Authority and Precedence Order for resolving apparent conflicts.</w:t>
      </w:r>
    </w:p>
    <w:p>
      <w:pPr>
        <w:pStyle w:val="ListParagraph"/>
        <w:numPr>
          <w:ilvl w:val="0"/>
          <w:numId w:val="1"/>
        </w:numPr>
        <w:spacing w:after="90" w:line="264"/>
      </w:pPr>
      <w:r>
        <w:t xml:space="preserve">Section 1.7 — the traceability identifier scheme used consistently across the entire ecosystem.</w:t>
      </w:r>
    </w:p>
    <w:p>
      <w:pPr>
        <w:pStyle w:val="ListParagraph"/>
        <w:numPr>
          <w:ilvl w:val="0"/>
          <w:numId w:val="1"/>
        </w:numPr>
        <w:spacing w:after="90" w:line="264"/>
      </w:pPr>
      <w:r>
        <w:t xml:space="preserve">Section 1.8 — practical navigation guidance for Antigravity.</w:t>
      </w:r>
    </w:p>
    <w:p>
      <w:pPr>
        <w:pStyle w:val="Heading1"/>
        <w:pBdr>
          <w:bottom w:val="single" w:color="DAD3C0" w:sz="4" w:space="4"/>
        </w:pBdr>
        <w:spacing w:after="140" w:before="360"/>
      </w:pPr>
      <w:r>
        <w:rPr>
          <w:b/>
          <w:bCs/>
          <w:color w:val="97771F"/>
          <w:sz w:val="26"/>
          <w:szCs w:val="26"/>
        </w:rPr>
        <w:t xml:space="preserve">1.1  </w:t>
      </w:r>
      <w:r>
        <w:rPr>
          <w:b/>
          <w:bCs/>
          <w:color w:val="33363C"/>
          <w:sz w:val="26"/>
          <w:szCs w:val="26"/>
        </w:rPr>
        <w:t xml:space="preserve">Purpose and How to Use This Knowledge Base</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the MEKB as the bridge between completed documentation and software implementation.</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Antigravity, or any engineer, from re-deriving decisions that have already been made and approved.</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MEKB does not replace any governing document; it indexes, cross-references, and operationalizes them.</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single, navigable structure connecting requirements to running, tested, deployed software.</w:t>
            </w:r>
          </w:p>
        </w:tc>
      </w:tr>
    </w:tbl>
    <w:p>
      <w:pPr>
        <w:spacing w:after="160"/>
      </w:pPr>
    </w:p>
    <w:p>
      <w:pPr>
        <w:spacing w:after="150" w:line="276"/>
        <w:jc w:val="both"/>
      </w:pPr>
      <w:r>
        <w:t xml:space="preserve">The SAPZ ESM and CKR programme has produced a complete body of governing documentation across procurement, business analysis, enterprise architecture, product definition, software requirements, database design, API design, quality engineering, security, delivery planning, demonstration, and engineering standards. Collectively, these documents define the entire solution: what it does, how it is structured, how it is built, how it is tested, how it is secured, and how it is operated.</w:t>
      </w:r>
    </w:p>
    <w:p>
      <w:pPr>
        <w:spacing w:after="150" w:line="276"/>
        <w:jc w:val="both"/>
      </w:pPr>
      <w:r>
        <w:t xml:space="preserve">The Master Engineering Knowledge Base (MEKB) does not redesign, rewrite, or contradict any of this material. Its role is narrower and more operational: to transform a large, multi-document, multi-author body of governing documentation into a sequence of implementation-ready engineering work packages that Antigravity can execute, sprint by sprint, while preserving complete traceability back to the original business requirement.</w:t>
      </w:r>
    </w:p>
    <w:p>
      <w:pPr>
        <w:spacing w:after="150" w:line="276"/>
        <w:jc w:val="both"/>
      </w:pPr>
      <w:r>
        <w:t xml:space="preserve">Every subsequent Part of the MEKB — Engineering Domains, Module Decomposition, the Work Breakdown Structure, the Work Packages themselves, the Sprint Roadmap, the Master Product Backlog, and the Master Prompt Library — depends on the map established in this Part. Before any work package is opened, the engineer or the AI agent executing it should be able to answer, from this Part alone: which governing documents apply, in what order they should be read, and what other work depends on this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DEAF2" w:sz="2"/>
              <w:left w:val="single" w:color="5B4E75" w:sz="24"/>
              <w:bottom w:val="single" w:color="EDEAF2" w:sz="2"/>
              <w:right w:val="single" w:color="EDEAF2" w:sz="2"/>
            </w:tcBorders>
            <w:shd w:fill="EDEAF2" w:val="clear"/>
            <w:tcMar>
              <w:top w:type="dxa" w:w="120"/>
              <w:left w:type="dxa" w:w="180"/>
              <w:bottom w:type="dxa" w:w="120"/>
              <w:right w:type="dxa" w:w="180"/>
            </w:tcMar>
          </w:tcPr>
          <w:p>
            <w:pPr>
              <w:spacing w:after="60"/>
            </w:pPr>
            <w:r>
              <w:rPr>
                <w:b/>
                <w:bCs/>
                <w:color w:val="5B4E75"/>
                <w:sz w:val="17"/>
                <w:szCs w:val="17"/>
              </w:rPr>
              <w:t xml:space="preserve">GOVERNANCE NOTE</w:t>
            </w:r>
          </w:p>
          <w:p>
            <w:pPr>
              <w:spacing w:after="0"/>
            </w:pPr>
            <w:r>
              <w:rPr>
                <w:sz w:val="18"/>
                <w:szCs w:val="18"/>
              </w:rPr>
              <w:t xml:space="preserve">The MEKB is a navigation and execution layer over the existing documentation baseline. Where any statement in this Part appears to conflict with a governing document, the governing document controls, and the conflict shall be raised as a documentation defect against the MEKB, not resolved by reinterpreting the governing document.</w:t>
            </w:r>
          </w:p>
        </w:tc>
      </w:tr>
    </w:tbl>
    <w:p>
      <w:pPr>
        <w:pStyle w:val="Heading1"/>
        <w:pBdr>
          <w:bottom w:val="single" w:color="DAD3C0" w:sz="4" w:space="4"/>
        </w:pBdr>
        <w:spacing w:after="140" w:before="360"/>
      </w:pPr>
      <w:r>
        <w:rPr>
          <w:b/>
          <w:bCs/>
          <w:color w:val="97771F"/>
          <w:sz w:val="26"/>
          <w:szCs w:val="26"/>
        </w:rPr>
        <w:t xml:space="preserve">1.2  </w:t>
      </w:r>
      <w:r>
        <w:rPr>
          <w:b/>
          <w:bCs/>
          <w:color w:val="33363C"/>
          <w:sz w:val="26"/>
          <w:szCs w:val="26"/>
        </w:rPr>
        <w:t xml:space="preserve">The SAPZ Documentation Ecosystem — Master Document Register</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Map the eighteen governing document families to the documents actually produced for the programme.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every engineer and every AI agent a single register of where authoritative content lives.</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Several governing 'documents' are realized as multi-part document sets rather than single files, reflecting the scale of an enterprise government platform.</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engineer ever has to search for the correct source document — this register is the index.</w:t>
            </w:r>
          </w:p>
        </w:tc>
      </w:tr>
    </w:tbl>
    <w:p>
      <w:pPr>
        <w:spacing w:after="160"/>
      </w:pPr>
    </w:p>
    <w:p>
      <w:pPr>
        <w:spacing w:after="150" w:line="276"/>
        <w:jc w:val="both"/>
      </w:pPr>
      <w:r>
        <w:t xml:space="preserve">The documentation baseline referenced throughout this MEKB comprises eighteen governing document families. Because of the scale of the SAPZ ESM and CKR platform, several of these families are realized as structured, multi-part document sets rather than single files — for example, the Software Requirements Specification is delivered as thirty-nine parts, and the Enterprise Engineering Handbook as twenty-four chapters. The register below is the authoritative index of where each family lives in the project repository.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
        <w:gridCol w:w="2419"/>
        <w:gridCol w:w="4234"/>
        <w:gridCol w:w="3024"/>
      </w:tblGrid>
      <w:tr>
        <w:trPr>
          <w:tblHeader/>
        </w:trPr>
        <w:tc>
          <w:tcPr>
            <w:tcW w:type="dxa" w:w="403"/>
            <w:shd w:fill="33363C" w:val="clear"/>
            <w:tcMar>
              <w:top w:type="dxa" w:w="70"/>
              <w:left w:type="dxa" w:w="110"/>
              <w:bottom w:type="dxa" w:w="70"/>
              <w:right w:type="dxa" w:w="110"/>
            </w:tcMar>
            <w:vAlign w:val="top"/>
          </w:tcPr>
          <w:p>
            <w:r>
              <w:rPr>
                <w:b/>
                <w:bCs/>
                <w:color w:val="FFFFFF"/>
                <w:sz w:val="17"/>
                <w:szCs w:val="17"/>
              </w:rPr>
              <w:t xml:space="preserve">#</w:t>
            </w:r>
          </w:p>
        </w:tc>
        <w:tc>
          <w:tcPr>
            <w:tcW w:type="dxa" w:w="2419"/>
            <w:shd w:fill="33363C" w:val="clear"/>
            <w:tcMar>
              <w:top w:type="dxa" w:w="70"/>
              <w:left w:type="dxa" w:w="110"/>
              <w:bottom w:type="dxa" w:w="70"/>
              <w:right w:type="dxa" w:w="110"/>
            </w:tcMar>
            <w:vAlign w:val="top"/>
          </w:tcPr>
          <w:p>
            <w:r>
              <w:rPr>
                <w:b/>
                <w:bCs/>
                <w:color w:val="FFFFFF"/>
                <w:sz w:val="17"/>
                <w:szCs w:val="17"/>
              </w:rPr>
              <w:t xml:space="preserve">Governing Document Family</w:t>
            </w:r>
          </w:p>
        </w:tc>
        <w:tc>
          <w:tcPr>
            <w:tcW w:type="dxa" w:w="4234"/>
            <w:shd w:fill="33363C" w:val="clear"/>
            <w:tcMar>
              <w:top w:type="dxa" w:w="70"/>
              <w:left w:type="dxa" w:w="110"/>
              <w:bottom w:type="dxa" w:w="70"/>
              <w:right w:type="dxa" w:w="110"/>
            </w:tcMar>
            <w:vAlign w:val="top"/>
          </w:tcPr>
          <w:p>
            <w:r>
              <w:rPr>
                <w:b/>
                <w:bCs/>
                <w:color w:val="FFFFFF"/>
                <w:sz w:val="17"/>
                <w:szCs w:val="17"/>
              </w:rPr>
              <w:t xml:space="preserve">Realized As</w:t>
            </w:r>
          </w:p>
        </w:tc>
        <w:tc>
          <w:tcPr>
            <w:tcW w:type="dxa" w:w="3024"/>
            <w:shd w:fill="33363C" w:val="clear"/>
            <w:tcMar>
              <w:top w:type="dxa" w:w="70"/>
              <w:left w:type="dxa" w:w="110"/>
              <w:bottom w:type="dxa" w:w="70"/>
              <w:right w:type="dxa" w:w="110"/>
            </w:tcMar>
            <w:vAlign w:val="top"/>
          </w:tcPr>
          <w:p>
            <w:r>
              <w:rPr>
                <w:b/>
                <w:bCs/>
                <w:color w:val="FFFFFF"/>
                <w:sz w:val="17"/>
                <w:szCs w:val="17"/>
              </w:rPr>
              <w:t xml:space="preserve">Repository Location</w:t>
            </w:r>
          </w:p>
        </w:tc>
      </w:tr>
      <w:tr>
        <w:tc>
          <w:tcPr>
            <w:tcW w:type="dxa" w:w="403"/>
            <w:tcMar>
              <w:top w:type="dxa" w:w="70"/>
              <w:left w:type="dxa" w:w="110"/>
              <w:bottom w:type="dxa" w:w="70"/>
              <w:right w:type="dxa" w:w="110"/>
            </w:tcMar>
            <w:vAlign w:val="top"/>
          </w:tcPr>
          <w:p>
            <w:r>
              <w:rPr>
                <w:b/>
                <w:bCs/>
                <w:color w:val="1A1A1A"/>
                <w:sz w:val="14"/>
                <w:szCs w:val="14"/>
              </w:rPr>
              <w:t xml:space="preserve">1</w:t>
            </w:r>
          </w:p>
        </w:tc>
        <w:tc>
          <w:tcPr>
            <w:tcW w:type="dxa" w:w="2419"/>
            <w:tcMar>
              <w:top w:type="dxa" w:w="70"/>
              <w:left w:type="dxa" w:w="110"/>
              <w:bottom w:type="dxa" w:w="70"/>
              <w:right w:type="dxa" w:w="110"/>
            </w:tcMar>
            <w:vAlign w:val="top"/>
          </w:tcPr>
          <w:p>
            <w:r>
              <w:rPr>
                <w:b w:val="false"/>
                <w:bCs w:val="false"/>
                <w:color w:val="1A1A1A"/>
                <w:sz w:val="14"/>
                <w:szCs w:val="14"/>
              </w:rPr>
              <w:t xml:space="preserve">Procurement Intelligence Report</w:t>
            </w:r>
          </w:p>
        </w:tc>
        <w:tc>
          <w:tcPr>
            <w:tcW w:type="dxa" w:w="4234"/>
            <w:tcMar>
              <w:top w:type="dxa" w:w="70"/>
              <w:left w:type="dxa" w:w="110"/>
              <w:bottom w:type="dxa" w:w="70"/>
              <w:right w:type="dxa" w:w="110"/>
            </w:tcMar>
            <w:vAlign w:val="top"/>
          </w:tcPr>
          <w:p>
            <w:r>
              <w:rPr>
                <w:b w:val="false"/>
                <w:bCs w:val="false"/>
                <w:color w:val="1A1A1A"/>
                <w:sz w:val="14"/>
                <w:szCs w:val="14"/>
              </w:rPr>
              <w:t xml:space="preserve">REOI response package, Winning Bid Strategy, Executive Advice Briefing, Master Bid &amp; Delivery Strategy</w:t>
            </w:r>
          </w:p>
        </w:tc>
        <w:tc>
          <w:tcPr>
            <w:tcW w:type="dxa" w:w="3024"/>
            <w:tcMar>
              <w:top w:type="dxa" w:w="70"/>
              <w:left w:type="dxa" w:w="110"/>
              <w:bottom w:type="dxa" w:w="70"/>
              <w:right w:type="dxa" w:w="110"/>
            </w:tcMar>
            <w:vAlign w:val="top"/>
          </w:tcPr>
          <w:p>
            <w:r>
              <w:rPr>
                <w:b w:val="false"/>
                <w:bCs w:val="false"/>
                <w:color w:val="1A1A1A"/>
                <w:sz w:val="14"/>
                <w:szCs w:val="14"/>
              </w:rPr>
              <w:t xml:space="preserve">00_REOI/</w:t>
            </w:r>
          </w:p>
        </w:tc>
      </w:tr>
      <w:tr>
        <w:tc>
          <w:tcPr>
            <w:tcW w:type="dxa" w:w="403"/>
            <w:tcMar>
              <w:top w:type="dxa" w:w="70"/>
              <w:left w:type="dxa" w:w="110"/>
              <w:bottom w:type="dxa" w:w="70"/>
              <w:right w:type="dxa" w:w="110"/>
            </w:tcMar>
            <w:vAlign w:val="top"/>
          </w:tcPr>
          <w:p>
            <w:r>
              <w:rPr>
                <w:b/>
                <w:bCs/>
                <w:color w:val="1A1A1A"/>
                <w:sz w:val="14"/>
                <w:szCs w:val="14"/>
              </w:rPr>
              <w:t xml:space="preserve">2</w:t>
            </w:r>
          </w:p>
        </w:tc>
        <w:tc>
          <w:tcPr>
            <w:tcW w:type="dxa" w:w="2419"/>
            <w:tcMar>
              <w:top w:type="dxa" w:w="70"/>
              <w:left w:type="dxa" w:w="110"/>
              <w:bottom w:type="dxa" w:w="70"/>
              <w:right w:type="dxa" w:w="110"/>
            </w:tcMar>
            <w:vAlign w:val="top"/>
          </w:tcPr>
          <w:p>
            <w:r>
              <w:rPr>
                <w:b w:val="false"/>
                <w:bCs w:val="false"/>
                <w:color w:val="1A1A1A"/>
                <w:sz w:val="14"/>
                <w:szCs w:val="14"/>
              </w:rPr>
              <w:t xml:space="preserve">Requirements Traceability Matrix (RTM)</w:t>
            </w:r>
          </w:p>
        </w:tc>
        <w:tc>
          <w:tcPr>
            <w:tcW w:type="dxa" w:w="4234"/>
            <w:tcMar>
              <w:top w:type="dxa" w:w="70"/>
              <w:left w:type="dxa" w:w="110"/>
              <w:bottom w:type="dxa" w:w="70"/>
              <w:right w:type="dxa" w:w="110"/>
            </w:tcMar>
            <w:vAlign w:val="top"/>
          </w:tcPr>
          <w:p>
            <w:r>
              <w:rPr>
                <w:b w:val="false"/>
                <w:bCs w:val="false"/>
                <w:color w:val="1A1A1A"/>
                <w:sz w:val="14"/>
                <w:szCs w:val="14"/>
              </w:rPr>
              <w:t xml:space="preserve">SRS Part 37 (RTM workbook); TSAS Part 03 (Requirements Traceability Matrix); Appendix J (Enterprise Requirements Traceability &amp; Governance Matrix)</w:t>
            </w:r>
          </w:p>
        </w:tc>
        <w:tc>
          <w:tcPr>
            <w:tcW w:type="dxa" w:w="3024"/>
            <w:tcMar>
              <w:top w:type="dxa" w:w="70"/>
              <w:left w:type="dxa" w:w="110"/>
              <w:bottom w:type="dxa" w:w="70"/>
              <w:right w:type="dxa" w:w="110"/>
            </w:tcMar>
            <w:vAlign w:val="top"/>
          </w:tcPr>
          <w:p>
            <w:r>
              <w:rPr>
                <w:b w:val="false"/>
                <w:bCs w:val="false"/>
                <w:color w:val="1A1A1A"/>
                <w:sz w:val="14"/>
                <w:szCs w:val="14"/>
              </w:rPr>
              <w:t xml:space="preserve">03_SRS/, 06_Testing/SAPZ_TSAS/, 14_Engineering_Appendices/</w:t>
            </w:r>
          </w:p>
        </w:tc>
      </w:tr>
      <w:tr>
        <w:tc>
          <w:tcPr>
            <w:tcW w:type="dxa" w:w="403"/>
            <w:tcMar>
              <w:top w:type="dxa" w:w="70"/>
              <w:left w:type="dxa" w:w="110"/>
              <w:bottom w:type="dxa" w:w="70"/>
              <w:right w:type="dxa" w:w="110"/>
            </w:tcMar>
            <w:vAlign w:val="top"/>
          </w:tcPr>
          <w:p>
            <w:r>
              <w:rPr>
                <w:b/>
                <w:bCs/>
                <w:color w:val="1A1A1A"/>
                <w:sz w:val="14"/>
                <w:szCs w:val="14"/>
              </w:rPr>
              <w:t xml:space="preserve">3</w:t>
            </w:r>
          </w:p>
        </w:tc>
        <w:tc>
          <w:tcPr>
            <w:tcW w:type="dxa" w:w="2419"/>
            <w:tcMar>
              <w:top w:type="dxa" w:w="70"/>
              <w:left w:type="dxa" w:w="110"/>
              <w:bottom w:type="dxa" w:w="70"/>
              <w:right w:type="dxa" w:w="110"/>
            </w:tcMar>
            <w:vAlign w:val="top"/>
          </w:tcPr>
          <w:p>
            <w:r>
              <w:rPr>
                <w:b w:val="false"/>
                <w:bCs w:val="false"/>
                <w:color w:val="1A1A1A"/>
                <w:sz w:val="14"/>
                <w:szCs w:val="14"/>
              </w:rPr>
              <w:t xml:space="preserve">Enterprise Solution Architecture</w:t>
            </w:r>
          </w:p>
        </w:tc>
        <w:tc>
          <w:tcPr>
            <w:tcW w:type="dxa" w:w="4234"/>
            <w:tcMar>
              <w:top w:type="dxa" w:w="70"/>
              <w:left w:type="dxa" w:w="110"/>
              <w:bottom w:type="dxa" w:w="70"/>
              <w:right w:type="dxa" w:w="110"/>
            </w:tcMar>
            <w:vAlign w:val="top"/>
          </w:tcPr>
          <w:p>
            <w:r>
              <w:rPr>
                <w:b w:val="false"/>
                <w:bCs w:val="false"/>
                <w:color w:val="1A1A1A"/>
                <w:sz w:val="14"/>
                <w:szCs w:val="14"/>
              </w:rPr>
              <w:t xml:space="preserve">EA Blueprint (10 parts) and EA &amp; Digital Transformation Blueprint 2.0 (16 sections); Solution Strategy</w:t>
            </w:r>
          </w:p>
        </w:tc>
        <w:tc>
          <w:tcPr>
            <w:tcW w:type="dxa" w:w="3024"/>
            <w:tcMar>
              <w:top w:type="dxa" w:w="70"/>
              <w:left w:type="dxa" w:w="110"/>
              <w:bottom w:type="dxa" w:w="70"/>
              <w:right w:type="dxa" w:w="110"/>
            </w:tcMar>
            <w:vAlign w:val="top"/>
          </w:tcPr>
          <w:p>
            <w:r>
              <w:rPr>
                <w:b w:val="false"/>
                <w:bCs w:val="false"/>
                <w:color w:val="1A1A1A"/>
                <w:sz w:val="14"/>
                <w:szCs w:val="14"/>
              </w:rPr>
              <w:t xml:space="preserve">01_Architecture/</w:t>
            </w:r>
          </w:p>
        </w:tc>
      </w:tr>
      <w:tr>
        <w:tc>
          <w:tcPr>
            <w:tcW w:type="dxa" w:w="403"/>
            <w:tcMar>
              <w:top w:type="dxa" w:w="70"/>
              <w:left w:type="dxa" w:w="110"/>
              <w:bottom w:type="dxa" w:w="70"/>
              <w:right w:type="dxa" w:w="110"/>
            </w:tcMar>
            <w:vAlign w:val="top"/>
          </w:tcPr>
          <w:p>
            <w:r>
              <w:rPr>
                <w:b/>
                <w:bCs/>
                <w:color w:val="1A1A1A"/>
                <w:sz w:val="14"/>
                <w:szCs w:val="14"/>
              </w:rPr>
              <w:t xml:space="preserve">4</w:t>
            </w:r>
          </w:p>
        </w:tc>
        <w:tc>
          <w:tcPr>
            <w:tcW w:type="dxa" w:w="2419"/>
            <w:tcMar>
              <w:top w:type="dxa" w:w="70"/>
              <w:left w:type="dxa" w:w="110"/>
              <w:bottom w:type="dxa" w:w="70"/>
              <w:right w:type="dxa" w:w="110"/>
            </w:tcMar>
            <w:vAlign w:val="top"/>
          </w:tcPr>
          <w:p>
            <w:r>
              <w:rPr>
                <w:b w:val="false"/>
                <w:bCs w:val="false"/>
                <w:color w:val="1A1A1A"/>
                <w:sz w:val="14"/>
                <w:szCs w:val="14"/>
              </w:rPr>
              <w:t xml:space="preserve">Business Architecture</w:t>
            </w:r>
          </w:p>
        </w:tc>
        <w:tc>
          <w:tcPr>
            <w:tcW w:type="dxa" w:w="4234"/>
            <w:tcMar>
              <w:top w:type="dxa" w:w="70"/>
              <w:left w:type="dxa" w:w="110"/>
              <w:bottom w:type="dxa" w:w="70"/>
              <w:right w:type="dxa" w:w="110"/>
            </w:tcMar>
            <w:vAlign w:val="top"/>
          </w:tcPr>
          <w:p>
            <w:r>
              <w:rPr>
                <w:b w:val="false"/>
                <w:bCs w:val="false"/>
                <w:color w:val="1A1A1A"/>
                <w:sz w:val="14"/>
                <w:szCs w:val="14"/>
              </w:rPr>
              <w:t xml:space="preserve">EA Blueprint Part 2; EA Blueprint 2.0 Section 02</w:t>
            </w:r>
          </w:p>
        </w:tc>
        <w:tc>
          <w:tcPr>
            <w:tcW w:type="dxa" w:w="3024"/>
            <w:tcMar>
              <w:top w:type="dxa" w:w="70"/>
              <w:left w:type="dxa" w:w="110"/>
              <w:bottom w:type="dxa" w:w="70"/>
              <w:right w:type="dxa" w:w="110"/>
            </w:tcMar>
            <w:vAlign w:val="top"/>
          </w:tcPr>
          <w:p>
            <w:r>
              <w:rPr>
                <w:b w:val="false"/>
                <w:bCs w:val="false"/>
                <w:color w:val="1A1A1A"/>
                <w:sz w:val="14"/>
                <w:szCs w:val="14"/>
              </w:rPr>
              <w:t xml:space="preserve">01_Architecture/SAPZ_EA/, SAPZ_Enterprise Architecture/</w:t>
            </w:r>
          </w:p>
        </w:tc>
      </w:tr>
      <w:tr>
        <w:tc>
          <w:tcPr>
            <w:tcW w:type="dxa" w:w="403"/>
            <w:tcMar>
              <w:top w:type="dxa" w:w="70"/>
              <w:left w:type="dxa" w:w="110"/>
              <w:bottom w:type="dxa" w:w="70"/>
              <w:right w:type="dxa" w:w="110"/>
            </w:tcMar>
            <w:vAlign w:val="top"/>
          </w:tcPr>
          <w:p>
            <w:r>
              <w:rPr>
                <w:b/>
                <w:bCs/>
                <w:color w:val="1A1A1A"/>
                <w:sz w:val="14"/>
                <w:szCs w:val="14"/>
              </w:rPr>
              <w:t xml:space="preserve">5</w:t>
            </w:r>
          </w:p>
        </w:tc>
        <w:tc>
          <w:tcPr>
            <w:tcW w:type="dxa" w:w="2419"/>
            <w:tcMar>
              <w:top w:type="dxa" w:w="70"/>
              <w:left w:type="dxa" w:w="110"/>
              <w:bottom w:type="dxa" w:w="70"/>
              <w:right w:type="dxa" w:w="110"/>
            </w:tcMar>
            <w:vAlign w:val="top"/>
          </w:tcPr>
          <w:p>
            <w:r>
              <w:rPr>
                <w:b w:val="false"/>
                <w:bCs w:val="false"/>
                <w:color w:val="1A1A1A"/>
                <w:sz w:val="14"/>
                <w:szCs w:val="14"/>
              </w:rPr>
              <w:t xml:space="preserve">Product Definition Document (PDD)</w:t>
            </w:r>
          </w:p>
        </w:tc>
        <w:tc>
          <w:tcPr>
            <w:tcW w:type="dxa" w:w="4234"/>
            <w:tcMar>
              <w:top w:type="dxa" w:w="70"/>
              <w:left w:type="dxa" w:w="110"/>
              <w:bottom w:type="dxa" w:w="70"/>
              <w:right w:type="dxa" w:w="110"/>
            </w:tcMar>
            <w:vAlign w:val="top"/>
          </w:tcPr>
          <w:p>
            <w:r>
              <w:rPr>
                <w:b w:val="false"/>
                <w:bCs w:val="false"/>
                <w:color w:val="1A1A1A"/>
                <w:sz w:val="14"/>
                <w:szCs w:val="14"/>
              </w:rPr>
              <w:t xml:space="preserve">19 sections, Executive Product Summary through Product Review &amp; Recommendations</w:t>
            </w:r>
          </w:p>
        </w:tc>
        <w:tc>
          <w:tcPr>
            <w:tcW w:type="dxa" w:w="3024"/>
            <w:tcMar>
              <w:top w:type="dxa" w:w="70"/>
              <w:left w:type="dxa" w:w="110"/>
              <w:bottom w:type="dxa" w:w="70"/>
              <w:right w:type="dxa" w:w="110"/>
            </w:tcMar>
            <w:vAlign w:val="top"/>
          </w:tcPr>
          <w:p>
            <w:r>
              <w:rPr>
                <w:b w:val="false"/>
                <w:bCs w:val="false"/>
                <w:color w:val="1A1A1A"/>
                <w:sz w:val="14"/>
                <w:szCs w:val="14"/>
              </w:rPr>
              <w:t xml:space="preserve">02_PDD/SAPZ_PDD/</w:t>
            </w:r>
          </w:p>
        </w:tc>
      </w:tr>
      <w:tr>
        <w:tc>
          <w:tcPr>
            <w:tcW w:type="dxa" w:w="403"/>
            <w:tcMar>
              <w:top w:type="dxa" w:w="70"/>
              <w:left w:type="dxa" w:w="110"/>
              <w:bottom w:type="dxa" w:w="70"/>
              <w:right w:type="dxa" w:w="110"/>
            </w:tcMar>
            <w:vAlign w:val="top"/>
          </w:tcPr>
          <w:p>
            <w:r>
              <w:rPr>
                <w:b/>
                <w:bCs/>
                <w:color w:val="1A1A1A"/>
                <w:sz w:val="14"/>
                <w:szCs w:val="14"/>
              </w:rPr>
              <w:t xml:space="preserve">6</w:t>
            </w:r>
          </w:p>
        </w:tc>
        <w:tc>
          <w:tcPr>
            <w:tcW w:type="dxa" w:w="2419"/>
            <w:tcMar>
              <w:top w:type="dxa" w:w="70"/>
              <w:left w:type="dxa" w:w="110"/>
              <w:bottom w:type="dxa" w:w="70"/>
              <w:right w:type="dxa" w:w="110"/>
            </w:tcMar>
            <w:vAlign w:val="top"/>
          </w:tcPr>
          <w:p>
            <w:r>
              <w:rPr>
                <w:b w:val="false"/>
                <w:bCs w:val="false"/>
                <w:color w:val="1A1A1A"/>
                <w:sz w:val="14"/>
                <w:szCs w:val="14"/>
              </w:rPr>
              <w:t xml:space="preserve">Software Requirements Specification (SRS)</w:t>
            </w:r>
          </w:p>
        </w:tc>
        <w:tc>
          <w:tcPr>
            <w:tcW w:type="dxa" w:w="4234"/>
            <w:tcMar>
              <w:top w:type="dxa" w:w="70"/>
              <w:left w:type="dxa" w:w="110"/>
              <w:bottom w:type="dxa" w:w="70"/>
              <w:right w:type="dxa" w:w="110"/>
            </w:tcMar>
            <w:vAlign w:val="top"/>
          </w:tcPr>
          <w:p>
            <w:r>
              <w:rPr>
                <w:b w:val="false"/>
                <w:bCs w:val="false"/>
                <w:color w:val="1A1A1A"/>
                <w:sz w:val="14"/>
                <w:szCs w:val="14"/>
              </w:rPr>
              <w:t xml:space="preserve">39 parts, Executive Summary through Front Matter &amp; Master TOC</w:t>
            </w:r>
          </w:p>
        </w:tc>
        <w:tc>
          <w:tcPr>
            <w:tcW w:type="dxa" w:w="3024"/>
            <w:tcMar>
              <w:top w:type="dxa" w:w="70"/>
              <w:left w:type="dxa" w:w="110"/>
              <w:bottom w:type="dxa" w:w="70"/>
              <w:right w:type="dxa" w:w="110"/>
            </w:tcMar>
            <w:vAlign w:val="top"/>
          </w:tcPr>
          <w:p>
            <w:r>
              <w:rPr>
                <w:b w:val="false"/>
                <w:bCs w:val="false"/>
                <w:color w:val="1A1A1A"/>
                <w:sz w:val="14"/>
                <w:szCs w:val="14"/>
              </w:rPr>
              <w:t xml:space="preserve">03_SRS/SAPZ_SRS/</w:t>
            </w:r>
          </w:p>
        </w:tc>
      </w:tr>
      <w:tr>
        <w:tc>
          <w:tcPr>
            <w:tcW w:type="dxa" w:w="403"/>
            <w:tcMar>
              <w:top w:type="dxa" w:w="70"/>
              <w:left w:type="dxa" w:w="110"/>
              <w:bottom w:type="dxa" w:w="70"/>
              <w:right w:type="dxa" w:w="110"/>
            </w:tcMar>
            <w:vAlign w:val="top"/>
          </w:tcPr>
          <w:p>
            <w:r>
              <w:rPr>
                <w:b/>
                <w:bCs/>
                <w:color w:val="1A1A1A"/>
                <w:sz w:val="14"/>
                <w:szCs w:val="14"/>
              </w:rPr>
              <w:t xml:space="preserve">7</w:t>
            </w:r>
          </w:p>
        </w:tc>
        <w:tc>
          <w:tcPr>
            <w:tcW w:type="dxa" w:w="2419"/>
            <w:tcMar>
              <w:top w:type="dxa" w:w="70"/>
              <w:left w:type="dxa" w:w="110"/>
              <w:bottom w:type="dxa" w:w="70"/>
              <w:right w:type="dxa" w:w="110"/>
            </w:tcMar>
            <w:vAlign w:val="top"/>
          </w:tcPr>
          <w:p>
            <w:r>
              <w:rPr>
                <w:b w:val="false"/>
                <w:bCs w:val="false"/>
                <w:color w:val="1A1A1A"/>
                <w:sz w:val="14"/>
                <w:szCs w:val="14"/>
              </w:rPr>
              <w:t xml:space="preserve">Business Requirements Document (BRD)</w:t>
            </w:r>
          </w:p>
        </w:tc>
        <w:tc>
          <w:tcPr>
            <w:tcW w:type="dxa" w:w="4234"/>
            <w:tcMar>
              <w:top w:type="dxa" w:w="70"/>
              <w:left w:type="dxa" w:w="110"/>
              <w:bottom w:type="dxa" w:w="70"/>
              <w:right w:type="dxa" w:w="110"/>
            </w:tcMar>
            <w:vAlign w:val="top"/>
          </w:tcPr>
          <w:p>
            <w:r>
              <w:rPr>
                <w:b w:val="false"/>
                <w:bCs w:val="false"/>
                <w:color w:val="1A1A1A"/>
                <w:sz w:val="14"/>
                <w:szCs w:val="14"/>
              </w:rPr>
              <w:t xml:space="preserve">Embedded in PDD Sections 01–03 and SRS Part 01 (Executive Summary &amp; Business Context); no standalone BRD file — the PDD and SRS jointly serve this function</w:t>
            </w:r>
          </w:p>
        </w:tc>
        <w:tc>
          <w:tcPr>
            <w:tcW w:type="dxa" w:w="3024"/>
            <w:tcMar>
              <w:top w:type="dxa" w:w="70"/>
              <w:left w:type="dxa" w:w="110"/>
              <w:bottom w:type="dxa" w:w="70"/>
              <w:right w:type="dxa" w:w="110"/>
            </w:tcMar>
            <w:vAlign w:val="top"/>
          </w:tcPr>
          <w:p>
            <w:r>
              <w:rPr>
                <w:b w:val="false"/>
                <w:bCs w:val="false"/>
                <w:color w:val="1A1A1A"/>
                <w:sz w:val="14"/>
                <w:szCs w:val="14"/>
              </w:rPr>
              <w:t xml:space="preserve">02_PDD/SAPZ_PDD/, 03_SRS/SAPZ_SRS/</w:t>
            </w:r>
          </w:p>
        </w:tc>
      </w:tr>
      <w:tr>
        <w:tc>
          <w:tcPr>
            <w:tcW w:type="dxa" w:w="403"/>
            <w:tcMar>
              <w:top w:type="dxa" w:w="70"/>
              <w:left w:type="dxa" w:w="110"/>
              <w:bottom w:type="dxa" w:w="70"/>
              <w:right w:type="dxa" w:w="110"/>
            </w:tcMar>
            <w:vAlign w:val="top"/>
          </w:tcPr>
          <w:p>
            <w:r>
              <w:rPr>
                <w:b/>
                <w:bCs/>
                <w:color w:val="1A1A1A"/>
                <w:sz w:val="14"/>
                <w:szCs w:val="14"/>
              </w:rPr>
              <w:t xml:space="preserve">8</w:t>
            </w:r>
          </w:p>
        </w:tc>
        <w:tc>
          <w:tcPr>
            <w:tcW w:type="dxa" w:w="2419"/>
            <w:tcMar>
              <w:top w:type="dxa" w:w="70"/>
              <w:left w:type="dxa" w:w="110"/>
              <w:bottom w:type="dxa" w:w="70"/>
              <w:right w:type="dxa" w:w="110"/>
            </w:tcMar>
            <w:vAlign w:val="top"/>
          </w:tcPr>
          <w:p>
            <w:r>
              <w:rPr>
                <w:b w:val="false"/>
                <w:bCs w:val="false"/>
                <w:color w:val="1A1A1A"/>
                <w:sz w:val="14"/>
                <w:szCs w:val="14"/>
              </w:rPr>
              <w:t xml:space="preserve">Data Dictionary</w:t>
            </w:r>
          </w:p>
        </w:tc>
        <w:tc>
          <w:tcPr>
            <w:tcW w:type="dxa" w:w="4234"/>
            <w:tcMar>
              <w:top w:type="dxa" w:w="70"/>
              <w:left w:type="dxa" w:w="110"/>
              <w:bottom w:type="dxa" w:w="70"/>
              <w:right w:type="dxa" w:w="110"/>
            </w:tcMar>
            <w:vAlign w:val="top"/>
          </w:tcPr>
          <w:p>
            <w:r>
              <w:rPr>
                <w:b w:val="false"/>
                <w:bCs w:val="false"/>
                <w:color w:val="1A1A1A"/>
                <w:sz w:val="14"/>
                <w:szCs w:val="14"/>
              </w:rPr>
              <w:t xml:space="preserve">DDS Part 04 (Complete Data Dictionary)</w:t>
            </w:r>
          </w:p>
        </w:tc>
        <w:tc>
          <w:tcPr>
            <w:tcW w:type="dxa" w:w="3024"/>
            <w:tcMar>
              <w:top w:type="dxa" w:w="70"/>
              <w:left w:type="dxa" w:w="110"/>
              <w:bottom w:type="dxa" w:w="70"/>
              <w:right w:type="dxa" w:w="110"/>
            </w:tcMar>
            <w:vAlign w:val="top"/>
          </w:tcPr>
          <w:p>
            <w:r>
              <w:rPr>
                <w:b w:val="false"/>
                <w:bCs w:val="false"/>
                <w:color w:val="1A1A1A"/>
                <w:sz w:val="14"/>
                <w:szCs w:val="14"/>
              </w:rPr>
              <w:t xml:space="preserve">04_Database/SAPZ_DDS/</w:t>
            </w:r>
          </w:p>
        </w:tc>
      </w:tr>
      <w:tr>
        <w:tc>
          <w:tcPr>
            <w:tcW w:type="dxa" w:w="403"/>
            <w:tcMar>
              <w:top w:type="dxa" w:w="70"/>
              <w:left w:type="dxa" w:w="110"/>
              <w:bottom w:type="dxa" w:w="70"/>
              <w:right w:type="dxa" w:w="110"/>
            </w:tcMar>
            <w:vAlign w:val="top"/>
          </w:tcPr>
          <w:p>
            <w:r>
              <w:rPr>
                <w:b/>
                <w:bCs/>
                <w:color w:val="1A1A1A"/>
                <w:sz w:val="14"/>
                <w:szCs w:val="14"/>
              </w:rPr>
              <w:t xml:space="preserve">9</w:t>
            </w:r>
          </w:p>
        </w:tc>
        <w:tc>
          <w:tcPr>
            <w:tcW w:type="dxa" w:w="2419"/>
            <w:tcMar>
              <w:top w:type="dxa" w:w="70"/>
              <w:left w:type="dxa" w:w="110"/>
              <w:bottom w:type="dxa" w:w="70"/>
              <w:right w:type="dxa" w:w="110"/>
            </w:tcMar>
            <w:vAlign w:val="top"/>
          </w:tcPr>
          <w:p>
            <w:r>
              <w:rPr>
                <w:b w:val="false"/>
                <w:bCs w:val="false"/>
                <w:color w:val="1A1A1A"/>
                <w:sz w:val="14"/>
                <w:szCs w:val="14"/>
              </w:rPr>
              <w:t xml:space="preserve">Database Design</w:t>
            </w:r>
          </w:p>
        </w:tc>
        <w:tc>
          <w:tcPr>
            <w:tcW w:type="dxa" w:w="4234"/>
            <w:tcMar>
              <w:top w:type="dxa" w:w="70"/>
              <w:left w:type="dxa" w:w="110"/>
              <w:bottom w:type="dxa" w:w="70"/>
              <w:right w:type="dxa" w:w="110"/>
            </w:tcMar>
            <w:vAlign w:val="top"/>
          </w:tcPr>
          <w:p>
            <w:r>
              <w:rPr>
                <w:b w:val="false"/>
                <w:bCs w:val="false"/>
                <w:color w:val="1A1A1A"/>
                <w:sz w:val="14"/>
                <w:szCs w:val="14"/>
              </w:rPr>
              <w:t xml:space="preserve">Database Design Specification (DDS), 19 parts</w:t>
            </w:r>
          </w:p>
        </w:tc>
        <w:tc>
          <w:tcPr>
            <w:tcW w:type="dxa" w:w="3024"/>
            <w:tcMar>
              <w:top w:type="dxa" w:w="70"/>
              <w:left w:type="dxa" w:w="110"/>
              <w:bottom w:type="dxa" w:w="70"/>
              <w:right w:type="dxa" w:w="110"/>
            </w:tcMar>
            <w:vAlign w:val="top"/>
          </w:tcPr>
          <w:p>
            <w:r>
              <w:rPr>
                <w:b w:val="false"/>
                <w:bCs w:val="false"/>
                <w:color w:val="1A1A1A"/>
                <w:sz w:val="14"/>
                <w:szCs w:val="14"/>
              </w:rPr>
              <w:t xml:space="preserve">04_Database/SAPZ_DDS/</w:t>
            </w:r>
          </w:p>
        </w:tc>
      </w:tr>
      <w:tr>
        <w:tc>
          <w:tcPr>
            <w:tcW w:type="dxa" w:w="403"/>
            <w:tcMar>
              <w:top w:type="dxa" w:w="70"/>
              <w:left w:type="dxa" w:w="110"/>
              <w:bottom w:type="dxa" w:w="70"/>
              <w:right w:type="dxa" w:w="110"/>
            </w:tcMar>
            <w:vAlign w:val="top"/>
          </w:tcPr>
          <w:p>
            <w:r>
              <w:rPr>
                <w:b/>
                <w:bCs/>
                <w:color w:val="1A1A1A"/>
                <w:sz w:val="14"/>
                <w:szCs w:val="14"/>
              </w:rPr>
              <w:t xml:space="preserve">10</w:t>
            </w:r>
          </w:p>
        </w:tc>
        <w:tc>
          <w:tcPr>
            <w:tcW w:type="dxa" w:w="2419"/>
            <w:tcMar>
              <w:top w:type="dxa" w:w="70"/>
              <w:left w:type="dxa" w:w="110"/>
              <w:bottom w:type="dxa" w:w="70"/>
              <w:right w:type="dxa" w:w="110"/>
            </w:tcMar>
            <w:vAlign w:val="top"/>
          </w:tcPr>
          <w:p>
            <w:r>
              <w:rPr>
                <w:b w:val="false"/>
                <w:bCs w:val="false"/>
                <w:color w:val="1A1A1A"/>
                <w:sz w:val="14"/>
                <w:szCs w:val="14"/>
              </w:rPr>
              <w:t xml:space="preserve">API &amp; Integration Specification</w:t>
            </w:r>
          </w:p>
        </w:tc>
        <w:tc>
          <w:tcPr>
            <w:tcW w:type="dxa" w:w="4234"/>
            <w:tcMar>
              <w:top w:type="dxa" w:w="70"/>
              <w:left w:type="dxa" w:w="110"/>
              <w:bottom w:type="dxa" w:w="70"/>
              <w:right w:type="dxa" w:w="110"/>
            </w:tcMar>
            <w:vAlign w:val="top"/>
          </w:tcPr>
          <w:p>
            <w:r>
              <w:rPr>
                <w:b w:val="false"/>
                <w:bCs w:val="false"/>
                <w:color w:val="1A1A1A"/>
                <w:sz w:val="14"/>
                <w:szCs w:val="14"/>
              </w:rPr>
              <w:t xml:space="preserve">API &amp; Integration Design Specification (AIDS), 19 parts</w:t>
            </w:r>
          </w:p>
        </w:tc>
        <w:tc>
          <w:tcPr>
            <w:tcW w:type="dxa" w:w="3024"/>
            <w:tcMar>
              <w:top w:type="dxa" w:w="70"/>
              <w:left w:type="dxa" w:w="110"/>
              <w:bottom w:type="dxa" w:w="70"/>
              <w:right w:type="dxa" w:w="110"/>
            </w:tcMar>
            <w:vAlign w:val="top"/>
          </w:tcPr>
          <w:p>
            <w:r>
              <w:rPr>
                <w:b w:val="false"/>
                <w:bCs w:val="false"/>
                <w:color w:val="1A1A1A"/>
                <w:sz w:val="14"/>
                <w:szCs w:val="14"/>
              </w:rPr>
              <w:t xml:space="preserve">05_API/SAPZ_AIDS/</w:t>
            </w:r>
          </w:p>
        </w:tc>
      </w:tr>
      <w:tr>
        <w:tc>
          <w:tcPr>
            <w:tcW w:type="dxa" w:w="403"/>
            <w:tcMar>
              <w:top w:type="dxa" w:w="70"/>
              <w:left w:type="dxa" w:w="110"/>
              <w:bottom w:type="dxa" w:w="70"/>
              <w:right w:type="dxa" w:w="110"/>
            </w:tcMar>
            <w:vAlign w:val="top"/>
          </w:tcPr>
          <w:p>
            <w:r>
              <w:rPr>
                <w:b/>
                <w:bCs/>
                <w:color w:val="1A1A1A"/>
                <w:sz w:val="14"/>
                <w:szCs w:val="14"/>
              </w:rPr>
              <w:t xml:space="preserve">11</w:t>
            </w:r>
          </w:p>
        </w:tc>
        <w:tc>
          <w:tcPr>
            <w:tcW w:type="dxa" w:w="2419"/>
            <w:tcMar>
              <w:top w:type="dxa" w:w="70"/>
              <w:left w:type="dxa" w:w="110"/>
              <w:bottom w:type="dxa" w:w="70"/>
              <w:right w:type="dxa" w:w="110"/>
            </w:tcMar>
            <w:vAlign w:val="top"/>
          </w:tcPr>
          <w:p>
            <w:r>
              <w:rPr>
                <w:b w:val="false"/>
                <w:bCs w:val="false"/>
                <w:color w:val="1A1A1A"/>
                <w:sz w:val="14"/>
                <w:szCs w:val="14"/>
              </w:rPr>
              <w:t xml:space="preserve">Test Strategy</w:t>
            </w:r>
          </w:p>
        </w:tc>
        <w:tc>
          <w:tcPr>
            <w:tcW w:type="dxa" w:w="4234"/>
            <w:tcMar>
              <w:top w:type="dxa" w:w="70"/>
              <w:left w:type="dxa" w:w="110"/>
              <w:bottom w:type="dxa" w:w="70"/>
              <w:right w:type="dxa" w:w="110"/>
            </w:tcMar>
            <w:vAlign w:val="top"/>
          </w:tcPr>
          <w:p>
            <w:r>
              <w:rPr>
                <w:b w:val="false"/>
                <w:bCs w:val="false"/>
                <w:color w:val="1A1A1A"/>
                <w:sz w:val="14"/>
                <w:szCs w:val="14"/>
              </w:rPr>
              <w:t xml:space="preserve">Test Strategy, Verification &amp; Acceptance Specification (TSAS), 19 parts</w:t>
            </w:r>
          </w:p>
        </w:tc>
        <w:tc>
          <w:tcPr>
            <w:tcW w:type="dxa" w:w="3024"/>
            <w:tcMar>
              <w:top w:type="dxa" w:w="70"/>
              <w:left w:type="dxa" w:w="110"/>
              <w:bottom w:type="dxa" w:w="70"/>
              <w:right w:type="dxa" w:w="110"/>
            </w:tcMar>
            <w:vAlign w:val="top"/>
          </w:tcPr>
          <w:p>
            <w:r>
              <w:rPr>
                <w:b w:val="false"/>
                <w:bCs w:val="false"/>
                <w:color w:val="1A1A1A"/>
                <w:sz w:val="14"/>
                <w:szCs w:val="14"/>
              </w:rPr>
              <w:t xml:space="preserve">06_Testing/SAPZ_TSAS/</w:t>
            </w:r>
          </w:p>
        </w:tc>
      </w:tr>
      <w:tr>
        <w:tc>
          <w:tcPr>
            <w:tcW w:type="dxa" w:w="403"/>
            <w:tcMar>
              <w:top w:type="dxa" w:w="70"/>
              <w:left w:type="dxa" w:w="110"/>
              <w:bottom w:type="dxa" w:w="70"/>
              <w:right w:type="dxa" w:w="110"/>
            </w:tcMar>
            <w:vAlign w:val="top"/>
          </w:tcPr>
          <w:p>
            <w:r>
              <w:rPr>
                <w:b/>
                <w:bCs/>
                <w:color w:val="1A1A1A"/>
                <w:sz w:val="14"/>
                <w:szCs w:val="14"/>
              </w:rPr>
              <w:t xml:space="preserve">12</w:t>
            </w:r>
          </w:p>
        </w:tc>
        <w:tc>
          <w:tcPr>
            <w:tcW w:type="dxa" w:w="2419"/>
            <w:tcMar>
              <w:top w:type="dxa" w:w="70"/>
              <w:left w:type="dxa" w:w="110"/>
              <w:bottom w:type="dxa" w:w="70"/>
              <w:right w:type="dxa" w:w="110"/>
            </w:tcMar>
            <w:vAlign w:val="top"/>
          </w:tcPr>
          <w:p>
            <w:r>
              <w:rPr>
                <w:b w:val="false"/>
                <w:bCs w:val="false"/>
                <w:color w:val="1A1A1A"/>
                <w:sz w:val="14"/>
                <w:szCs w:val="14"/>
              </w:rPr>
              <w:t xml:space="preserve">Security Architecture</w:t>
            </w:r>
          </w:p>
        </w:tc>
        <w:tc>
          <w:tcPr>
            <w:tcW w:type="dxa" w:w="4234"/>
            <w:tcMar>
              <w:top w:type="dxa" w:w="70"/>
              <w:left w:type="dxa" w:w="110"/>
              <w:bottom w:type="dxa" w:w="70"/>
              <w:right w:type="dxa" w:w="110"/>
            </w:tcMar>
            <w:vAlign w:val="top"/>
          </w:tcPr>
          <w:p>
            <w:r>
              <w:rPr>
                <w:b w:val="false"/>
                <w:bCs w:val="false"/>
                <w:color w:val="1A1A1A"/>
                <w:sz w:val="14"/>
                <w:szCs w:val="14"/>
              </w:rPr>
              <w:t xml:space="preserve">EA Blueprint Part 9 / EA Blueprint 2.0 Section 08; AIDS Part 14; SRS Part 32; DDS Part 11; Handbook Chapter 14</w:t>
            </w:r>
          </w:p>
        </w:tc>
        <w:tc>
          <w:tcPr>
            <w:tcW w:type="dxa" w:w="3024"/>
            <w:tcMar>
              <w:top w:type="dxa" w:w="70"/>
              <w:left w:type="dxa" w:w="110"/>
              <w:bottom w:type="dxa" w:w="70"/>
              <w:right w:type="dxa" w:w="110"/>
            </w:tcMar>
            <w:vAlign w:val="top"/>
          </w:tcPr>
          <w:p>
            <w:r>
              <w:rPr>
                <w:b w:val="false"/>
                <w:bCs w:val="false"/>
                <w:color w:val="1A1A1A"/>
                <w:sz w:val="14"/>
                <w:szCs w:val="14"/>
              </w:rPr>
              <w:t xml:space="preserve">01_Architecture/, 05_API/SAPZ_AIDS/, 03_SRS/, 04_Database/, 13_Engineering_Standards/</w:t>
            </w:r>
          </w:p>
        </w:tc>
      </w:tr>
      <w:tr>
        <w:tc>
          <w:tcPr>
            <w:tcW w:type="dxa" w:w="403"/>
            <w:tcMar>
              <w:top w:type="dxa" w:w="70"/>
              <w:left w:type="dxa" w:w="110"/>
              <w:bottom w:type="dxa" w:w="70"/>
              <w:right w:type="dxa" w:w="110"/>
            </w:tcMar>
            <w:vAlign w:val="top"/>
          </w:tcPr>
          <w:p>
            <w:r>
              <w:rPr>
                <w:b/>
                <w:bCs/>
                <w:color w:val="1A1A1A"/>
                <w:sz w:val="14"/>
                <w:szCs w:val="14"/>
              </w:rPr>
              <w:t xml:space="preserve">13</w:t>
            </w:r>
          </w:p>
        </w:tc>
        <w:tc>
          <w:tcPr>
            <w:tcW w:type="dxa" w:w="2419"/>
            <w:tcMar>
              <w:top w:type="dxa" w:w="70"/>
              <w:left w:type="dxa" w:w="110"/>
              <w:bottom w:type="dxa" w:w="70"/>
              <w:right w:type="dxa" w:w="110"/>
            </w:tcMar>
            <w:vAlign w:val="top"/>
          </w:tcPr>
          <w:p>
            <w:r>
              <w:rPr>
                <w:b w:val="false"/>
                <w:bCs w:val="false"/>
                <w:color w:val="1A1A1A"/>
                <w:sz w:val="14"/>
                <w:szCs w:val="14"/>
              </w:rPr>
              <w:t xml:space="preserve">AI &amp; Knowledge Management Strategy</w:t>
            </w:r>
          </w:p>
        </w:tc>
        <w:tc>
          <w:tcPr>
            <w:tcW w:type="dxa" w:w="4234"/>
            <w:tcMar>
              <w:top w:type="dxa" w:w="70"/>
              <w:left w:type="dxa" w:w="110"/>
              <w:bottom w:type="dxa" w:w="70"/>
              <w:right w:type="dxa" w:w="110"/>
            </w:tcMar>
            <w:vAlign w:val="top"/>
          </w:tcPr>
          <w:p>
            <w:r>
              <w:rPr>
                <w:b w:val="false"/>
                <w:bCs w:val="false"/>
                <w:color w:val="1A1A1A"/>
                <w:sz w:val="14"/>
                <w:szCs w:val="14"/>
              </w:rPr>
              <w:t xml:space="preserve">EA Blueprint Part 10 / EA Blueprint 2.0 Section 09; PDD Section 13; AIDS Part 12; Handbook Chapter 13</w:t>
            </w:r>
          </w:p>
        </w:tc>
        <w:tc>
          <w:tcPr>
            <w:tcW w:type="dxa" w:w="3024"/>
            <w:tcMar>
              <w:top w:type="dxa" w:w="70"/>
              <w:left w:type="dxa" w:w="110"/>
              <w:bottom w:type="dxa" w:w="70"/>
              <w:right w:type="dxa" w:w="110"/>
            </w:tcMar>
            <w:vAlign w:val="top"/>
          </w:tcPr>
          <w:p>
            <w:r>
              <w:rPr>
                <w:b w:val="false"/>
                <w:bCs w:val="false"/>
                <w:color w:val="1A1A1A"/>
                <w:sz w:val="14"/>
                <w:szCs w:val="14"/>
              </w:rPr>
              <w:t xml:space="preserve">01_Architecture/, 02_PDD/, 05_API/, 13_Engineering_Standards/</w:t>
            </w:r>
          </w:p>
        </w:tc>
      </w:tr>
      <w:tr>
        <w:tc>
          <w:tcPr>
            <w:tcW w:type="dxa" w:w="403"/>
            <w:tcMar>
              <w:top w:type="dxa" w:w="70"/>
              <w:left w:type="dxa" w:w="110"/>
              <w:bottom w:type="dxa" w:w="70"/>
              <w:right w:type="dxa" w:w="110"/>
            </w:tcMar>
            <w:vAlign w:val="top"/>
          </w:tcPr>
          <w:p>
            <w:r>
              <w:rPr>
                <w:b/>
                <w:bCs/>
                <w:color w:val="1A1A1A"/>
                <w:sz w:val="14"/>
                <w:szCs w:val="14"/>
              </w:rPr>
              <w:t xml:space="preserve">14</w:t>
            </w:r>
          </w:p>
        </w:tc>
        <w:tc>
          <w:tcPr>
            <w:tcW w:type="dxa" w:w="2419"/>
            <w:tcMar>
              <w:top w:type="dxa" w:w="70"/>
              <w:left w:type="dxa" w:w="110"/>
              <w:bottom w:type="dxa" w:w="70"/>
              <w:right w:type="dxa" w:w="110"/>
            </w:tcMar>
            <w:vAlign w:val="top"/>
          </w:tcPr>
          <w:p>
            <w:r>
              <w:rPr>
                <w:b w:val="false"/>
                <w:bCs w:val="false"/>
                <w:color w:val="1A1A1A"/>
                <w:sz w:val="14"/>
                <w:szCs w:val="14"/>
              </w:rPr>
              <w:t xml:space="preserve">Implementation &amp; Delivery Plan</w:t>
            </w:r>
          </w:p>
        </w:tc>
        <w:tc>
          <w:tcPr>
            <w:tcW w:type="dxa" w:w="4234"/>
            <w:tcMar>
              <w:top w:type="dxa" w:w="70"/>
              <w:left w:type="dxa" w:w="110"/>
              <w:bottom w:type="dxa" w:w="70"/>
              <w:right w:type="dxa" w:w="110"/>
            </w:tcMar>
            <w:vAlign w:val="top"/>
          </w:tcPr>
          <w:p>
            <w:r>
              <w:rPr>
                <w:b w:val="false"/>
                <w:bCs w:val="false"/>
                <w:color w:val="1A1A1A"/>
                <w:sz w:val="14"/>
                <w:szCs w:val="14"/>
              </w:rPr>
              <w:t xml:space="preserve">Programme Delivery &amp; Implementation Blueprint (PDIB), 20 parts</w:t>
            </w:r>
          </w:p>
        </w:tc>
        <w:tc>
          <w:tcPr>
            <w:tcW w:type="dxa" w:w="3024"/>
            <w:tcMar>
              <w:top w:type="dxa" w:w="70"/>
              <w:left w:type="dxa" w:w="110"/>
              <w:bottom w:type="dxa" w:w="70"/>
              <w:right w:type="dxa" w:w="110"/>
            </w:tcMar>
            <w:vAlign w:val="top"/>
          </w:tcPr>
          <w:p>
            <w:r>
              <w:rPr>
                <w:b w:val="false"/>
                <w:bCs w:val="false"/>
                <w:color w:val="1A1A1A"/>
                <w:sz w:val="14"/>
                <w:szCs w:val="14"/>
              </w:rPr>
              <w:t xml:space="preserve">07_Implementation/SAPZ_PDIB/</w:t>
            </w:r>
          </w:p>
        </w:tc>
      </w:tr>
      <w:tr>
        <w:tc>
          <w:tcPr>
            <w:tcW w:type="dxa" w:w="403"/>
            <w:tcMar>
              <w:top w:type="dxa" w:w="70"/>
              <w:left w:type="dxa" w:w="110"/>
              <w:bottom w:type="dxa" w:w="70"/>
              <w:right w:type="dxa" w:w="110"/>
            </w:tcMar>
            <w:vAlign w:val="top"/>
          </w:tcPr>
          <w:p>
            <w:r>
              <w:rPr>
                <w:b/>
                <w:bCs/>
                <w:color w:val="1A1A1A"/>
                <w:sz w:val="14"/>
                <w:szCs w:val="14"/>
              </w:rPr>
              <w:t xml:space="preserve">15</w:t>
            </w:r>
          </w:p>
        </w:tc>
        <w:tc>
          <w:tcPr>
            <w:tcW w:type="dxa" w:w="2419"/>
            <w:tcMar>
              <w:top w:type="dxa" w:w="70"/>
              <w:left w:type="dxa" w:w="110"/>
              <w:bottom w:type="dxa" w:w="70"/>
              <w:right w:type="dxa" w:w="110"/>
            </w:tcMar>
            <w:vAlign w:val="top"/>
          </w:tcPr>
          <w:p>
            <w:r>
              <w:rPr>
                <w:b w:val="false"/>
                <w:bCs w:val="false"/>
                <w:color w:val="1A1A1A"/>
                <w:sz w:val="14"/>
                <w:szCs w:val="14"/>
              </w:rPr>
              <w:t xml:space="preserve">Solution Demonstration Script</w:t>
            </w:r>
          </w:p>
        </w:tc>
        <w:tc>
          <w:tcPr>
            <w:tcW w:type="dxa" w:w="4234"/>
            <w:tcMar>
              <w:top w:type="dxa" w:w="70"/>
              <w:left w:type="dxa" w:w="110"/>
              <w:bottom w:type="dxa" w:w="70"/>
              <w:right w:type="dxa" w:w="110"/>
            </w:tcMar>
            <w:vAlign w:val="top"/>
          </w:tcPr>
          <w:p>
            <w:r>
              <w:rPr>
                <w:b w:val="false"/>
                <w:bCs w:val="false"/>
                <w:color w:val="1A1A1A"/>
                <w:sz w:val="14"/>
                <w:szCs w:val="14"/>
              </w:rPr>
              <w:t xml:space="preserve">Solution Demonstration Script &amp; Executive Storyboard (SDS), 17 parts</w:t>
            </w:r>
          </w:p>
        </w:tc>
        <w:tc>
          <w:tcPr>
            <w:tcW w:type="dxa" w:w="3024"/>
            <w:tcMar>
              <w:top w:type="dxa" w:w="70"/>
              <w:left w:type="dxa" w:w="110"/>
              <w:bottom w:type="dxa" w:w="70"/>
              <w:right w:type="dxa" w:w="110"/>
            </w:tcMar>
            <w:vAlign w:val="top"/>
          </w:tcPr>
          <w:p>
            <w:r>
              <w:rPr>
                <w:b w:val="false"/>
                <w:bCs w:val="false"/>
                <w:color w:val="1A1A1A"/>
                <w:sz w:val="14"/>
                <w:szCs w:val="14"/>
              </w:rPr>
              <w:t xml:space="preserve">12_SDS/SAPZ_SDS/</w:t>
            </w:r>
          </w:p>
        </w:tc>
      </w:tr>
      <w:tr>
        <w:tc>
          <w:tcPr>
            <w:tcW w:type="dxa" w:w="403"/>
            <w:tcMar>
              <w:top w:type="dxa" w:w="70"/>
              <w:left w:type="dxa" w:w="110"/>
              <w:bottom w:type="dxa" w:w="70"/>
              <w:right w:type="dxa" w:w="110"/>
            </w:tcMar>
            <w:vAlign w:val="top"/>
          </w:tcPr>
          <w:p>
            <w:r>
              <w:rPr>
                <w:b/>
                <w:bCs/>
                <w:color w:val="1A1A1A"/>
                <w:sz w:val="14"/>
                <w:szCs w:val="14"/>
              </w:rPr>
              <w:t xml:space="preserve">16</w:t>
            </w:r>
          </w:p>
        </w:tc>
        <w:tc>
          <w:tcPr>
            <w:tcW w:type="dxa" w:w="2419"/>
            <w:tcMar>
              <w:top w:type="dxa" w:w="70"/>
              <w:left w:type="dxa" w:w="110"/>
              <w:bottom w:type="dxa" w:w="70"/>
              <w:right w:type="dxa" w:w="110"/>
            </w:tcMar>
            <w:vAlign w:val="top"/>
          </w:tcPr>
          <w:p>
            <w:r>
              <w:rPr>
                <w:b w:val="false"/>
                <w:bCs w:val="false"/>
                <w:color w:val="1A1A1A"/>
                <w:sz w:val="14"/>
                <w:szCs w:val="14"/>
              </w:rPr>
              <w:t xml:space="preserve">Enterprise Engineering Handbook (Volume I)</w:t>
            </w:r>
          </w:p>
        </w:tc>
        <w:tc>
          <w:tcPr>
            <w:tcW w:type="dxa" w:w="4234"/>
            <w:tcMar>
              <w:top w:type="dxa" w:w="70"/>
              <w:left w:type="dxa" w:w="110"/>
              <w:bottom w:type="dxa" w:w="70"/>
              <w:right w:type="dxa" w:w="110"/>
            </w:tcMar>
            <w:vAlign w:val="top"/>
          </w:tcPr>
          <w:p>
            <w:r>
              <w:rPr>
                <w:b w:val="false"/>
                <w:bCs w:val="false"/>
                <w:color w:val="1A1A1A"/>
                <w:sz w:val="14"/>
                <w:szCs w:val="14"/>
              </w:rPr>
              <w:t xml:space="preserve">24 chapters, Executive Overview through Final Engineering Acceptance Checklist</w:t>
            </w:r>
          </w:p>
        </w:tc>
        <w:tc>
          <w:tcPr>
            <w:tcW w:type="dxa" w:w="3024"/>
            <w:tcMar>
              <w:top w:type="dxa" w:w="70"/>
              <w:left w:type="dxa" w:w="110"/>
              <w:bottom w:type="dxa" w:w="70"/>
              <w:right w:type="dxa" w:w="110"/>
            </w:tcMar>
            <w:vAlign w:val="top"/>
          </w:tcPr>
          <w:p>
            <w:r>
              <w:rPr>
                <w:b w:val="false"/>
                <w:bCs w:val="false"/>
                <w:color w:val="1A1A1A"/>
                <w:sz w:val="14"/>
                <w:szCs w:val="14"/>
              </w:rPr>
              <w:t xml:space="preserve">13_Engineering_Standards/Edited_Handbook/</w:t>
            </w:r>
          </w:p>
        </w:tc>
      </w:tr>
      <w:tr>
        <w:tc>
          <w:tcPr>
            <w:tcW w:type="dxa" w:w="403"/>
            <w:tcMar>
              <w:top w:type="dxa" w:w="70"/>
              <w:left w:type="dxa" w:w="110"/>
              <w:bottom w:type="dxa" w:w="70"/>
              <w:right w:type="dxa" w:w="110"/>
            </w:tcMar>
            <w:vAlign w:val="top"/>
          </w:tcPr>
          <w:p>
            <w:r>
              <w:rPr>
                <w:b/>
                <w:bCs/>
                <w:color w:val="1A1A1A"/>
                <w:sz w:val="14"/>
                <w:szCs w:val="14"/>
              </w:rPr>
              <w:t xml:space="preserve">17</w:t>
            </w:r>
          </w:p>
        </w:tc>
        <w:tc>
          <w:tcPr>
            <w:tcW w:type="dxa" w:w="2419"/>
            <w:tcMar>
              <w:top w:type="dxa" w:w="70"/>
              <w:left w:type="dxa" w:w="110"/>
              <w:bottom w:type="dxa" w:w="70"/>
              <w:right w:type="dxa" w:w="110"/>
            </w:tcMar>
            <w:vAlign w:val="top"/>
          </w:tcPr>
          <w:p>
            <w:r>
              <w:rPr>
                <w:b w:val="false"/>
                <w:bCs w:val="false"/>
                <w:color w:val="1A1A1A"/>
                <w:sz w:val="14"/>
                <w:szCs w:val="14"/>
              </w:rPr>
              <w:t xml:space="preserve">Enterprise Engineering Reference Manual (Volume II)</w:t>
            </w:r>
          </w:p>
        </w:tc>
        <w:tc>
          <w:tcPr>
            <w:tcW w:type="dxa" w:w="4234"/>
            <w:tcMar>
              <w:top w:type="dxa" w:w="70"/>
              <w:left w:type="dxa" w:w="110"/>
              <w:bottom w:type="dxa" w:w="70"/>
              <w:right w:type="dxa" w:w="110"/>
            </w:tcMar>
            <w:vAlign w:val="top"/>
          </w:tcPr>
          <w:p>
            <w:r>
              <w:rPr>
                <w:b w:val="false"/>
                <w:bCs w:val="false"/>
                <w:color w:val="1A1A1A"/>
                <w:sz w:val="14"/>
                <w:szCs w:val="14"/>
              </w:rPr>
              <w:t xml:space="preserve">Appendices A–O</w:t>
            </w:r>
          </w:p>
        </w:tc>
        <w:tc>
          <w:tcPr>
            <w:tcW w:type="dxa" w:w="3024"/>
            <w:tcMar>
              <w:top w:type="dxa" w:w="70"/>
              <w:left w:type="dxa" w:w="110"/>
              <w:bottom w:type="dxa" w:w="70"/>
              <w:right w:type="dxa" w:w="110"/>
            </w:tcMar>
            <w:vAlign w:val="top"/>
          </w:tcPr>
          <w:p>
            <w:r>
              <w:rPr>
                <w:b w:val="false"/>
                <w:bCs w:val="false"/>
                <w:color w:val="1A1A1A"/>
                <w:sz w:val="14"/>
                <w:szCs w:val="14"/>
              </w:rPr>
              <w:t xml:space="preserve">14_Engineering_Appendices/</w:t>
            </w:r>
          </w:p>
        </w:tc>
      </w:tr>
      <w:tr>
        <w:tc>
          <w:tcPr>
            <w:tcW w:type="dxa" w:w="403"/>
            <w:tcMar>
              <w:top w:type="dxa" w:w="70"/>
              <w:left w:type="dxa" w:w="110"/>
              <w:bottom w:type="dxa" w:w="70"/>
              <w:right w:type="dxa" w:w="110"/>
            </w:tcMar>
            <w:vAlign w:val="top"/>
          </w:tcPr>
          <w:p>
            <w:r>
              <w:rPr>
                <w:b/>
                <w:bCs/>
                <w:color w:val="1A1A1A"/>
                <w:sz w:val="14"/>
                <w:szCs w:val="14"/>
              </w:rPr>
              <w:t xml:space="preserve">18</w:t>
            </w:r>
          </w:p>
        </w:tc>
        <w:tc>
          <w:tcPr>
            <w:tcW w:type="dxa" w:w="2419"/>
            <w:tcMar>
              <w:top w:type="dxa" w:w="70"/>
              <w:left w:type="dxa" w:w="110"/>
              <w:bottom w:type="dxa" w:w="70"/>
              <w:right w:type="dxa" w:w="110"/>
            </w:tcMar>
            <w:vAlign w:val="top"/>
          </w:tcPr>
          <w:p>
            <w:r>
              <w:rPr>
                <w:b w:val="false"/>
                <w:bCs w:val="false"/>
                <w:color w:val="1A1A1A"/>
                <w:sz w:val="14"/>
                <w:szCs w:val="14"/>
              </w:rPr>
              <w:t xml:space="preserve">Appendices A–O</w:t>
            </w:r>
          </w:p>
        </w:tc>
        <w:tc>
          <w:tcPr>
            <w:tcW w:type="dxa" w:w="4234"/>
            <w:tcMar>
              <w:top w:type="dxa" w:w="70"/>
              <w:left w:type="dxa" w:w="110"/>
              <w:bottom w:type="dxa" w:w="70"/>
              <w:right w:type="dxa" w:w="110"/>
            </w:tcMar>
            <w:vAlign w:val="top"/>
          </w:tcPr>
          <w:p>
            <w:r>
              <w:rPr>
                <w:b w:val="false"/>
                <w:bCs w:val="false"/>
                <w:color w:val="1A1A1A"/>
                <w:sz w:val="14"/>
                <w:szCs w:val="14"/>
              </w:rPr>
              <w:t xml:space="preserve">15 appendices: Glossary through Deliverables Register (EDRDCC)</w:t>
            </w:r>
          </w:p>
        </w:tc>
        <w:tc>
          <w:tcPr>
            <w:tcW w:type="dxa" w:w="3024"/>
            <w:tcMar>
              <w:top w:type="dxa" w:w="70"/>
              <w:left w:type="dxa" w:w="110"/>
              <w:bottom w:type="dxa" w:w="70"/>
              <w:right w:type="dxa" w:w="110"/>
            </w:tcMar>
            <w:vAlign w:val="top"/>
          </w:tcPr>
          <w:p>
            <w:r>
              <w:rPr>
                <w:b w:val="false"/>
                <w:bCs w:val="false"/>
                <w:color w:val="1A1A1A"/>
                <w:sz w:val="14"/>
                <w:szCs w:val="14"/>
              </w:rPr>
              <w:t xml:space="preserve">14_Engineering_Appendices/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3F0E8" w:sz="2"/>
              <w:left w:val="single" w:color="97771F" w:sz="24"/>
              <w:bottom w:val="single" w:color="F3F0E8" w:sz="2"/>
              <w:right w:val="single" w:color="F3F0E8" w:sz="2"/>
            </w:tcBorders>
            <w:shd w:fill="F3F0E8" w:val="clear"/>
            <w:tcMar>
              <w:top w:type="dxa" w:w="120"/>
              <w:left w:type="dxa" w:w="180"/>
              <w:bottom w:type="dxa" w:w="120"/>
              <w:right w:type="dxa" w:w="180"/>
            </w:tcMar>
          </w:tcPr>
          <w:p>
            <w:pPr>
              <w:spacing w:after="60"/>
            </w:pPr>
            <w:r>
              <w:rPr>
                <w:b/>
                <w:bCs/>
                <w:color w:val="97771F"/>
                <w:sz w:val="17"/>
                <w:szCs w:val="17"/>
              </w:rPr>
              <w:t xml:space="preserve">NOTE</w:t>
            </w:r>
          </w:p>
          <w:p>
            <w:pPr>
              <w:spacing w:after="0"/>
            </w:pPr>
            <w:r>
              <w:rPr>
                <w:sz w:val="18"/>
                <w:szCs w:val="18"/>
              </w:rPr>
              <w:t xml:space="preserve">Document families 16, 17, and 18 overlap by design: the Enterprise Engineering Handbook (Volume I) is the standards and governance narrative; the Appendices (Volume II / Reference Manual) are its reference tables, catalogues, and matrices. Together they form the two-volume Enterprise Engineering Reference Set.</w:t>
            </w:r>
          </w:p>
        </w:tc>
      </w:tr>
    </w:tbl>
    <w:p>
      <w:pPr>
        <w:pStyle w:val="Heading1"/>
        <w:pBdr>
          <w:bottom w:val="single" w:color="DAD3C0" w:sz="4" w:space="4"/>
        </w:pBdr>
        <w:spacing w:after="140" w:before="360"/>
      </w:pPr>
      <w:r>
        <w:rPr>
          <w:b/>
          <w:bCs/>
          <w:color w:val="97771F"/>
          <w:sz w:val="26"/>
          <w:szCs w:val="26"/>
        </w:rPr>
        <w:t xml:space="preserve">1.3  </w:t>
      </w:r>
      <w:r>
        <w:rPr>
          <w:b/>
          <w:bCs/>
          <w:color w:val="33363C"/>
          <w:sz w:val="26"/>
          <w:szCs w:val="26"/>
        </w:rPr>
        <w:t xml:space="preserve">End-to-End Traceability Backbone</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single traceability chain every requirement must follow from business objective to operational support.</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Is the basis for demonstrating to IFAD and the Federal Government of Nigeria that nothing was built without justification.</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Directly adopted from Appendix J (Enterprise Requirements Traceability &amp; Governance Matrix) — not a new model.</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Zero orphaned requirements and zero unjustified features anywhere in the platform.</w:t>
            </w:r>
          </w:p>
        </w:tc>
      </w:tr>
    </w:tbl>
    <w:p>
      <w:pPr>
        <w:spacing w:after="160"/>
      </w:pPr>
    </w:p>
    <w:p>
      <w:pPr>
        <w:spacing w:after="150" w:line="276"/>
        <w:jc w:val="both"/>
      </w:pPr>
      <w:r>
        <w:t xml:space="preserve">Every requirement in this programme, without exception, is required to pass through the same eighteen-stage chain, as established in Appendix J. The MEKB's Work Packages (Parts 5–8) are the mechanism by which Antigravity moves a requirement through the middle of this chain — from Feature Specification through Code Module — while Parts 9 and 10 (Sprint Roadmap and Master Product Backlog) govern the stages either side of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AD3C0" w:sz="2"/>
              <w:left w:val="single" w:color="DAD3C0" w:sz="2"/>
              <w:bottom w:val="single" w:color="DAD3C0" w:sz="2"/>
              <w:right w:val="single" w:color="DAD3C0" w:sz="2"/>
            </w:tcBorders>
            <w:shd w:fill="F3F0E8" w:val="clear"/>
            <w:tcMar>
              <w:top w:type="dxa" w:w="140"/>
              <w:left w:type="dxa" w:w="200"/>
              <w:bottom w:type="dxa" w:w="140"/>
              <w:right w:type="dxa" w:w="200"/>
            </w:tcMar>
          </w:tcPr>
          <w:p>
            <w:pPr>
              <w:spacing w:after="0" w:line="240"/>
            </w:pPr>
            <w:r>
              <w:rPr>
                <w:rFonts w:ascii="Consolas" w:cs="Consolas" w:eastAsia="Consolas" w:hAnsi="Consolas"/>
                <w:color w:val="1C1E21"/>
                <w:sz w:val="17"/>
                <w:szCs w:val="17"/>
              </w:rPr>
              <w:t xml:space="preserve">Business Objective</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Business Requirement                    ← BRD / PDD / SRS Part 01</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Functional Requirement                  ← SRS Parts 03–35</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User Story                              ← Master Product Backlog (MEKB Part 7)</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Product Backlog Item                    ← Master Product Backlog (MEKB Part 7)</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Feature Specification                   ← Module Decomposition (MEKB Part 3)</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Solution Architecture                   ← EA Blueprint / EA Blueprint 2.0</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API Specification                       ← AIDS</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Database Design                         ← DDS</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Code Module                             ← Engineering Work Package (MEKB Parts 5–8)</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Unit / Integration / Security / Performance Test   ← TSAS</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User Acceptance Test (UAT)              ← TSAS Part 06</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Deployment                              ← PDIB Parts 13–17</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Training                                ← PDIB Part 12</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Operational Acceptance                  ← Handbook Chapter 24</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Knowledge Base                          ← AI &amp; Knowledge Management Strategy</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Support &amp; Maintenance                   ← PDIB Part 15</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DEAF2" w:sz="2"/>
              <w:left w:val="single" w:color="5B4E75" w:sz="24"/>
              <w:bottom w:val="single" w:color="EDEAF2" w:sz="2"/>
              <w:right w:val="single" w:color="EDEAF2" w:sz="2"/>
            </w:tcBorders>
            <w:shd w:fill="EDEAF2" w:val="clear"/>
            <w:tcMar>
              <w:top w:type="dxa" w:w="120"/>
              <w:left w:type="dxa" w:w="180"/>
              <w:bottom w:type="dxa" w:w="120"/>
              <w:right w:type="dxa" w:w="180"/>
            </w:tcMar>
          </w:tcPr>
          <w:p>
            <w:pPr>
              <w:spacing w:after="60"/>
            </w:pPr>
            <w:r>
              <w:rPr>
                <w:b/>
                <w:bCs/>
                <w:color w:val="5B4E75"/>
                <w:sz w:val="17"/>
                <w:szCs w:val="17"/>
              </w:rPr>
              <w:t xml:space="preserve">COMPLIANCE REQUIREMENT</w:t>
            </w:r>
          </w:p>
          <w:p>
            <w:pPr>
              <w:spacing w:after="0"/>
            </w:pPr>
            <w:r>
              <w:rPr>
                <w:sz w:val="18"/>
                <w:szCs w:val="18"/>
              </w:rPr>
              <w:t xml:space="preserve">No feature shall be developed without traceability to an approved requirement. No deployment shall occur without verified traceability. These rules, established in Appendix J, apply without exception to Antigravity-generated artifacts.</w:t>
            </w:r>
          </w:p>
        </w:tc>
      </w:tr>
    </w:tbl>
    <w:p>
      <w:pPr>
        <w:pStyle w:val="Heading1"/>
        <w:pBdr>
          <w:bottom w:val="single" w:color="DAD3C0" w:sz="4" w:space="4"/>
        </w:pBdr>
        <w:spacing w:after="140" w:before="360"/>
      </w:pPr>
      <w:r>
        <w:rPr>
          <w:b/>
          <w:bCs/>
          <w:color w:val="97771F"/>
          <w:sz w:val="26"/>
          <w:szCs w:val="26"/>
        </w:rPr>
        <w:t xml:space="preserve">1.4  </w:t>
      </w:r>
      <w:r>
        <w:rPr>
          <w:b/>
          <w:bCs/>
          <w:color w:val="33363C"/>
          <w:sz w:val="26"/>
          <w:szCs w:val="26"/>
        </w:rPr>
        <w:t xml:space="preserve">Document Dependency Map</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Show which documents feed which, by family.</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an engineer from consulting a downstream document while missing an upstream constraint it depends on.</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Dependency flows in one direction only — downstream documents elaborate upstream documents, never override them.</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clear reading order for any engineer or AI agent approaching an unfamiliar part of the platform.</w:t>
            </w:r>
          </w:p>
        </w:tc>
      </w:tr>
    </w:tbl>
    <w:p>
      <w:pPr>
        <w:spacing w:after="160"/>
      </w:pPr>
    </w:p>
    <w:p>
      <w:pPr>
        <w:spacing w:after="150" w:line="276"/>
        <w:jc w:val="both"/>
      </w:pPr>
      <w:r>
        <w:t xml:space="preserve">The eighteen document families divide into five dependency tiers. Documents in a lower tier elaborate, detail, or operationalize documents in the tier above; they never redefine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3830"/>
        <w:gridCol w:w="4435"/>
      </w:tblGrid>
      <w:tr>
        <w:trPr>
          <w:tblHeader/>
        </w:trPr>
        <w:tc>
          <w:tcPr>
            <w:tcW w:type="dxa" w:w="1814"/>
            <w:shd w:fill="33363C" w:val="clear"/>
            <w:tcMar>
              <w:top w:type="dxa" w:w="70"/>
              <w:left w:type="dxa" w:w="110"/>
              <w:bottom w:type="dxa" w:w="70"/>
              <w:right w:type="dxa" w:w="110"/>
            </w:tcMar>
            <w:vAlign w:val="top"/>
          </w:tcPr>
          <w:p>
            <w:r>
              <w:rPr>
                <w:b/>
                <w:bCs/>
                <w:color w:val="FFFFFF"/>
                <w:sz w:val="17"/>
                <w:szCs w:val="17"/>
              </w:rPr>
              <w:t xml:space="preserve">Tier</w:t>
            </w:r>
          </w:p>
        </w:tc>
        <w:tc>
          <w:tcPr>
            <w:tcW w:type="dxa" w:w="3830"/>
            <w:shd w:fill="33363C" w:val="clear"/>
            <w:tcMar>
              <w:top w:type="dxa" w:w="70"/>
              <w:left w:type="dxa" w:w="110"/>
              <w:bottom w:type="dxa" w:w="70"/>
              <w:right w:type="dxa" w:w="110"/>
            </w:tcMar>
            <w:vAlign w:val="top"/>
          </w:tcPr>
          <w:p>
            <w:r>
              <w:rPr>
                <w:b/>
                <w:bCs/>
                <w:color w:val="FFFFFF"/>
                <w:sz w:val="17"/>
                <w:szCs w:val="17"/>
              </w:rPr>
              <w:t xml:space="preserve">Documents</w:t>
            </w:r>
          </w:p>
        </w:tc>
        <w:tc>
          <w:tcPr>
            <w:tcW w:type="dxa" w:w="4435"/>
            <w:shd w:fill="33363C" w:val="clear"/>
            <w:tcMar>
              <w:top w:type="dxa" w:w="70"/>
              <w:left w:type="dxa" w:w="110"/>
              <w:bottom w:type="dxa" w:w="70"/>
              <w:right w:type="dxa" w:w="110"/>
            </w:tcMar>
            <w:vAlign w:val="top"/>
          </w:tcPr>
          <w:p>
            <w:r>
              <w:rPr>
                <w:b/>
                <w:bCs/>
                <w:color w:val="FFFFFF"/>
                <w:sz w:val="17"/>
                <w:szCs w:val="17"/>
              </w:rPr>
              <w:t xml:space="preserve">Elaborates</w:t>
            </w:r>
          </w:p>
        </w:tc>
      </w:tr>
      <w:tr>
        <w:tc>
          <w:tcPr>
            <w:tcW w:type="dxa" w:w="1814"/>
            <w:tcMar>
              <w:top w:type="dxa" w:w="70"/>
              <w:left w:type="dxa" w:w="110"/>
              <w:bottom w:type="dxa" w:w="70"/>
              <w:right w:type="dxa" w:w="110"/>
            </w:tcMar>
            <w:vAlign w:val="top"/>
          </w:tcPr>
          <w:p>
            <w:r>
              <w:rPr>
                <w:b/>
                <w:bCs/>
                <w:color w:val="1A1A1A"/>
                <w:sz w:val="15"/>
                <w:szCs w:val="15"/>
              </w:rPr>
              <w:t xml:space="preserve">Tier 0 — Mandate</w:t>
            </w:r>
          </w:p>
        </w:tc>
        <w:tc>
          <w:tcPr>
            <w:tcW w:type="dxa" w:w="3830"/>
            <w:tcMar>
              <w:top w:type="dxa" w:w="70"/>
              <w:left w:type="dxa" w:w="110"/>
              <w:bottom w:type="dxa" w:w="70"/>
              <w:right w:type="dxa" w:w="110"/>
            </w:tcMar>
            <w:vAlign w:val="top"/>
          </w:tcPr>
          <w:p>
            <w:r>
              <w:rPr>
                <w:b w:val="false"/>
                <w:bCs w:val="false"/>
                <w:color w:val="1A1A1A"/>
                <w:sz w:val="15"/>
                <w:szCs w:val="15"/>
              </w:rPr>
              <w:t xml:space="preserve">Procurement Intelligence Report (TOR)</w:t>
            </w:r>
          </w:p>
        </w:tc>
        <w:tc>
          <w:tcPr>
            <w:tcW w:type="dxa" w:w="4435"/>
            <w:tcMar>
              <w:top w:type="dxa" w:w="70"/>
              <w:left w:type="dxa" w:w="110"/>
              <w:bottom w:type="dxa" w:w="70"/>
              <w:right w:type="dxa" w:w="110"/>
            </w:tcMar>
            <w:vAlign w:val="top"/>
          </w:tcPr>
          <w:p>
            <w:r>
              <w:rPr>
                <w:b w:val="false"/>
                <w:bCs w:val="false"/>
                <w:color w:val="1A1A1A"/>
                <w:sz w:val="15"/>
                <w:szCs w:val="15"/>
              </w:rPr>
              <w:t xml:space="preserve">The originating authority for the entire programme; supersedes nothing, is superseded by nothing.</w:t>
            </w:r>
          </w:p>
        </w:tc>
      </w:tr>
      <w:tr>
        <w:tc>
          <w:tcPr>
            <w:tcW w:type="dxa" w:w="1814"/>
            <w:tcMar>
              <w:top w:type="dxa" w:w="70"/>
              <w:left w:type="dxa" w:w="110"/>
              <w:bottom w:type="dxa" w:w="70"/>
              <w:right w:type="dxa" w:w="110"/>
            </w:tcMar>
            <w:vAlign w:val="top"/>
          </w:tcPr>
          <w:p>
            <w:r>
              <w:rPr>
                <w:b/>
                <w:bCs/>
                <w:color w:val="1A1A1A"/>
                <w:sz w:val="15"/>
                <w:szCs w:val="15"/>
              </w:rPr>
              <w:t xml:space="preserve">Tier 1 — Business Definition</w:t>
            </w:r>
          </w:p>
        </w:tc>
        <w:tc>
          <w:tcPr>
            <w:tcW w:type="dxa" w:w="3830"/>
            <w:tcMar>
              <w:top w:type="dxa" w:w="70"/>
              <w:left w:type="dxa" w:w="110"/>
              <w:bottom w:type="dxa" w:w="70"/>
              <w:right w:type="dxa" w:w="110"/>
            </w:tcMar>
            <w:vAlign w:val="top"/>
          </w:tcPr>
          <w:p>
            <w:r>
              <w:rPr>
                <w:b w:val="false"/>
                <w:bCs w:val="false"/>
                <w:color w:val="1A1A1A"/>
                <w:sz w:val="15"/>
                <w:szCs w:val="15"/>
              </w:rPr>
              <w:t xml:space="preserve">BRD (embedded in PDD/SRS Part 01), Business Architecture, PDD</w:t>
            </w:r>
          </w:p>
        </w:tc>
        <w:tc>
          <w:tcPr>
            <w:tcW w:type="dxa" w:w="4435"/>
            <w:tcMar>
              <w:top w:type="dxa" w:w="70"/>
              <w:left w:type="dxa" w:w="110"/>
              <w:bottom w:type="dxa" w:w="70"/>
              <w:right w:type="dxa" w:w="110"/>
            </w:tcMar>
            <w:vAlign w:val="top"/>
          </w:tcPr>
          <w:p>
            <w:r>
              <w:rPr>
                <w:b w:val="false"/>
                <w:bCs w:val="false"/>
                <w:color w:val="1A1A1A"/>
                <w:sz w:val="15"/>
                <w:szCs w:val="15"/>
              </w:rPr>
              <w:t xml:space="preserve">Tier 0 — translates the TOR mandate into business objectives, product vision, and product structure.</w:t>
            </w:r>
          </w:p>
        </w:tc>
      </w:tr>
      <w:tr>
        <w:tc>
          <w:tcPr>
            <w:tcW w:type="dxa" w:w="1814"/>
            <w:tcMar>
              <w:top w:type="dxa" w:w="70"/>
              <w:left w:type="dxa" w:w="110"/>
              <w:bottom w:type="dxa" w:w="70"/>
              <w:right w:type="dxa" w:w="110"/>
            </w:tcMar>
            <w:vAlign w:val="top"/>
          </w:tcPr>
          <w:p>
            <w:r>
              <w:rPr>
                <w:b/>
                <w:bCs/>
                <w:color w:val="1A1A1A"/>
                <w:sz w:val="15"/>
                <w:szCs w:val="15"/>
              </w:rPr>
              <w:t xml:space="preserve">Tier 2 — Solution Definition</w:t>
            </w:r>
          </w:p>
        </w:tc>
        <w:tc>
          <w:tcPr>
            <w:tcW w:type="dxa" w:w="3830"/>
            <w:tcMar>
              <w:top w:type="dxa" w:w="70"/>
              <w:left w:type="dxa" w:w="110"/>
              <w:bottom w:type="dxa" w:w="70"/>
              <w:right w:type="dxa" w:w="110"/>
            </w:tcMar>
            <w:vAlign w:val="top"/>
          </w:tcPr>
          <w:p>
            <w:r>
              <w:rPr>
                <w:b w:val="false"/>
                <w:bCs w:val="false"/>
                <w:color w:val="1A1A1A"/>
                <w:sz w:val="15"/>
                <w:szCs w:val="15"/>
              </w:rPr>
              <w:t xml:space="preserve">Enterprise Solution Architecture, SRS, AI &amp; Knowledge Management Strategy, Security Architecture</w:t>
            </w:r>
          </w:p>
        </w:tc>
        <w:tc>
          <w:tcPr>
            <w:tcW w:type="dxa" w:w="4435"/>
            <w:tcMar>
              <w:top w:type="dxa" w:w="70"/>
              <w:left w:type="dxa" w:w="110"/>
              <w:bottom w:type="dxa" w:w="70"/>
              <w:right w:type="dxa" w:w="110"/>
            </w:tcMar>
            <w:vAlign w:val="top"/>
          </w:tcPr>
          <w:p>
            <w:r>
              <w:rPr>
                <w:b w:val="false"/>
                <w:bCs w:val="false"/>
                <w:color w:val="1A1A1A"/>
                <w:sz w:val="15"/>
                <w:szCs w:val="15"/>
              </w:rPr>
              <w:t xml:space="preserve">Tier 1 — translates business structure into application, functional, and technical architecture.</w:t>
            </w:r>
          </w:p>
        </w:tc>
      </w:tr>
      <w:tr>
        <w:tc>
          <w:tcPr>
            <w:tcW w:type="dxa" w:w="1814"/>
            <w:tcMar>
              <w:top w:type="dxa" w:w="70"/>
              <w:left w:type="dxa" w:w="110"/>
              <w:bottom w:type="dxa" w:w="70"/>
              <w:right w:type="dxa" w:w="110"/>
            </w:tcMar>
            <w:vAlign w:val="top"/>
          </w:tcPr>
          <w:p>
            <w:r>
              <w:rPr>
                <w:b/>
                <w:bCs/>
                <w:color w:val="1A1A1A"/>
                <w:sz w:val="15"/>
                <w:szCs w:val="15"/>
              </w:rPr>
              <w:t xml:space="preserve">Tier 3 — Engineering Design</w:t>
            </w:r>
          </w:p>
        </w:tc>
        <w:tc>
          <w:tcPr>
            <w:tcW w:type="dxa" w:w="3830"/>
            <w:tcMar>
              <w:top w:type="dxa" w:w="70"/>
              <w:left w:type="dxa" w:w="110"/>
              <w:bottom w:type="dxa" w:w="70"/>
              <w:right w:type="dxa" w:w="110"/>
            </w:tcMar>
            <w:vAlign w:val="top"/>
          </w:tcPr>
          <w:p>
            <w:r>
              <w:rPr>
                <w:b w:val="false"/>
                <w:bCs w:val="false"/>
                <w:color w:val="1A1A1A"/>
                <w:sz w:val="15"/>
                <w:szCs w:val="15"/>
              </w:rPr>
              <w:t xml:space="preserve">Database Design (DDS), Data Dictionary, API &amp; Integration Specification (AIDS), Test Strategy (TSAS)</w:t>
            </w:r>
          </w:p>
        </w:tc>
        <w:tc>
          <w:tcPr>
            <w:tcW w:type="dxa" w:w="4435"/>
            <w:tcMar>
              <w:top w:type="dxa" w:w="70"/>
              <w:left w:type="dxa" w:w="110"/>
              <w:bottom w:type="dxa" w:w="70"/>
              <w:right w:type="dxa" w:w="110"/>
            </w:tcMar>
            <w:vAlign w:val="top"/>
          </w:tcPr>
          <w:p>
            <w:r>
              <w:rPr>
                <w:b w:val="false"/>
                <w:bCs w:val="false"/>
                <w:color w:val="1A1A1A"/>
                <w:sz w:val="15"/>
                <w:szCs w:val="15"/>
              </w:rPr>
              <w:t xml:space="preserve">Tier 2 — translates architecture into implementable schema, endpoint, and test designs.</w:t>
            </w:r>
          </w:p>
        </w:tc>
      </w:tr>
      <w:tr>
        <w:tc>
          <w:tcPr>
            <w:tcW w:type="dxa" w:w="1814"/>
            <w:tcMar>
              <w:top w:type="dxa" w:w="70"/>
              <w:left w:type="dxa" w:w="110"/>
              <w:bottom w:type="dxa" w:w="70"/>
              <w:right w:type="dxa" w:w="110"/>
            </w:tcMar>
            <w:vAlign w:val="top"/>
          </w:tcPr>
          <w:p>
            <w:r>
              <w:rPr>
                <w:b/>
                <w:bCs/>
                <w:color w:val="1A1A1A"/>
                <w:sz w:val="15"/>
                <w:szCs w:val="15"/>
              </w:rPr>
              <w:t xml:space="preserve">Tier 4 — Delivery &amp; Governance</w:t>
            </w:r>
          </w:p>
        </w:tc>
        <w:tc>
          <w:tcPr>
            <w:tcW w:type="dxa" w:w="3830"/>
            <w:tcMar>
              <w:top w:type="dxa" w:w="70"/>
              <w:left w:type="dxa" w:w="110"/>
              <w:bottom w:type="dxa" w:w="70"/>
              <w:right w:type="dxa" w:w="110"/>
            </w:tcMar>
            <w:vAlign w:val="top"/>
          </w:tcPr>
          <w:p>
            <w:r>
              <w:rPr>
                <w:b w:val="false"/>
                <w:bCs w:val="false"/>
                <w:color w:val="1A1A1A"/>
                <w:sz w:val="15"/>
                <w:szCs w:val="15"/>
              </w:rPr>
              <w:t xml:space="preserve">Implementation &amp; Delivery Plan (PDIB), Solution Demonstration Script (SDS), Engineering Handbook (Vol. I), Reference Manual &amp; Appendices (Vol. II), RTM</w:t>
            </w:r>
          </w:p>
        </w:tc>
        <w:tc>
          <w:tcPr>
            <w:tcW w:type="dxa" w:w="4435"/>
            <w:tcMar>
              <w:top w:type="dxa" w:w="70"/>
              <w:left w:type="dxa" w:w="110"/>
              <w:bottom w:type="dxa" w:w="70"/>
              <w:right w:type="dxa" w:w="110"/>
            </w:tcMar>
            <w:vAlign w:val="top"/>
          </w:tcPr>
          <w:p>
            <w:r>
              <w:rPr>
                <w:b w:val="false"/>
                <w:bCs w:val="false"/>
                <w:color w:val="1A1A1A"/>
                <w:sz w:val="15"/>
                <w:szCs w:val="15"/>
              </w:rPr>
              <w:t xml:space="preserve">Tiers 1–3 — governs how the above is delivered, demonstrated, engineered day-to-day, and traced.</w:t>
            </w:r>
          </w:p>
        </w:tc>
      </w:tr>
    </w:tbl>
    <w:p>
      <w:pPr>
        <w:spacing w:after="160"/>
      </w:pPr>
    </w:p>
    <w:p>
      <w:pPr>
        <w:spacing w:after="150" w:line="276"/>
        <w:jc w:val="both"/>
      </w:pPr>
      <w:r>
        <w:t xml:space="preserve">Within Tier 2 and Tier 3, the more granular family-to-family dependencies that matter most during implementation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629"/>
        <w:gridCol w:w="4032"/>
      </w:tblGrid>
      <w:tr>
        <w:trPr>
          <w:tblHeader/>
        </w:trPr>
        <w:tc>
          <w:tcPr>
            <w:tcW w:type="dxa" w:w="2419"/>
            <w:shd w:fill="33363C" w:val="clear"/>
            <w:tcMar>
              <w:top w:type="dxa" w:w="70"/>
              <w:left w:type="dxa" w:w="110"/>
              <w:bottom w:type="dxa" w:w="70"/>
              <w:right w:type="dxa" w:w="110"/>
            </w:tcMar>
            <w:vAlign w:val="top"/>
          </w:tcPr>
          <w:p>
            <w:r>
              <w:rPr>
                <w:b/>
                <w:bCs/>
                <w:color w:val="FFFFFF"/>
                <w:sz w:val="17"/>
                <w:szCs w:val="17"/>
              </w:rPr>
              <w:t xml:space="preserve">Document</w:t>
            </w:r>
          </w:p>
        </w:tc>
        <w:tc>
          <w:tcPr>
            <w:tcW w:type="dxa" w:w="3629"/>
            <w:shd w:fill="33363C" w:val="clear"/>
            <w:tcMar>
              <w:top w:type="dxa" w:w="70"/>
              <w:left w:type="dxa" w:w="110"/>
              <w:bottom w:type="dxa" w:w="70"/>
              <w:right w:type="dxa" w:w="110"/>
            </w:tcMar>
            <w:vAlign w:val="top"/>
          </w:tcPr>
          <w:p>
            <w:r>
              <w:rPr>
                <w:b/>
                <w:bCs/>
                <w:color w:val="FFFFFF"/>
                <w:sz w:val="17"/>
                <w:szCs w:val="17"/>
              </w:rPr>
              <w:t xml:space="preserve">Depends On</w:t>
            </w:r>
          </w:p>
        </w:tc>
        <w:tc>
          <w:tcPr>
            <w:tcW w:type="dxa" w:w="4032"/>
            <w:shd w:fill="33363C" w:val="clear"/>
            <w:tcMar>
              <w:top w:type="dxa" w:w="70"/>
              <w:left w:type="dxa" w:w="110"/>
              <w:bottom w:type="dxa" w:w="70"/>
              <w:right w:type="dxa" w:w="110"/>
            </w:tcMar>
            <w:vAlign w:val="top"/>
          </w:tcPr>
          <w:p>
            <w:r>
              <w:rPr>
                <w:b/>
                <w:bCs/>
                <w:color w:val="FFFFFF"/>
                <w:sz w:val="17"/>
                <w:szCs w:val="17"/>
              </w:rPr>
              <w:t xml:space="preserve">Feeds Into</w:t>
            </w:r>
          </w:p>
        </w:tc>
      </w:tr>
      <w:tr>
        <w:tc>
          <w:tcPr>
            <w:tcW w:type="dxa" w:w="2419"/>
            <w:tcMar>
              <w:top w:type="dxa" w:w="70"/>
              <w:left w:type="dxa" w:w="110"/>
              <w:bottom w:type="dxa" w:w="70"/>
              <w:right w:type="dxa" w:w="110"/>
            </w:tcMar>
            <w:vAlign w:val="top"/>
          </w:tcPr>
          <w:p>
            <w:r>
              <w:rPr>
                <w:b/>
                <w:bCs/>
                <w:color w:val="1A1A1A"/>
                <w:sz w:val="15"/>
                <w:szCs w:val="15"/>
              </w:rPr>
              <w:t xml:space="preserve">Enterprise Solution Architecture</w:t>
            </w:r>
          </w:p>
        </w:tc>
        <w:tc>
          <w:tcPr>
            <w:tcW w:type="dxa" w:w="3629"/>
            <w:tcMar>
              <w:top w:type="dxa" w:w="70"/>
              <w:left w:type="dxa" w:w="110"/>
              <w:bottom w:type="dxa" w:w="70"/>
              <w:right w:type="dxa" w:w="110"/>
            </w:tcMar>
            <w:vAlign w:val="top"/>
          </w:tcPr>
          <w:p>
            <w:r>
              <w:rPr>
                <w:b w:val="false"/>
                <w:bCs w:val="false"/>
                <w:color w:val="1A1A1A"/>
                <w:sz w:val="15"/>
                <w:szCs w:val="15"/>
              </w:rPr>
              <w:t xml:space="preserve">PDD, Business Architecture</w:t>
            </w:r>
          </w:p>
        </w:tc>
        <w:tc>
          <w:tcPr>
            <w:tcW w:type="dxa" w:w="4032"/>
            <w:tcMar>
              <w:top w:type="dxa" w:w="70"/>
              <w:left w:type="dxa" w:w="110"/>
              <w:bottom w:type="dxa" w:w="70"/>
              <w:right w:type="dxa" w:w="110"/>
            </w:tcMar>
            <w:vAlign w:val="top"/>
          </w:tcPr>
          <w:p>
            <w:r>
              <w:rPr>
                <w:b w:val="false"/>
                <w:bCs w:val="false"/>
                <w:color w:val="1A1A1A"/>
                <w:sz w:val="15"/>
                <w:szCs w:val="15"/>
              </w:rPr>
              <w:t xml:space="preserve">SRS, DDS, AIDS, Security Architecture</w:t>
            </w:r>
          </w:p>
        </w:tc>
      </w:tr>
      <w:tr>
        <w:tc>
          <w:tcPr>
            <w:tcW w:type="dxa" w:w="2419"/>
            <w:tcMar>
              <w:top w:type="dxa" w:w="70"/>
              <w:left w:type="dxa" w:w="110"/>
              <w:bottom w:type="dxa" w:w="70"/>
              <w:right w:type="dxa" w:w="110"/>
            </w:tcMar>
            <w:vAlign w:val="top"/>
          </w:tcPr>
          <w:p>
            <w:r>
              <w:rPr>
                <w:b/>
                <w:bCs/>
                <w:color w:val="1A1A1A"/>
                <w:sz w:val="15"/>
                <w:szCs w:val="15"/>
              </w:rPr>
              <w:t xml:space="preserve">SRS (39 Parts)</w:t>
            </w:r>
          </w:p>
        </w:tc>
        <w:tc>
          <w:tcPr>
            <w:tcW w:type="dxa" w:w="3629"/>
            <w:tcMar>
              <w:top w:type="dxa" w:w="70"/>
              <w:left w:type="dxa" w:w="110"/>
              <w:bottom w:type="dxa" w:w="70"/>
              <w:right w:type="dxa" w:w="110"/>
            </w:tcMar>
            <w:vAlign w:val="top"/>
          </w:tcPr>
          <w:p>
            <w:r>
              <w:rPr>
                <w:b w:val="false"/>
                <w:bCs w:val="false"/>
                <w:color w:val="1A1A1A"/>
                <w:sz w:val="15"/>
                <w:szCs w:val="15"/>
              </w:rPr>
              <w:t xml:space="preserve">PDD, Enterprise Solution Architecture</w:t>
            </w:r>
          </w:p>
        </w:tc>
        <w:tc>
          <w:tcPr>
            <w:tcW w:type="dxa" w:w="4032"/>
            <w:tcMar>
              <w:top w:type="dxa" w:w="70"/>
              <w:left w:type="dxa" w:w="110"/>
              <w:bottom w:type="dxa" w:w="70"/>
              <w:right w:type="dxa" w:w="110"/>
            </w:tcMar>
            <w:vAlign w:val="top"/>
          </w:tcPr>
          <w:p>
            <w:r>
              <w:rPr>
                <w:b w:val="false"/>
                <w:bCs w:val="false"/>
                <w:color w:val="1A1A1A"/>
                <w:sz w:val="15"/>
                <w:szCs w:val="15"/>
              </w:rPr>
              <w:t xml:space="preserve">DDS, AIDS, TSAS, Module Decomposition (MEKB Part 3), Master Product Backlog (MEKB Part 7)</w:t>
            </w:r>
          </w:p>
        </w:tc>
      </w:tr>
      <w:tr>
        <w:tc>
          <w:tcPr>
            <w:tcW w:type="dxa" w:w="2419"/>
            <w:tcMar>
              <w:top w:type="dxa" w:w="70"/>
              <w:left w:type="dxa" w:w="110"/>
              <w:bottom w:type="dxa" w:w="70"/>
              <w:right w:type="dxa" w:w="110"/>
            </w:tcMar>
            <w:vAlign w:val="top"/>
          </w:tcPr>
          <w:p>
            <w:r>
              <w:rPr>
                <w:b/>
                <w:bCs/>
                <w:color w:val="1A1A1A"/>
                <w:sz w:val="15"/>
                <w:szCs w:val="15"/>
              </w:rPr>
              <w:t xml:space="preserve">DDS (19 Parts)</w:t>
            </w:r>
          </w:p>
        </w:tc>
        <w:tc>
          <w:tcPr>
            <w:tcW w:type="dxa" w:w="3629"/>
            <w:tcMar>
              <w:top w:type="dxa" w:w="70"/>
              <w:left w:type="dxa" w:w="110"/>
              <w:bottom w:type="dxa" w:w="70"/>
              <w:right w:type="dxa" w:w="110"/>
            </w:tcMar>
            <w:vAlign w:val="top"/>
          </w:tcPr>
          <w:p>
            <w:r>
              <w:rPr>
                <w:b w:val="false"/>
                <w:bCs w:val="false"/>
                <w:color w:val="1A1A1A"/>
                <w:sz w:val="15"/>
                <w:szCs w:val="15"/>
              </w:rPr>
              <w:t xml:space="preserve">SRS Part 30 (Database Requirements), Enterprise Solution Architecture Section 06</w:t>
            </w:r>
          </w:p>
        </w:tc>
        <w:tc>
          <w:tcPr>
            <w:tcW w:type="dxa" w:w="4032"/>
            <w:tcMar>
              <w:top w:type="dxa" w:w="70"/>
              <w:left w:type="dxa" w:w="110"/>
              <w:bottom w:type="dxa" w:w="70"/>
              <w:right w:type="dxa" w:w="110"/>
            </w:tcMar>
            <w:vAlign w:val="top"/>
          </w:tcPr>
          <w:p>
            <w:r>
              <w:rPr>
                <w:b w:val="false"/>
                <w:bCs w:val="false"/>
                <w:color w:val="1A1A1A"/>
                <w:sz w:val="15"/>
                <w:szCs w:val="15"/>
              </w:rPr>
              <w:t xml:space="preserve">AIDS (entity references), Work Packages (MEKB Parts 5–8), Handbook Chapter 11</w:t>
            </w:r>
          </w:p>
        </w:tc>
      </w:tr>
      <w:tr>
        <w:tc>
          <w:tcPr>
            <w:tcW w:type="dxa" w:w="2419"/>
            <w:tcMar>
              <w:top w:type="dxa" w:w="70"/>
              <w:left w:type="dxa" w:w="110"/>
              <w:bottom w:type="dxa" w:w="70"/>
              <w:right w:type="dxa" w:w="110"/>
            </w:tcMar>
            <w:vAlign w:val="top"/>
          </w:tcPr>
          <w:p>
            <w:r>
              <w:rPr>
                <w:b/>
                <w:bCs/>
                <w:color w:val="1A1A1A"/>
                <w:sz w:val="15"/>
                <w:szCs w:val="15"/>
              </w:rPr>
              <w:t xml:space="preserve">AIDS (19 Parts)</w:t>
            </w:r>
          </w:p>
        </w:tc>
        <w:tc>
          <w:tcPr>
            <w:tcW w:type="dxa" w:w="3629"/>
            <w:tcMar>
              <w:top w:type="dxa" w:w="70"/>
              <w:left w:type="dxa" w:w="110"/>
              <w:bottom w:type="dxa" w:w="70"/>
              <w:right w:type="dxa" w:w="110"/>
            </w:tcMar>
            <w:vAlign w:val="top"/>
          </w:tcPr>
          <w:p>
            <w:r>
              <w:rPr>
                <w:b w:val="false"/>
                <w:bCs w:val="false"/>
                <w:color w:val="1A1A1A"/>
                <w:sz w:val="15"/>
                <w:szCs w:val="15"/>
              </w:rPr>
              <w:t xml:space="preserve">SRS Part 28–29 (API/Integration Requirements), DDS entity catalogue</w:t>
            </w:r>
          </w:p>
        </w:tc>
        <w:tc>
          <w:tcPr>
            <w:tcW w:type="dxa" w:w="4032"/>
            <w:tcMar>
              <w:top w:type="dxa" w:w="70"/>
              <w:left w:type="dxa" w:w="110"/>
              <w:bottom w:type="dxa" w:w="70"/>
              <w:right w:type="dxa" w:w="110"/>
            </w:tcMar>
            <w:vAlign w:val="top"/>
          </w:tcPr>
          <w:p>
            <w:r>
              <w:rPr>
                <w:b w:val="false"/>
                <w:bCs w:val="false"/>
                <w:color w:val="1A1A1A"/>
                <w:sz w:val="15"/>
                <w:szCs w:val="15"/>
              </w:rPr>
              <w:t xml:space="preserve">Work Packages (MEKB Parts 5–8), Handbook Chapter 12</w:t>
            </w:r>
          </w:p>
        </w:tc>
      </w:tr>
      <w:tr>
        <w:tc>
          <w:tcPr>
            <w:tcW w:type="dxa" w:w="2419"/>
            <w:tcMar>
              <w:top w:type="dxa" w:w="70"/>
              <w:left w:type="dxa" w:w="110"/>
              <w:bottom w:type="dxa" w:w="70"/>
              <w:right w:type="dxa" w:w="110"/>
            </w:tcMar>
            <w:vAlign w:val="top"/>
          </w:tcPr>
          <w:p>
            <w:r>
              <w:rPr>
                <w:b/>
                <w:bCs/>
                <w:color w:val="1A1A1A"/>
                <w:sz w:val="15"/>
                <w:szCs w:val="15"/>
              </w:rPr>
              <w:t xml:space="preserve">TSAS (19 Parts)</w:t>
            </w:r>
          </w:p>
        </w:tc>
        <w:tc>
          <w:tcPr>
            <w:tcW w:type="dxa" w:w="3629"/>
            <w:tcMar>
              <w:top w:type="dxa" w:w="70"/>
              <w:left w:type="dxa" w:w="110"/>
              <w:bottom w:type="dxa" w:w="70"/>
              <w:right w:type="dxa" w:w="110"/>
            </w:tcMar>
            <w:vAlign w:val="top"/>
          </w:tcPr>
          <w:p>
            <w:r>
              <w:rPr>
                <w:b w:val="false"/>
                <w:bCs w:val="false"/>
                <w:color w:val="1A1A1A"/>
                <w:sz w:val="15"/>
                <w:szCs w:val="15"/>
              </w:rPr>
              <w:t xml:space="preserve">SRS (all functional parts), DDS, AIDS</w:t>
            </w:r>
          </w:p>
        </w:tc>
        <w:tc>
          <w:tcPr>
            <w:tcW w:type="dxa" w:w="4032"/>
            <w:tcMar>
              <w:top w:type="dxa" w:w="70"/>
              <w:left w:type="dxa" w:w="110"/>
              <w:bottom w:type="dxa" w:w="70"/>
              <w:right w:type="dxa" w:w="110"/>
            </w:tcMar>
            <w:vAlign w:val="top"/>
          </w:tcPr>
          <w:p>
            <w:r>
              <w:rPr>
                <w:b w:val="false"/>
                <w:bCs w:val="false"/>
                <w:color w:val="1A1A1A"/>
                <w:sz w:val="15"/>
                <w:szCs w:val="15"/>
              </w:rPr>
              <w:t xml:space="preserve">Work Package acceptance criteria and test cases (MEKB Parts 5–8), Handbook Chapter 16</w:t>
            </w:r>
          </w:p>
        </w:tc>
      </w:tr>
      <w:tr>
        <w:tc>
          <w:tcPr>
            <w:tcW w:type="dxa" w:w="2419"/>
            <w:tcMar>
              <w:top w:type="dxa" w:w="70"/>
              <w:left w:type="dxa" w:w="110"/>
              <w:bottom w:type="dxa" w:w="70"/>
              <w:right w:type="dxa" w:w="110"/>
            </w:tcMar>
            <w:vAlign w:val="top"/>
          </w:tcPr>
          <w:p>
            <w:r>
              <w:rPr>
                <w:b/>
                <w:bCs/>
                <w:color w:val="1A1A1A"/>
                <w:sz w:val="15"/>
                <w:szCs w:val="15"/>
              </w:rPr>
              <w:t xml:space="preserve">PDIB (20 Parts)</w:t>
            </w:r>
          </w:p>
        </w:tc>
        <w:tc>
          <w:tcPr>
            <w:tcW w:type="dxa" w:w="3629"/>
            <w:tcMar>
              <w:top w:type="dxa" w:w="70"/>
              <w:left w:type="dxa" w:w="110"/>
              <w:bottom w:type="dxa" w:w="70"/>
              <w:right w:type="dxa" w:w="110"/>
            </w:tcMar>
            <w:vAlign w:val="top"/>
          </w:tcPr>
          <w:p>
            <w:r>
              <w:rPr>
                <w:b w:val="false"/>
                <w:bCs w:val="false"/>
                <w:color w:val="1A1A1A"/>
                <w:sz w:val="15"/>
                <w:szCs w:val="15"/>
              </w:rPr>
              <w:t xml:space="preserve">Enterprise Solution Architecture, SRS, TSAS</w:t>
            </w:r>
          </w:p>
        </w:tc>
        <w:tc>
          <w:tcPr>
            <w:tcW w:type="dxa" w:w="4032"/>
            <w:tcMar>
              <w:top w:type="dxa" w:w="70"/>
              <w:left w:type="dxa" w:w="110"/>
              <w:bottom w:type="dxa" w:w="70"/>
              <w:right w:type="dxa" w:w="110"/>
            </w:tcMar>
            <w:vAlign w:val="top"/>
          </w:tcPr>
          <w:p>
            <w:r>
              <w:rPr>
                <w:b w:val="false"/>
                <w:bCs w:val="false"/>
                <w:color w:val="1A1A1A"/>
                <w:sz w:val="15"/>
                <w:szCs w:val="15"/>
              </w:rPr>
              <w:t xml:space="preserve">Sprint Roadmap (MEKB Part 9), Handbook Chapters 15, 20</w:t>
            </w:r>
          </w:p>
        </w:tc>
      </w:tr>
      <w:tr>
        <w:tc>
          <w:tcPr>
            <w:tcW w:type="dxa" w:w="2419"/>
            <w:tcMar>
              <w:top w:type="dxa" w:w="70"/>
              <w:left w:type="dxa" w:w="110"/>
              <w:bottom w:type="dxa" w:w="70"/>
              <w:right w:type="dxa" w:w="110"/>
            </w:tcMar>
            <w:vAlign w:val="top"/>
          </w:tcPr>
          <w:p>
            <w:r>
              <w:rPr>
                <w:b/>
                <w:bCs/>
                <w:color w:val="1A1A1A"/>
                <w:sz w:val="15"/>
                <w:szCs w:val="15"/>
              </w:rPr>
              <w:t xml:space="preserve">Engineering Handbook (Vol. I)</w:t>
            </w:r>
          </w:p>
        </w:tc>
        <w:tc>
          <w:tcPr>
            <w:tcW w:type="dxa" w:w="3629"/>
            <w:tcMar>
              <w:top w:type="dxa" w:w="70"/>
              <w:left w:type="dxa" w:w="110"/>
              <w:bottom w:type="dxa" w:w="70"/>
              <w:right w:type="dxa" w:w="110"/>
            </w:tcMar>
            <w:vAlign w:val="top"/>
          </w:tcPr>
          <w:p>
            <w:r>
              <w:rPr>
                <w:b w:val="false"/>
                <w:bCs w:val="false"/>
                <w:color w:val="1A1A1A"/>
                <w:sz w:val="15"/>
                <w:szCs w:val="15"/>
              </w:rPr>
              <w:t xml:space="preserve">All Tier 1–3 documents</w:t>
            </w:r>
          </w:p>
        </w:tc>
        <w:tc>
          <w:tcPr>
            <w:tcW w:type="dxa" w:w="4032"/>
            <w:tcMar>
              <w:top w:type="dxa" w:w="70"/>
              <w:left w:type="dxa" w:w="110"/>
              <w:bottom w:type="dxa" w:w="70"/>
              <w:right w:type="dxa" w:w="110"/>
            </w:tcMar>
            <w:vAlign w:val="top"/>
          </w:tcPr>
          <w:p>
            <w:r>
              <w:rPr>
                <w:b w:val="false"/>
                <w:bCs w:val="false"/>
                <w:color w:val="1A1A1A"/>
                <w:sz w:val="15"/>
                <w:szCs w:val="15"/>
              </w:rPr>
              <w:t xml:space="preserve">Every Work Package's engineering standards references (MEKB Parts 5–8)</w:t>
            </w:r>
          </w:p>
        </w:tc>
      </w:tr>
      <w:tr>
        <w:tc>
          <w:tcPr>
            <w:tcW w:type="dxa" w:w="2419"/>
            <w:tcMar>
              <w:top w:type="dxa" w:w="70"/>
              <w:left w:type="dxa" w:w="110"/>
              <w:bottom w:type="dxa" w:w="70"/>
              <w:right w:type="dxa" w:w="110"/>
            </w:tcMar>
            <w:vAlign w:val="top"/>
          </w:tcPr>
          <w:p>
            <w:r>
              <w:rPr>
                <w:b/>
                <w:bCs/>
                <w:color w:val="1A1A1A"/>
                <w:sz w:val="15"/>
                <w:szCs w:val="15"/>
              </w:rPr>
              <w:t xml:space="preserve">Appendices A–O (Vol. II)</w:t>
            </w:r>
          </w:p>
        </w:tc>
        <w:tc>
          <w:tcPr>
            <w:tcW w:type="dxa" w:w="3629"/>
            <w:tcMar>
              <w:top w:type="dxa" w:w="70"/>
              <w:left w:type="dxa" w:w="110"/>
              <w:bottom w:type="dxa" w:w="70"/>
              <w:right w:type="dxa" w:w="110"/>
            </w:tcMar>
            <w:vAlign w:val="top"/>
          </w:tcPr>
          <w:p>
            <w:r>
              <w:rPr>
                <w:b w:val="false"/>
                <w:bCs w:val="false"/>
                <w:color w:val="1A1A1A"/>
                <w:sz w:val="15"/>
                <w:szCs w:val="15"/>
              </w:rPr>
              <w:t xml:space="preserve">Engineering Handbook (Vol. I)</w:t>
            </w:r>
          </w:p>
        </w:tc>
        <w:tc>
          <w:tcPr>
            <w:tcW w:type="dxa" w:w="4032"/>
            <w:tcMar>
              <w:top w:type="dxa" w:w="70"/>
              <w:left w:type="dxa" w:w="110"/>
              <w:bottom w:type="dxa" w:w="70"/>
              <w:right w:type="dxa" w:w="110"/>
            </w:tcMar>
            <w:vAlign w:val="top"/>
          </w:tcPr>
          <w:p>
            <w:r>
              <w:rPr>
                <w:b w:val="false"/>
                <w:bCs w:val="false"/>
                <w:color w:val="1A1A1A"/>
                <w:sz w:val="15"/>
                <w:szCs w:val="15"/>
              </w:rPr>
              <w:t xml:space="preserve">Naming, templates, checklists, and matrices referenced throughout MEKB Parts 2–10</w:t>
            </w:r>
          </w:p>
        </w:tc>
      </w:tr>
    </w:tbl>
    <w:p>
      <w:pPr>
        <w:pStyle w:val="Heading1"/>
        <w:pBdr>
          <w:bottom w:val="single" w:color="DAD3C0" w:sz="4" w:space="4"/>
        </w:pBdr>
        <w:spacing w:after="140" w:before="360"/>
      </w:pPr>
      <w:r>
        <w:rPr>
          <w:b/>
          <w:bCs/>
          <w:color w:val="97771F"/>
          <w:sz w:val="26"/>
          <w:szCs w:val="26"/>
        </w:rPr>
        <w:t xml:space="preserve">1.5  </w:t>
      </w:r>
      <w:r>
        <w:rPr>
          <w:b/>
          <w:bCs/>
          <w:color w:val="33363C"/>
          <w:sz w:val="26"/>
          <w:szCs w:val="26"/>
        </w:rPr>
        <w:t xml:space="preserve">Governance-to-Activity Matrix</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which documents govern which day-to-day engineering activity.</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Removes ambiguity about which document to open for a given implementation question.</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Most engineering activities are governed by a primary document and one or more secondary references.</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engineering activity in the platform traceable to a specific governing source.</w:t>
            </w:r>
          </w:p>
        </w:tc>
      </w:tr>
    </w:tbl>
    <w:p>
      <w:pPr>
        <w:spacing w:after="160"/>
      </w:pPr>
    </w:p>
    <w:p>
      <w:pPr>
        <w:spacing w:after="150" w:line="276"/>
        <w:jc w:val="both"/>
      </w:pPr>
      <w:r>
        <w:t xml:space="preserve">The table below is the single most frequently used reference in the MEKB. It answers the question every engineer or AI agent asks first: 'which document governs what I am about to 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629"/>
        <w:gridCol w:w="3427"/>
      </w:tblGrid>
      <w:tr>
        <w:trPr>
          <w:tblHeader/>
        </w:trPr>
        <w:tc>
          <w:tcPr>
            <w:tcW w:type="dxa" w:w="3024"/>
            <w:shd w:fill="33363C" w:val="clear"/>
            <w:tcMar>
              <w:top w:type="dxa" w:w="70"/>
              <w:left w:type="dxa" w:w="110"/>
              <w:bottom w:type="dxa" w:w="70"/>
              <w:right w:type="dxa" w:w="110"/>
            </w:tcMar>
            <w:vAlign w:val="top"/>
          </w:tcPr>
          <w:p>
            <w:r>
              <w:rPr>
                <w:b/>
                <w:bCs/>
                <w:color w:val="FFFFFF"/>
                <w:sz w:val="17"/>
                <w:szCs w:val="17"/>
              </w:rPr>
              <w:t xml:space="preserve">Engineering Activity</w:t>
            </w:r>
          </w:p>
        </w:tc>
        <w:tc>
          <w:tcPr>
            <w:tcW w:type="dxa" w:w="3629"/>
            <w:shd w:fill="33363C" w:val="clear"/>
            <w:tcMar>
              <w:top w:type="dxa" w:w="70"/>
              <w:left w:type="dxa" w:w="110"/>
              <w:bottom w:type="dxa" w:w="70"/>
              <w:right w:type="dxa" w:w="110"/>
            </w:tcMar>
            <w:vAlign w:val="top"/>
          </w:tcPr>
          <w:p>
            <w:r>
              <w:rPr>
                <w:b/>
                <w:bCs/>
                <w:color w:val="FFFFFF"/>
                <w:sz w:val="17"/>
                <w:szCs w:val="17"/>
              </w:rPr>
              <w:t xml:space="preserve">Primary Governing Document</w:t>
            </w:r>
          </w:p>
        </w:tc>
        <w:tc>
          <w:tcPr>
            <w:tcW w:type="dxa" w:w="3427"/>
            <w:shd w:fill="33363C" w:val="clear"/>
            <w:tcMar>
              <w:top w:type="dxa" w:w="70"/>
              <w:left w:type="dxa" w:w="110"/>
              <w:bottom w:type="dxa" w:w="70"/>
              <w:right w:type="dxa" w:w="110"/>
            </w:tcMar>
            <w:vAlign w:val="top"/>
          </w:tcPr>
          <w:p>
            <w:r>
              <w:rPr>
                <w:b/>
                <w:bCs/>
                <w:color w:val="FFFFFF"/>
                <w:sz w:val="17"/>
                <w:szCs w:val="17"/>
              </w:rPr>
              <w:t xml:space="preserve">Secondary References</w:t>
            </w:r>
          </w:p>
        </w:tc>
      </w:tr>
      <w:tr>
        <w:tc>
          <w:tcPr>
            <w:tcW w:type="dxa" w:w="3024"/>
            <w:tcMar>
              <w:top w:type="dxa" w:w="70"/>
              <w:left w:type="dxa" w:w="110"/>
              <w:bottom w:type="dxa" w:w="70"/>
              <w:right w:type="dxa" w:w="110"/>
            </w:tcMar>
            <w:vAlign w:val="top"/>
          </w:tcPr>
          <w:p>
            <w:r>
              <w:rPr>
                <w:b/>
                <w:bCs/>
                <w:color w:val="1A1A1A"/>
                <w:sz w:val="14"/>
                <w:szCs w:val="14"/>
              </w:rPr>
              <w:t xml:space="preserve">Defining a new functional requirement</w:t>
            </w:r>
          </w:p>
        </w:tc>
        <w:tc>
          <w:tcPr>
            <w:tcW w:type="dxa" w:w="3629"/>
            <w:tcMar>
              <w:top w:type="dxa" w:w="70"/>
              <w:left w:type="dxa" w:w="110"/>
              <w:bottom w:type="dxa" w:w="70"/>
              <w:right w:type="dxa" w:w="110"/>
            </w:tcMar>
            <w:vAlign w:val="top"/>
          </w:tcPr>
          <w:p>
            <w:r>
              <w:rPr>
                <w:b w:val="false"/>
                <w:bCs w:val="false"/>
                <w:color w:val="1A1A1A"/>
                <w:sz w:val="14"/>
                <w:szCs w:val="14"/>
              </w:rPr>
              <w:t xml:space="preserve">SRS (relevant module Part, 3–22)</w:t>
            </w:r>
          </w:p>
        </w:tc>
        <w:tc>
          <w:tcPr>
            <w:tcW w:type="dxa" w:w="3427"/>
            <w:tcMar>
              <w:top w:type="dxa" w:w="70"/>
              <w:left w:type="dxa" w:w="110"/>
              <w:bottom w:type="dxa" w:w="70"/>
              <w:right w:type="dxa" w:w="110"/>
            </w:tcMar>
            <w:vAlign w:val="top"/>
          </w:tcPr>
          <w:p>
            <w:r>
              <w:rPr>
                <w:b w:val="false"/>
                <w:bCs w:val="false"/>
                <w:color w:val="1A1A1A"/>
                <w:sz w:val="14"/>
                <w:szCs w:val="14"/>
              </w:rPr>
              <w:t xml:space="preserve">PDD Section 10 (Feature Catalogue), BRD</w:t>
            </w:r>
          </w:p>
        </w:tc>
      </w:tr>
      <w:tr>
        <w:tc>
          <w:tcPr>
            <w:tcW w:type="dxa" w:w="3024"/>
            <w:tcMar>
              <w:top w:type="dxa" w:w="70"/>
              <w:left w:type="dxa" w:w="110"/>
              <w:bottom w:type="dxa" w:w="70"/>
              <w:right w:type="dxa" w:w="110"/>
            </w:tcMar>
            <w:vAlign w:val="top"/>
          </w:tcPr>
          <w:p>
            <w:r>
              <w:rPr>
                <w:b/>
                <w:bCs/>
                <w:color w:val="1A1A1A"/>
                <w:sz w:val="14"/>
                <w:szCs w:val="14"/>
              </w:rPr>
              <w:t xml:space="preserve">Designing a screen or dashboard</w:t>
            </w:r>
          </w:p>
        </w:tc>
        <w:tc>
          <w:tcPr>
            <w:tcW w:type="dxa" w:w="3629"/>
            <w:tcMar>
              <w:top w:type="dxa" w:w="70"/>
              <w:left w:type="dxa" w:w="110"/>
              <w:bottom w:type="dxa" w:w="70"/>
              <w:right w:type="dxa" w:w="110"/>
            </w:tcMar>
            <w:vAlign w:val="top"/>
          </w:tcPr>
          <w:p>
            <w:r>
              <w:rPr>
                <w:b w:val="false"/>
                <w:bCs w:val="false"/>
                <w:color w:val="1A1A1A"/>
                <w:sz w:val="14"/>
                <w:szCs w:val="14"/>
              </w:rPr>
              <w:t xml:space="preserve">SRS Part 23 (Screen Catalogue) / Part 24 (Dashboard Catalogue)</w:t>
            </w:r>
          </w:p>
        </w:tc>
        <w:tc>
          <w:tcPr>
            <w:tcW w:type="dxa" w:w="3427"/>
            <w:tcMar>
              <w:top w:type="dxa" w:w="70"/>
              <w:left w:type="dxa" w:w="110"/>
              <w:bottom w:type="dxa" w:w="70"/>
              <w:right w:type="dxa" w:w="110"/>
            </w:tcMar>
            <w:vAlign w:val="top"/>
          </w:tcPr>
          <w:p>
            <w:r>
              <w:rPr>
                <w:b w:val="false"/>
                <w:bCs w:val="false"/>
                <w:color w:val="1A1A1A"/>
                <w:sz w:val="14"/>
                <w:szCs w:val="14"/>
              </w:rPr>
              <w:t xml:space="preserve">PDD Section 17 (OpenDesign Handoff), Handbook Chapter 10</w:t>
            </w:r>
          </w:p>
        </w:tc>
      </w:tr>
      <w:tr>
        <w:tc>
          <w:tcPr>
            <w:tcW w:type="dxa" w:w="3024"/>
            <w:tcMar>
              <w:top w:type="dxa" w:w="70"/>
              <w:left w:type="dxa" w:w="110"/>
              <w:bottom w:type="dxa" w:w="70"/>
              <w:right w:type="dxa" w:w="110"/>
            </w:tcMar>
            <w:vAlign w:val="top"/>
          </w:tcPr>
          <w:p>
            <w:r>
              <w:rPr>
                <w:b/>
                <w:bCs/>
                <w:color w:val="1A1A1A"/>
                <w:sz w:val="14"/>
                <w:szCs w:val="14"/>
              </w:rPr>
              <w:t xml:space="preserve">Designing a database table or entity</w:t>
            </w:r>
          </w:p>
        </w:tc>
        <w:tc>
          <w:tcPr>
            <w:tcW w:type="dxa" w:w="3629"/>
            <w:tcMar>
              <w:top w:type="dxa" w:w="70"/>
              <w:left w:type="dxa" w:w="110"/>
              <w:bottom w:type="dxa" w:w="70"/>
              <w:right w:type="dxa" w:w="110"/>
            </w:tcMar>
            <w:vAlign w:val="top"/>
          </w:tcPr>
          <w:p>
            <w:r>
              <w:rPr>
                <w:b w:val="false"/>
                <w:bCs w:val="false"/>
                <w:color w:val="1A1A1A"/>
                <w:sz w:val="14"/>
                <w:szCs w:val="14"/>
              </w:rPr>
              <w:t xml:space="preserve">DDS Part 03 (Entity Catalogue) / Part 04 (Data Dictionary)</w:t>
            </w:r>
          </w:p>
        </w:tc>
        <w:tc>
          <w:tcPr>
            <w:tcW w:type="dxa" w:w="3427"/>
            <w:tcMar>
              <w:top w:type="dxa" w:w="70"/>
              <w:left w:type="dxa" w:w="110"/>
              <w:bottom w:type="dxa" w:w="70"/>
              <w:right w:type="dxa" w:w="110"/>
            </w:tcMar>
            <w:vAlign w:val="top"/>
          </w:tcPr>
          <w:p>
            <w:r>
              <w:rPr>
                <w:b w:val="false"/>
                <w:bCs w:val="false"/>
                <w:color w:val="1A1A1A"/>
                <w:sz w:val="14"/>
                <w:szCs w:val="14"/>
              </w:rPr>
              <w:t xml:space="preserve">SRS Part 30, Handbook Chapter 11, Appendix E (Naming Conventions)</w:t>
            </w:r>
          </w:p>
        </w:tc>
      </w:tr>
      <w:tr>
        <w:tc>
          <w:tcPr>
            <w:tcW w:type="dxa" w:w="3024"/>
            <w:tcMar>
              <w:top w:type="dxa" w:w="70"/>
              <w:left w:type="dxa" w:w="110"/>
              <w:bottom w:type="dxa" w:w="70"/>
              <w:right w:type="dxa" w:w="110"/>
            </w:tcMar>
            <w:vAlign w:val="top"/>
          </w:tcPr>
          <w:p>
            <w:r>
              <w:rPr>
                <w:b/>
                <w:bCs/>
                <w:color w:val="1A1A1A"/>
                <w:sz w:val="14"/>
                <w:szCs w:val="14"/>
              </w:rPr>
              <w:t xml:space="preserve">Designing or modifying an API endpoint</w:t>
            </w:r>
          </w:p>
        </w:tc>
        <w:tc>
          <w:tcPr>
            <w:tcW w:type="dxa" w:w="3629"/>
            <w:tcMar>
              <w:top w:type="dxa" w:w="70"/>
              <w:left w:type="dxa" w:w="110"/>
              <w:bottom w:type="dxa" w:w="70"/>
              <w:right w:type="dxa" w:w="110"/>
            </w:tcMar>
            <w:vAlign w:val="top"/>
          </w:tcPr>
          <w:p>
            <w:r>
              <w:rPr>
                <w:b w:val="false"/>
                <w:bCs w:val="false"/>
                <w:color w:val="1A1A1A"/>
                <w:sz w:val="14"/>
                <w:szCs w:val="14"/>
              </w:rPr>
              <w:t xml:space="preserve">AIDS Part 04 (REST Endpoint Catalogue) / Part 17 (OpenAPI Blueprint)</w:t>
            </w:r>
          </w:p>
        </w:tc>
        <w:tc>
          <w:tcPr>
            <w:tcW w:type="dxa" w:w="3427"/>
            <w:tcMar>
              <w:top w:type="dxa" w:w="70"/>
              <w:left w:type="dxa" w:w="110"/>
              <w:bottom w:type="dxa" w:w="70"/>
              <w:right w:type="dxa" w:w="110"/>
            </w:tcMar>
            <w:vAlign w:val="top"/>
          </w:tcPr>
          <w:p>
            <w:r>
              <w:rPr>
                <w:b w:val="false"/>
                <w:bCs w:val="false"/>
                <w:color w:val="1A1A1A"/>
                <w:sz w:val="14"/>
                <w:szCs w:val="14"/>
              </w:rPr>
              <w:t xml:space="preserve">SRS Part 28, Handbook Chapter 12</w:t>
            </w:r>
          </w:p>
        </w:tc>
      </w:tr>
      <w:tr>
        <w:tc>
          <w:tcPr>
            <w:tcW w:type="dxa" w:w="3024"/>
            <w:tcMar>
              <w:top w:type="dxa" w:w="70"/>
              <w:left w:type="dxa" w:w="110"/>
              <w:bottom w:type="dxa" w:w="70"/>
              <w:right w:type="dxa" w:w="110"/>
            </w:tcMar>
            <w:vAlign w:val="top"/>
          </w:tcPr>
          <w:p>
            <w:r>
              <w:rPr>
                <w:b/>
                <w:bCs/>
                <w:color w:val="1A1A1A"/>
                <w:sz w:val="14"/>
                <w:szCs w:val="14"/>
              </w:rPr>
              <w:t xml:space="preserve">Implementing authentication or authorization</w:t>
            </w:r>
          </w:p>
        </w:tc>
        <w:tc>
          <w:tcPr>
            <w:tcW w:type="dxa" w:w="3629"/>
            <w:tcMar>
              <w:top w:type="dxa" w:w="70"/>
              <w:left w:type="dxa" w:w="110"/>
              <w:bottom w:type="dxa" w:w="70"/>
              <w:right w:type="dxa" w:w="110"/>
            </w:tcMar>
            <w:vAlign w:val="top"/>
          </w:tcPr>
          <w:p>
            <w:r>
              <w:rPr>
                <w:b w:val="false"/>
                <w:bCs w:val="false"/>
                <w:color w:val="1A1A1A"/>
                <w:sz w:val="14"/>
                <w:szCs w:val="14"/>
              </w:rPr>
              <w:t xml:space="preserve">AIDS Part 05 (Authentication &amp; Authorization); Security Architecture</w:t>
            </w:r>
          </w:p>
        </w:tc>
        <w:tc>
          <w:tcPr>
            <w:tcW w:type="dxa" w:w="3427"/>
            <w:tcMar>
              <w:top w:type="dxa" w:w="70"/>
              <w:left w:type="dxa" w:w="110"/>
              <w:bottom w:type="dxa" w:w="70"/>
              <w:right w:type="dxa" w:w="110"/>
            </w:tcMar>
            <w:vAlign w:val="top"/>
          </w:tcPr>
          <w:p>
            <w:r>
              <w:rPr>
                <w:b w:val="false"/>
                <w:bCs w:val="false"/>
                <w:color w:val="1A1A1A"/>
                <w:sz w:val="14"/>
                <w:szCs w:val="14"/>
              </w:rPr>
              <w:t xml:space="preserve">SRS Part 32, DDS Part 11, Handbook Chapter 14</w:t>
            </w:r>
          </w:p>
        </w:tc>
      </w:tr>
      <w:tr>
        <w:tc>
          <w:tcPr>
            <w:tcW w:type="dxa" w:w="3024"/>
            <w:tcMar>
              <w:top w:type="dxa" w:w="70"/>
              <w:left w:type="dxa" w:w="110"/>
              <w:bottom w:type="dxa" w:w="70"/>
              <w:right w:type="dxa" w:w="110"/>
            </w:tcMar>
            <w:vAlign w:val="top"/>
          </w:tcPr>
          <w:p>
            <w:r>
              <w:rPr>
                <w:b/>
                <w:bCs/>
                <w:color w:val="1A1A1A"/>
                <w:sz w:val="14"/>
                <w:szCs w:val="14"/>
              </w:rPr>
              <w:t xml:space="preserve">Writing backend service code</w:t>
            </w:r>
          </w:p>
        </w:tc>
        <w:tc>
          <w:tcPr>
            <w:tcW w:type="dxa" w:w="3629"/>
            <w:tcMar>
              <w:top w:type="dxa" w:w="70"/>
              <w:left w:type="dxa" w:w="110"/>
              <w:bottom w:type="dxa" w:w="70"/>
              <w:right w:type="dxa" w:w="110"/>
            </w:tcMar>
            <w:vAlign w:val="top"/>
          </w:tcPr>
          <w:p>
            <w:r>
              <w:rPr>
                <w:b w:val="false"/>
                <w:bCs w:val="false"/>
                <w:color w:val="1A1A1A"/>
                <w:sz w:val="14"/>
                <w:szCs w:val="14"/>
              </w:rPr>
              <w:t xml:space="preserve">Handbook Chapter 9 (Backend Engineering Standards)</w:t>
            </w:r>
          </w:p>
        </w:tc>
        <w:tc>
          <w:tcPr>
            <w:tcW w:type="dxa" w:w="3427"/>
            <w:tcMar>
              <w:top w:type="dxa" w:w="70"/>
              <w:left w:type="dxa" w:w="110"/>
              <w:bottom w:type="dxa" w:w="70"/>
              <w:right w:type="dxa" w:w="110"/>
            </w:tcMar>
            <w:vAlign w:val="top"/>
          </w:tcPr>
          <w:p>
            <w:r>
              <w:rPr>
                <w:b w:val="false"/>
                <w:bCs w:val="false"/>
                <w:color w:val="1A1A1A"/>
                <w:sz w:val="14"/>
                <w:szCs w:val="14"/>
              </w:rPr>
              <w:t xml:space="preserve">AIDS (relevant Part), DDS (relevant Part), Appendix C (Technology Catalogue)</w:t>
            </w:r>
          </w:p>
        </w:tc>
      </w:tr>
      <w:tr>
        <w:tc>
          <w:tcPr>
            <w:tcW w:type="dxa" w:w="3024"/>
            <w:tcMar>
              <w:top w:type="dxa" w:w="70"/>
              <w:left w:type="dxa" w:w="110"/>
              <w:bottom w:type="dxa" w:w="70"/>
              <w:right w:type="dxa" w:w="110"/>
            </w:tcMar>
            <w:vAlign w:val="top"/>
          </w:tcPr>
          <w:p>
            <w:r>
              <w:rPr>
                <w:b/>
                <w:bCs/>
                <w:color w:val="1A1A1A"/>
                <w:sz w:val="14"/>
                <w:szCs w:val="14"/>
              </w:rPr>
              <w:t xml:space="preserve">Writing frontend / UI code</w:t>
            </w:r>
          </w:p>
        </w:tc>
        <w:tc>
          <w:tcPr>
            <w:tcW w:type="dxa" w:w="3629"/>
            <w:tcMar>
              <w:top w:type="dxa" w:w="70"/>
              <w:left w:type="dxa" w:w="110"/>
              <w:bottom w:type="dxa" w:w="70"/>
              <w:right w:type="dxa" w:w="110"/>
            </w:tcMar>
            <w:vAlign w:val="top"/>
          </w:tcPr>
          <w:p>
            <w:r>
              <w:rPr>
                <w:b w:val="false"/>
                <w:bCs w:val="false"/>
                <w:color w:val="1A1A1A"/>
                <w:sz w:val="14"/>
                <w:szCs w:val="14"/>
              </w:rPr>
              <w:t xml:space="preserve">Handbook Chapter 10 (Frontend Engineering Standards)</w:t>
            </w:r>
          </w:p>
        </w:tc>
        <w:tc>
          <w:tcPr>
            <w:tcW w:type="dxa" w:w="3427"/>
            <w:tcMar>
              <w:top w:type="dxa" w:w="70"/>
              <w:left w:type="dxa" w:w="110"/>
              <w:bottom w:type="dxa" w:w="70"/>
              <w:right w:type="dxa" w:w="110"/>
            </w:tcMar>
            <w:vAlign w:val="top"/>
          </w:tcPr>
          <w:p>
            <w:r>
              <w:rPr>
                <w:b w:val="false"/>
                <w:bCs w:val="false"/>
                <w:color w:val="1A1A1A"/>
                <w:sz w:val="14"/>
                <w:szCs w:val="14"/>
              </w:rPr>
              <w:t xml:space="preserve">SRS Parts 23–24, PDD Section 17, SDS (relevant Part)</w:t>
            </w:r>
          </w:p>
        </w:tc>
      </w:tr>
      <w:tr>
        <w:tc>
          <w:tcPr>
            <w:tcW w:type="dxa" w:w="3024"/>
            <w:tcMar>
              <w:top w:type="dxa" w:w="70"/>
              <w:left w:type="dxa" w:w="110"/>
              <w:bottom w:type="dxa" w:w="70"/>
              <w:right w:type="dxa" w:w="110"/>
            </w:tcMar>
            <w:vAlign w:val="top"/>
          </w:tcPr>
          <w:p>
            <w:r>
              <w:rPr>
                <w:b/>
                <w:bCs/>
                <w:color w:val="1A1A1A"/>
                <w:sz w:val="14"/>
                <w:szCs w:val="14"/>
              </w:rPr>
              <w:t xml:space="preserve">Writing or modifying a database migration</w:t>
            </w:r>
          </w:p>
        </w:tc>
        <w:tc>
          <w:tcPr>
            <w:tcW w:type="dxa" w:w="3629"/>
            <w:tcMar>
              <w:top w:type="dxa" w:w="70"/>
              <w:left w:type="dxa" w:w="110"/>
              <w:bottom w:type="dxa" w:w="70"/>
              <w:right w:type="dxa" w:w="110"/>
            </w:tcMar>
            <w:vAlign w:val="top"/>
          </w:tcPr>
          <w:p>
            <w:r>
              <w:rPr>
                <w:b w:val="false"/>
                <w:bCs w:val="false"/>
                <w:color w:val="1A1A1A"/>
                <w:sz w:val="14"/>
                <w:szCs w:val="14"/>
              </w:rPr>
              <w:t xml:space="preserve">Handbook Chapter 11 (Database Engineering Standards)</w:t>
            </w:r>
          </w:p>
        </w:tc>
        <w:tc>
          <w:tcPr>
            <w:tcW w:type="dxa" w:w="3427"/>
            <w:tcMar>
              <w:top w:type="dxa" w:w="70"/>
              <w:left w:type="dxa" w:w="110"/>
              <w:bottom w:type="dxa" w:w="70"/>
              <w:right w:type="dxa" w:w="110"/>
            </w:tcMar>
            <w:vAlign w:val="top"/>
          </w:tcPr>
          <w:p>
            <w:r>
              <w:rPr>
                <w:b w:val="false"/>
                <w:bCs w:val="false"/>
                <w:color w:val="1A1A1A"/>
                <w:sz w:val="14"/>
                <w:szCs w:val="14"/>
              </w:rPr>
              <w:t xml:space="preserve">DDS Part 08 (Constraints), Part 09 (Index Strategy)</w:t>
            </w:r>
          </w:p>
        </w:tc>
      </w:tr>
      <w:tr>
        <w:tc>
          <w:tcPr>
            <w:tcW w:type="dxa" w:w="3024"/>
            <w:tcMar>
              <w:top w:type="dxa" w:w="70"/>
              <w:left w:type="dxa" w:w="110"/>
              <w:bottom w:type="dxa" w:w="70"/>
              <w:right w:type="dxa" w:w="110"/>
            </w:tcMar>
            <w:vAlign w:val="top"/>
          </w:tcPr>
          <w:p>
            <w:r>
              <w:rPr>
                <w:b/>
                <w:bCs/>
                <w:color w:val="1A1A1A"/>
                <w:sz w:val="14"/>
                <w:szCs w:val="14"/>
              </w:rPr>
              <w:t xml:space="preserve">Implementing AI or Knowledge Repository features</w:t>
            </w:r>
          </w:p>
        </w:tc>
        <w:tc>
          <w:tcPr>
            <w:tcW w:type="dxa" w:w="3629"/>
            <w:tcMar>
              <w:top w:type="dxa" w:w="70"/>
              <w:left w:type="dxa" w:w="110"/>
              <w:bottom w:type="dxa" w:w="70"/>
              <w:right w:type="dxa" w:w="110"/>
            </w:tcMar>
            <w:vAlign w:val="top"/>
          </w:tcPr>
          <w:p>
            <w:r>
              <w:rPr>
                <w:b w:val="false"/>
                <w:bCs w:val="false"/>
                <w:color w:val="1A1A1A"/>
                <w:sz w:val="14"/>
                <w:szCs w:val="14"/>
              </w:rPr>
              <w:t xml:space="preserve">Handbook Chapter 13 (AI &amp; KM Standards)</w:t>
            </w:r>
          </w:p>
        </w:tc>
        <w:tc>
          <w:tcPr>
            <w:tcW w:type="dxa" w:w="3427"/>
            <w:tcMar>
              <w:top w:type="dxa" w:w="70"/>
              <w:left w:type="dxa" w:w="110"/>
              <w:bottom w:type="dxa" w:w="70"/>
              <w:right w:type="dxa" w:w="110"/>
            </w:tcMar>
            <w:vAlign w:val="top"/>
          </w:tcPr>
          <w:p>
            <w:r>
              <w:rPr>
                <w:b w:val="false"/>
                <w:bCs w:val="false"/>
                <w:color w:val="1A1A1A"/>
                <w:sz w:val="14"/>
                <w:szCs w:val="14"/>
              </w:rPr>
              <w:t xml:space="preserve">AIDS Part 12, PDD Section 13, EA Blueprint 2.0 Section 09</w:t>
            </w:r>
          </w:p>
        </w:tc>
      </w:tr>
      <w:tr>
        <w:tc>
          <w:tcPr>
            <w:tcW w:type="dxa" w:w="3024"/>
            <w:tcMar>
              <w:top w:type="dxa" w:w="70"/>
              <w:left w:type="dxa" w:w="110"/>
              <w:bottom w:type="dxa" w:w="70"/>
              <w:right w:type="dxa" w:w="110"/>
            </w:tcMar>
            <w:vAlign w:val="top"/>
          </w:tcPr>
          <w:p>
            <w:r>
              <w:rPr>
                <w:b/>
                <w:bCs/>
                <w:color w:val="1A1A1A"/>
                <w:sz w:val="14"/>
                <w:szCs w:val="14"/>
              </w:rPr>
              <w:t xml:space="preserve">Writing a test case</w:t>
            </w:r>
          </w:p>
        </w:tc>
        <w:tc>
          <w:tcPr>
            <w:tcW w:type="dxa" w:w="3629"/>
            <w:tcMar>
              <w:top w:type="dxa" w:w="70"/>
              <w:left w:type="dxa" w:w="110"/>
              <w:bottom w:type="dxa" w:w="70"/>
              <w:right w:type="dxa" w:w="110"/>
            </w:tcMar>
            <w:vAlign w:val="top"/>
          </w:tcPr>
          <w:p>
            <w:r>
              <w:rPr>
                <w:b w:val="false"/>
                <w:bCs w:val="false"/>
                <w:color w:val="1A1A1A"/>
                <w:sz w:val="14"/>
                <w:szCs w:val="14"/>
              </w:rPr>
              <w:t xml:space="preserve">TSAS Part 04–05 (Functional Testing Strategy / Detailed Test Cases)</w:t>
            </w:r>
          </w:p>
        </w:tc>
        <w:tc>
          <w:tcPr>
            <w:tcW w:type="dxa" w:w="3427"/>
            <w:tcMar>
              <w:top w:type="dxa" w:w="70"/>
              <w:left w:type="dxa" w:w="110"/>
              <w:bottom w:type="dxa" w:w="70"/>
              <w:right w:type="dxa" w:w="110"/>
            </w:tcMar>
            <w:vAlign w:val="top"/>
          </w:tcPr>
          <w:p>
            <w:r>
              <w:rPr>
                <w:b w:val="false"/>
                <w:bCs w:val="false"/>
                <w:color w:val="1A1A1A"/>
                <w:sz w:val="14"/>
                <w:szCs w:val="14"/>
              </w:rPr>
              <w:t xml:space="preserve">SRS Part 36 (Test Scenarios), Handbook Chapter 16</w:t>
            </w:r>
          </w:p>
        </w:tc>
      </w:tr>
      <w:tr>
        <w:tc>
          <w:tcPr>
            <w:tcW w:type="dxa" w:w="3024"/>
            <w:tcMar>
              <w:top w:type="dxa" w:w="70"/>
              <w:left w:type="dxa" w:w="110"/>
              <w:bottom w:type="dxa" w:w="70"/>
              <w:right w:type="dxa" w:w="110"/>
            </w:tcMar>
            <w:vAlign w:val="top"/>
          </w:tcPr>
          <w:p>
            <w:r>
              <w:rPr>
                <w:b/>
                <w:bCs/>
                <w:color w:val="1A1A1A"/>
                <w:sz w:val="14"/>
                <w:szCs w:val="14"/>
              </w:rPr>
              <w:t xml:space="preserve">Performing a security review</w:t>
            </w:r>
          </w:p>
        </w:tc>
        <w:tc>
          <w:tcPr>
            <w:tcW w:type="dxa" w:w="3629"/>
            <w:tcMar>
              <w:top w:type="dxa" w:w="70"/>
              <w:left w:type="dxa" w:w="110"/>
              <w:bottom w:type="dxa" w:w="70"/>
              <w:right w:type="dxa" w:w="110"/>
            </w:tcMar>
            <w:vAlign w:val="top"/>
          </w:tcPr>
          <w:p>
            <w:r>
              <w:rPr>
                <w:b w:val="false"/>
                <w:bCs w:val="false"/>
                <w:color w:val="1A1A1A"/>
                <w:sz w:val="14"/>
                <w:szCs w:val="14"/>
              </w:rPr>
              <w:t xml:space="preserve">Handbook Chapter 14; Security Architecture</w:t>
            </w:r>
          </w:p>
        </w:tc>
        <w:tc>
          <w:tcPr>
            <w:tcW w:type="dxa" w:w="3427"/>
            <w:tcMar>
              <w:top w:type="dxa" w:w="70"/>
              <w:left w:type="dxa" w:w="110"/>
              <w:bottom w:type="dxa" w:w="70"/>
              <w:right w:type="dxa" w:w="110"/>
            </w:tcMar>
            <w:vAlign w:val="top"/>
          </w:tcPr>
          <w:p>
            <w:r>
              <w:rPr>
                <w:b w:val="false"/>
                <w:bCs w:val="false"/>
                <w:color w:val="1A1A1A"/>
                <w:sz w:val="14"/>
                <w:szCs w:val="14"/>
              </w:rPr>
              <w:t xml:space="preserve">Appendix K (Security Controls &amp; Compliance Matrix), TSAS Part 08</w:t>
            </w:r>
          </w:p>
        </w:tc>
      </w:tr>
      <w:tr>
        <w:tc>
          <w:tcPr>
            <w:tcW w:type="dxa" w:w="3024"/>
            <w:tcMar>
              <w:top w:type="dxa" w:w="70"/>
              <w:left w:type="dxa" w:w="110"/>
              <w:bottom w:type="dxa" w:w="70"/>
              <w:right w:type="dxa" w:w="110"/>
            </w:tcMar>
            <w:vAlign w:val="top"/>
          </w:tcPr>
          <w:p>
            <w:r>
              <w:rPr>
                <w:b/>
                <w:bCs/>
                <w:color w:val="1A1A1A"/>
                <w:sz w:val="14"/>
                <w:szCs w:val="14"/>
              </w:rPr>
              <w:t xml:space="preserve">Preparing a Pull Request</w:t>
            </w:r>
          </w:p>
        </w:tc>
        <w:tc>
          <w:tcPr>
            <w:tcW w:type="dxa" w:w="3629"/>
            <w:tcMar>
              <w:top w:type="dxa" w:w="70"/>
              <w:left w:type="dxa" w:w="110"/>
              <w:bottom w:type="dxa" w:w="70"/>
              <w:right w:type="dxa" w:w="110"/>
            </w:tcMar>
            <w:vAlign w:val="top"/>
          </w:tcPr>
          <w:p>
            <w:r>
              <w:rPr>
                <w:b w:val="false"/>
                <w:bCs w:val="false"/>
                <w:color w:val="1A1A1A"/>
                <w:sz w:val="14"/>
                <w:szCs w:val="14"/>
              </w:rPr>
              <w:t xml:space="preserve">Handbook Chapter 18 (Code Review and PR Policy)</w:t>
            </w:r>
          </w:p>
        </w:tc>
        <w:tc>
          <w:tcPr>
            <w:tcW w:type="dxa" w:w="3427"/>
            <w:tcMar>
              <w:top w:type="dxa" w:w="70"/>
              <w:left w:type="dxa" w:w="110"/>
              <w:bottom w:type="dxa" w:w="70"/>
              <w:right w:type="dxa" w:w="110"/>
            </w:tcMar>
            <w:vAlign w:val="top"/>
          </w:tcPr>
          <w:p>
            <w:r>
              <w:rPr>
                <w:b w:val="false"/>
                <w:bCs w:val="false"/>
                <w:color w:val="1A1A1A"/>
                <w:sz w:val="14"/>
                <w:szCs w:val="14"/>
              </w:rPr>
              <w:t xml:space="preserve">Handbook Chapter 19 (DoR/DoD), Appendix F (Templates)</w:t>
            </w:r>
          </w:p>
        </w:tc>
      </w:tr>
      <w:tr>
        <w:tc>
          <w:tcPr>
            <w:tcW w:type="dxa" w:w="3024"/>
            <w:tcMar>
              <w:top w:type="dxa" w:w="70"/>
              <w:left w:type="dxa" w:w="110"/>
              <w:bottom w:type="dxa" w:w="70"/>
              <w:right w:type="dxa" w:w="110"/>
            </w:tcMar>
            <w:vAlign w:val="top"/>
          </w:tcPr>
          <w:p>
            <w:r>
              <w:rPr>
                <w:b/>
                <w:bCs/>
                <w:color w:val="1A1A1A"/>
                <w:sz w:val="14"/>
                <w:szCs w:val="14"/>
              </w:rPr>
              <w:t xml:space="preserve">Recording an architectural decision</w:t>
            </w:r>
          </w:p>
        </w:tc>
        <w:tc>
          <w:tcPr>
            <w:tcW w:type="dxa" w:w="3629"/>
            <w:tcMar>
              <w:top w:type="dxa" w:w="70"/>
              <w:left w:type="dxa" w:w="110"/>
              <w:bottom w:type="dxa" w:w="70"/>
              <w:right w:type="dxa" w:w="110"/>
            </w:tcMar>
            <w:vAlign w:val="top"/>
          </w:tcPr>
          <w:p>
            <w:r>
              <w:rPr>
                <w:b w:val="false"/>
                <w:bCs w:val="false"/>
                <w:color w:val="1A1A1A"/>
                <w:sz w:val="14"/>
                <w:szCs w:val="14"/>
              </w:rPr>
              <w:t xml:space="preserve">Handbook Chapter 22 (ADR Process)</w:t>
            </w:r>
          </w:p>
        </w:tc>
        <w:tc>
          <w:tcPr>
            <w:tcW w:type="dxa" w:w="3427"/>
            <w:tcMar>
              <w:top w:type="dxa" w:w="70"/>
              <w:left w:type="dxa" w:w="110"/>
              <w:bottom w:type="dxa" w:w="70"/>
              <w:right w:type="dxa" w:w="110"/>
            </w:tcMar>
            <w:vAlign w:val="top"/>
          </w:tcPr>
          <w:p>
            <w:r>
              <w:rPr>
                <w:b w:val="false"/>
                <w:bCs w:val="false"/>
                <w:color w:val="1A1A1A"/>
                <w:sz w:val="14"/>
                <w:szCs w:val="14"/>
              </w:rPr>
              <w:t xml:space="preserve">Appendix F (ADR Template), EA Blueprint 2.0 Section 15</w:t>
            </w:r>
          </w:p>
        </w:tc>
      </w:tr>
      <w:tr>
        <w:tc>
          <w:tcPr>
            <w:tcW w:type="dxa" w:w="3024"/>
            <w:tcMar>
              <w:top w:type="dxa" w:w="70"/>
              <w:left w:type="dxa" w:w="110"/>
              <w:bottom w:type="dxa" w:w="70"/>
              <w:right w:type="dxa" w:w="110"/>
            </w:tcMar>
            <w:vAlign w:val="top"/>
          </w:tcPr>
          <w:p>
            <w:r>
              <w:rPr>
                <w:b/>
                <w:bCs/>
                <w:color w:val="1A1A1A"/>
                <w:sz w:val="14"/>
                <w:szCs w:val="14"/>
              </w:rPr>
              <w:t xml:space="preserve">Planning a sprint</w:t>
            </w:r>
          </w:p>
        </w:tc>
        <w:tc>
          <w:tcPr>
            <w:tcW w:type="dxa" w:w="3629"/>
            <w:tcMar>
              <w:top w:type="dxa" w:w="70"/>
              <w:left w:type="dxa" w:w="110"/>
              <w:bottom w:type="dxa" w:w="70"/>
              <w:right w:type="dxa" w:w="110"/>
            </w:tcMar>
            <w:vAlign w:val="top"/>
          </w:tcPr>
          <w:p>
            <w:r>
              <w:rPr>
                <w:b w:val="false"/>
                <w:bCs w:val="false"/>
                <w:color w:val="1A1A1A"/>
                <w:sz w:val="14"/>
                <w:szCs w:val="14"/>
              </w:rPr>
              <w:t xml:space="preserve">Handbook Chapter 20 (Sprint Governance)</w:t>
            </w:r>
          </w:p>
        </w:tc>
        <w:tc>
          <w:tcPr>
            <w:tcW w:type="dxa" w:w="3427"/>
            <w:tcMar>
              <w:top w:type="dxa" w:w="70"/>
              <w:left w:type="dxa" w:w="110"/>
              <w:bottom w:type="dxa" w:w="70"/>
              <w:right w:type="dxa" w:w="110"/>
            </w:tcMar>
            <w:vAlign w:val="top"/>
          </w:tcPr>
          <w:p>
            <w:r>
              <w:rPr>
                <w:b w:val="false"/>
                <w:bCs w:val="false"/>
                <w:color w:val="1A1A1A"/>
                <w:sz w:val="14"/>
                <w:szCs w:val="14"/>
              </w:rPr>
              <w:t xml:space="preserve">MEKB Part 9 (Sprint Roadmap), PDIB Part 06 (Agile Delivery Framework)</w:t>
            </w:r>
          </w:p>
        </w:tc>
      </w:tr>
      <w:tr>
        <w:tc>
          <w:tcPr>
            <w:tcW w:type="dxa" w:w="3024"/>
            <w:tcMar>
              <w:top w:type="dxa" w:w="70"/>
              <w:left w:type="dxa" w:w="110"/>
              <w:bottom w:type="dxa" w:w="70"/>
              <w:right w:type="dxa" w:w="110"/>
            </w:tcMar>
            <w:vAlign w:val="top"/>
          </w:tcPr>
          <w:p>
            <w:r>
              <w:rPr>
                <w:b/>
                <w:bCs/>
                <w:color w:val="1A1A1A"/>
                <w:sz w:val="14"/>
                <w:szCs w:val="14"/>
              </w:rPr>
              <w:t xml:space="preserve">Assessing a risk or change</w:t>
            </w:r>
          </w:p>
        </w:tc>
        <w:tc>
          <w:tcPr>
            <w:tcW w:type="dxa" w:w="3629"/>
            <w:tcMar>
              <w:top w:type="dxa" w:w="70"/>
              <w:left w:type="dxa" w:w="110"/>
              <w:bottom w:type="dxa" w:w="70"/>
              <w:right w:type="dxa" w:w="110"/>
            </w:tcMar>
            <w:vAlign w:val="top"/>
          </w:tcPr>
          <w:p>
            <w:r>
              <w:rPr>
                <w:b w:val="false"/>
                <w:bCs w:val="false"/>
                <w:color w:val="1A1A1A"/>
                <w:sz w:val="14"/>
                <w:szCs w:val="14"/>
              </w:rPr>
              <w:t xml:space="preserve">Handbook Chapter 21 (Risk and Change Management)</w:t>
            </w:r>
          </w:p>
        </w:tc>
        <w:tc>
          <w:tcPr>
            <w:tcW w:type="dxa" w:w="3427"/>
            <w:tcMar>
              <w:top w:type="dxa" w:w="70"/>
              <w:left w:type="dxa" w:w="110"/>
              <w:bottom w:type="dxa" w:w="70"/>
              <w:right w:type="dxa" w:w="110"/>
            </w:tcMar>
            <w:vAlign w:val="top"/>
          </w:tcPr>
          <w:p>
            <w:r>
              <w:rPr>
                <w:b w:val="false"/>
                <w:bCs w:val="false"/>
                <w:color w:val="1A1A1A"/>
                <w:sz w:val="14"/>
                <w:szCs w:val="14"/>
              </w:rPr>
              <w:t xml:space="preserve">PDIB Part 09 (Risk Register), Part 11 (Change Management Strategy)</w:t>
            </w:r>
          </w:p>
        </w:tc>
      </w:tr>
      <w:tr>
        <w:tc>
          <w:tcPr>
            <w:tcW w:type="dxa" w:w="3024"/>
            <w:tcMar>
              <w:top w:type="dxa" w:w="70"/>
              <w:left w:type="dxa" w:w="110"/>
              <w:bottom w:type="dxa" w:w="70"/>
              <w:right w:type="dxa" w:w="110"/>
            </w:tcMar>
            <w:vAlign w:val="top"/>
          </w:tcPr>
          <w:p>
            <w:r>
              <w:rPr>
                <w:b/>
                <w:bCs/>
                <w:color w:val="1A1A1A"/>
                <w:sz w:val="14"/>
                <w:szCs w:val="14"/>
              </w:rPr>
              <w:t xml:space="preserve">Preparing for deployment</w:t>
            </w:r>
          </w:p>
        </w:tc>
        <w:tc>
          <w:tcPr>
            <w:tcW w:type="dxa" w:w="3629"/>
            <w:tcMar>
              <w:top w:type="dxa" w:w="70"/>
              <w:left w:type="dxa" w:w="110"/>
              <w:bottom w:type="dxa" w:w="70"/>
              <w:right w:type="dxa" w:w="110"/>
            </w:tcMar>
            <w:vAlign w:val="top"/>
          </w:tcPr>
          <w:p>
            <w:r>
              <w:rPr>
                <w:b w:val="false"/>
                <w:bCs w:val="false"/>
                <w:color w:val="1A1A1A"/>
                <w:sz w:val="14"/>
                <w:szCs w:val="14"/>
              </w:rPr>
              <w:t xml:space="preserve">PDIB Part 13 (Deployment Strategy)</w:t>
            </w:r>
          </w:p>
        </w:tc>
        <w:tc>
          <w:tcPr>
            <w:tcW w:type="dxa" w:w="3427"/>
            <w:tcMar>
              <w:top w:type="dxa" w:w="70"/>
              <w:left w:type="dxa" w:w="110"/>
              <w:bottom w:type="dxa" w:w="70"/>
              <w:right w:type="dxa" w:w="110"/>
            </w:tcMar>
            <w:vAlign w:val="top"/>
          </w:tcPr>
          <w:p>
            <w:r>
              <w:rPr>
                <w:b w:val="false"/>
                <w:bCs w:val="false"/>
                <w:color w:val="1A1A1A"/>
                <w:sz w:val="14"/>
                <w:szCs w:val="14"/>
              </w:rPr>
              <w:t xml:space="preserve">Handbook Chapter 15 (DevSecOps Standards), Appendix M (Environment &amp; Release Matrix)</w:t>
            </w:r>
          </w:p>
        </w:tc>
      </w:tr>
      <w:tr>
        <w:tc>
          <w:tcPr>
            <w:tcW w:type="dxa" w:w="3024"/>
            <w:tcMar>
              <w:top w:type="dxa" w:w="70"/>
              <w:left w:type="dxa" w:w="110"/>
              <w:bottom w:type="dxa" w:w="70"/>
              <w:right w:type="dxa" w:w="110"/>
            </w:tcMar>
            <w:vAlign w:val="top"/>
          </w:tcPr>
          <w:p>
            <w:r>
              <w:rPr>
                <w:b/>
                <w:bCs/>
                <w:color w:val="1A1A1A"/>
                <w:sz w:val="14"/>
                <w:szCs w:val="14"/>
              </w:rPr>
              <w:t xml:space="preserve">Preparing training materials</w:t>
            </w:r>
          </w:p>
        </w:tc>
        <w:tc>
          <w:tcPr>
            <w:tcW w:type="dxa" w:w="3629"/>
            <w:tcMar>
              <w:top w:type="dxa" w:w="70"/>
              <w:left w:type="dxa" w:w="110"/>
              <w:bottom w:type="dxa" w:w="70"/>
              <w:right w:type="dxa" w:w="110"/>
            </w:tcMar>
            <w:vAlign w:val="top"/>
          </w:tcPr>
          <w:p>
            <w:r>
              <w:rPr>
                <w:b w:val="false"/>
                <w:bCs w:val="false"/>
                <w:color w:val="1A1A1A"/>
                <w:sz w:val="14"/>
                <w:szCs w:val="14"/>
              </w:rPr>
              <w:t xml:space="preserve">PDIB Part 12 (Training &amp; Capacity Building Plan)</w:t>
            </w:r>
          </w:p>
        </w:tc>
        <w:tc>
          <w:tcPr>
            <w:tcW w:type="dxa" w:w="3427"/>
            <w:tcMar>
              <w:top w:type="dxa" w:w="70"/>
              <w:left w:type="dxa" w:w="110"/>
              <w:bottom w:type="dxa" w:w="70"/>
              <w:right w:type="dxa" w:w="110"/>
            </w:tcMar>
            <w:vAlign w:val="top"/>
          </w:tcPr>
          <w:p>
            <w:r>
              <w:rPr>
                <w:b w:val="false"/>
                <w:bCs w:val="false"/>
                <w:color w:val="1A1A1A"/>
                <w:sz w:val="14"/>
                <w:szCs w:val="14"/>
              </w:rPr>
              <w:t xml:space="preserve">SDS (relevant Part), Handbook Chapter 17 (Documentation Standards)</w:t>
            </w:r>
          </w:p>
        </w:tc>
      </w:tr>
      <w:tr>
        <w:tc>
          <w:tcPr>
            <w:tcW w:type="dxa" w:w="3024"/>
            <w:tcMar>
              <w:top w:type="dxa" w:w="70"/>
              <w:left w:type="dxa" w:w="110"/>
              <w:bottom w:type="dxa" w:w="70"/>
              <w:right w:type="dxa" w:w="110"/>
            </w:tcMar>
            <w:vAlign w:val="top"/>
          </w:tcPr>
          <w:p>
            <w:r>
              <w:rPr>
                <w:b/>
                <w:bCs/>
                <w:color w:val="1A1A1A"/>
                <w:sz w:val="14"/>
                <w:szCs w:val="14"/>
              </w:rPr>
              <w:t xml:space="preserve">Final go-live acceptance</w:t>
            </w:r>
          </w:p>
        </w:tc>
        <w:tc>
          <w:tcPr>
            <w:tcW w:type="dxa" w:w="3629"/>
            <w:tcMar>
              <w:top w:type="dxa" w:w="70"/>
              <w:left w:type="dxa" w:w="110"/>
              <w:bottom w:type="dxa" w:w="70"/>
              <w:right w:type="dxa" w:w="110"/>
            </w:tcMar>
            <w:vAlign w:val="top"/>
          </w:tcPr>
          <w:p>
            <w:r>
              <w:rPr>
                <w:b w:val="false"/>
                <w:bCs w:val="false"/>
                <w:color w:val="1A1A1A"/>
                <w:sz w:val="14"/>
                <w:szCs w:val="14"/>
              </w:rPr>
              <w:t xml:space="preserve">Handbook Chapter 24 (Final Engineering Acceptance Checklist)</w:t>
            </w:r>
          </w:p>
        </w:tc>
        <w:tc>
          <w:tcPr>
            <w:tcW w:type="dxa" w:w="3427"/>
            <w:tcMar>
              <w:top w:type="dxa" w:w="70"/>
              <w:left w:type="dxa" w:w="110"/>
              <w:bottom w:type="dxa" w:w="70"/>
              <w:right w:type="dxa" w:w="110"/>
            </w:tcMar>
            <w:vAlign w:val="top"/>
          </w:tcPr>
          <w:p>
            <w:r>
              <w:rPr>
                <w:b w:val="false"/>
                <w:bCs w:val="false"/>
                <w:color w:val="1A1A1A"/>
                <w:sz w:val="14"/>
                <w:szCs w:val="14"/>
              </w:rPr>
              <w:t xml:space="preserve">PDIB Part 20 (Delivery Readiness Review), Appendix O (Deliverables Register)</w:t>
            </w:r>
          </w:p>
        </w:tc>
      </w:tr>
    </w:tbl>
    <w:p>
      <w:pPr>
        <w:pStyle w:val="Heading1"/>
        <w:pBdr>
          <w:bottom w:val="single" w:color="DAD3C0" w:sz="4" w:space="4"/>
        </w:pBdr>
        <w:spacing w:after="140" w:before="360"/>
      </w:pPr>
      <w:r>
        <w:rPr>
          <w:b/>
          <w:bCs/>
          <w:color w:val="97771F"/>
          <w:sz w:val="26"/>
          <w:szCs w:val="26"/>
        </w:rPr>
        <w:t xml:space="preserve">1.6  </w:t>
      </w:r>
      <w:r>
        <w:rPr>
          <w:b/>
          <w:bCs/>
          <w:color w:val="33363C"/>
          <w:sz w:val="26"/>
          <w:szCs w:val="26"/>
        </w:rPr>
        <w:t xml:space="preserve">Document Authority and Precedence Order</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order of authority when two documents appear to conflict.</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Antigravity a deterministic rule for resolving ambiguity without escalating every minor inconsistency.</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Precedence follows the same Tier structure established in Section 1.4 — earlier tiers outrank later tiers.</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Consistent, predictable conflict resolution across the entire documentation ecosystem.</w:t>
            </w:r>
          </w:p>
        </w:tc>
      </w:tr>
    </w:tbl>
    <w:p>
      <w:pPr>
        <w:spacing w:after="160"/>
      </w:pPr>
    </w:p>
    <w:p>
      <w:pPr>
        <w:spacing w:after="150" w:line="276"/>
        <w:jc w:val="both"/>
      </w:pPr>
      <w:r>
        <w:t xml:space="preserve">Apparent conflicts between governing documents are rare, because each downstream document is derived from and reviewed against its upstream sources. Where a conflict is nonetheless identified, it shall be resolved using the following precedence order, from highest to lowest authority:</w:t>
      </w:r>
    </w:p>
    <w:p>
      <w:pPr>
        <w:spacing w:after="90" w:line="264"/>
      </w:pPr>
      <w:r>
        <w:rPr>
          <w:b/>
          <w:bCs/>
          <w:color w:val="33363C"/>
        </w:rPr>
        <w:t xml:space="preserve">1. </w:t>
      </w:r>
      <w:r>
        <w:t xml:space="preserve">The Procurement Intelligence Report / Terms of Reference (TOR) — the original mandate; never superseded.</w:t>
      </w:r>
    </w:p>
    <w:p>
      <w:pPr>
        <w:spacing w:after="90" w:line="264"/>
      </w:pPr>
      <w:r>
        <w:rPr>
          <w:b/>
          <w:bCs/>
          <w:color w:val="33363C"/>
        </w:rPr>
        <w:t xml:space="preserve">2. </w:t>
      </w:r>
      <w:r>
        <w:t xml:space="preserve">The Product Definition Document (PDD) and Business Requirements — the approved business scope.</w:t>
      </w:r>
    </w:p>
    <w:p>
      <w:pPr>
        <w:spacing w:after="90" w:line="264"/>
      </w:pPr>
      <w:r>
        <w:rPr>
          <w:b/>
          <w:bCs/>
          <w:color w:val="33363C"/>
        </w:rPr>
        <w:t xml:space="preserve">3. </w:t>
      </w:r>
      <w:r>
        <w:t xml:space="preserve">The Enterprise Solution Architecture (EA Blueprint / EA Blueprint 2.0) — the approved technical direction.</w:t>
      </w:r>
    </w:p>
    <w:p>
      <w:pPr>
        <w:spacing w:after="90" w:line="264"/>
      </w:pPr>
      <w:r>
        <w:rPr>
          <w:b/>
          <w:bCs/>
          <w:color w:val="33363C"/>
        </w:rPr>
        <w:t xml:space="preserve">4. </w:t>
      </w:r>
      <w:r>
        <w:t xml:space="preserve">The Software Requirements Specification (SRS) — the detailed, screen-by-screen functional and non-functional baseline.</w:t>
      </w:r>
    </w:p>
    <w:p>
      <w:pPr>
        <w:spacing w:after="90" w:line="264"/>
      </w:pPr>
      <w:r>
        <w:rPr>
          <w:b/>
          <w:bCs/>
          <w:color w:val="33363C"/>
        </w:rPr>
        <w:t xml:space="preserve">5. </w:t>
      </w:r>
      <w:r>
        <w:t xml:space="preserve">The Database Design (DDS), API &amp; Integration Specification (AIDS), and Test Strategy (TSAS) — the detailed engineering designs.</w:t>
      </w:r>
    </w:p>
    <w:p>
      <w:pPr>
        <w:spacing w:after="90" w:line="264"/>
      </w:pPr>
      <w:r>
        <w:rPr>
          <w:b/>
          <w:bCs/>
          <w:color w:val="33363C"/>
        </w:rPr>
        <w:t xml:space="preserve">6. </w:t>
      </w:r>
      <w:r>
        <w:t xml:space="preserve">The Engineering Handbook (Volume I) and Reference Manual (Volume II) — engineering standards and conventions, which govern how work is done but never what is built.</w:t>
      </w:r>
    </w:p>
    <w:p>
      <w:pPr>
        <w:spacing w:after="90" w:line="264"/>
      </w:pPr>
      <w:r>
        <w:rPr>
          <w:b/>
          <w:bCs/>
          <w:color w:val="33363C"/>
        </w:rPr>
        <w:t xml:space="preserve">7. </w:t>
      </w:r>
      <w:r>
        <w:t xml:space="preserve">The Implementation &amp; Delivery Plan (PDIB) and Solution Demonstration Script (SDS) — delivery sequencing and presentation, which govern when and how work is shown but never what is built.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F0DD" w:sz="2"/>
              <w:left w:val="single" w:color="B8860B" w:sz="24"/>
              <w:bottom w:val="single" w:color="FBF0DD" w:sz="2"/>
              <w:right w:val="single" w:color="FBF0DD" w:sz="2"/>
            </w:tcBorders>
            <w:shd w:fill="FBF0DD" w:val="clear"/>
            <w:tcMar>
              <w:top w:type="dxa" w:w="120"/>
              <w:left w:type="dxa" w:w="180"/>
              <w:bottom w:type="dxa" w:w="120"/>
              <w:right w:type="dxa" w:w="180"/>
            </w:tcMar>
          </w:tcPr>
          <w:p>
            <w:pPr>
              <w:spacing w:after="60"/>
            </w:pPr>
            <w:r>
              <w:rPr>
                <w:b/>
                <w:bCs/>
                <w:color w:val="B8860B"/>
                <w:sz w:val="17"/>
                <w:szCs w:val="17"/>
              </w:rPr>
              <w:t xml:space="preserve">WARNING</w:t>
            </w:r>
          </w:p>
          <w:p>
            <w:pPr>
              <w:spacing w:after="0"/>
            </w:pPr>
            <w:r>
              <w:rPr>
                <w:sz w:val="18"/>
                <w:szCs w:val="18"/>
              </w:rPr>
              <w:t xml:space="preserve">A downstream document (Tier 3 or 4) shall never be used to justify a deviation from an upstream document (Tier 0–2). Any such apparent justification indicates either a documentation defect requiring a Change Request, or a misreading of the downstream document — not a valid basis for implementation.</w:t>
            </w:r>
          </w:p>
        </w:tc>
      </w:tr>
    </w:tbl>
    <w:p>
      <w:pPr>
        <w:pStyle w:val="Heading1"/>
        <w:pBdr>
          <w:bottom w:val="single" w:color="DAD3C0" w:sz="4" w:space="4"/>
        </w:pBdr>
        <w:spacing w:after="140" w:before="360"/>
      </w:pPr>
      <w:r>
        <w:rPr>
          <w:b/>
          <w:bCs/>
          <w:color w:val="97771F"/>
          <w:sz w:val="26"/>
          <w:szCs w:val="26"/>
        </w:rPr>
        <w:t xml:space="preserve">1.7  </w:t>
      </w:r>
      <w:r>
        <w:rPr>
          <w:b/>
          <w:bCs/>
          <w:color w:val="33363C"/>
          <w:sz w:val="26"/>
          <w:szCs w:val="26"/>
        </w:rPr>
        <w:t xml:space="preserve">Traceability Identifier Scheme</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identifier conventions used consistently across the entire documentation ecosystem.</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automated, unambiguous cross-referencing between any two artifacts in the programme.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Adopted directly from Appendix J's Enterprise Traceability Matrix column definitions.</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artifact — requirement, story, test, decision, risk — addressable by a single, unique identifier.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822"/>
        <w:gridCol w:w="2218"/>
        <w:gridCol w:w="302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Prefix</w:t>
            </w:r>
          </w:p>
        </w:tc>
        <w:tc>
          <w:tcPr>
            <w:tcW w:type="dxa" w:w="2822"/>
            <w:shd w:fill="33363C" w:val="clear"/>
            <w:tcMar>
              <w:top w:type="dxa" w:w="70"/>
              <w:left w:type="dxa" w:w="110"/>
              <w:bottom w:type="dxa" w:w="70"/>
              <w:right w:type="dxa" w:w="110"/>
            </w:tcMar>
            <w:vAlign w:val="top"/>
          </w:tcPr>
          <w:p>
            <w:r>
              <w:rPr>
                <w:b/>
                <w:bCs/>
                <w:color w:val="FFFFFF"/>
                <w:sz w:val="17"/>
                <w:szCs w:val="17"/>
              </w:rPr>
              <w:t xml:space="preserve">Artifact Type</w:t>
            </w:r>
          </w:p>
        </w:tc>
        <w:tc>
          <w:tcPr>
            <w:tcW w:type="dxa" w:w="2218"/>
            <w:shd w:fill="33363C" w:val="clear"/>
            <w:tcMar>
              <w:top w:type="dxa" w:w="70"/>
              <w:left w:type="dxa" w:w="110"/>
              <w:bottom w:type="dxa" w:w="70"/>
              <w:right w:type="dxa" w:w="110"/>
            </w:tcMar>
            <w:vAlign w:val="top"/>
          </w:tcPr>
          <w:p>
            <w:r>
              <w:rPr>
                <w:b/>
                <w:bCs/>
                <w:color w:val="FFFFFF"/>
                <w:sz w:val="17"/>
                <w:szCs w:val="17"/>
              </w:rPr>
              <w:t xml:space="preserve">Example</w:t>
            </w:r>
          </w:p>
        </w:tc>
        <w:tc>
          <w:tcPr>
            <w:tcW w:type="dxa" w:w="3024"/>
            <w:shd w:fill="33363C" w:val="clear"/>
            <w:tcMar>
              <w:top w:type="dxa" w:w="70"/>
              <w:left w:type="dxa" w:w="110"/>
              <w:bottom w:type="dxa" w:w="70"/>
              <w:right w:type="dxa" w:w="110"/>
            </w:tcMar>
            <w:vAlign w:val="top"/>
          </w:tcPr>
          <w:p>
            <w:r>
              <w:rPr>
                <w:b/>
                <w:bCs/>
                <w:color w:val="FFFFFF"/>
                <w:sz w:val="17"/>
                <w:szCs w:val="17"/>
              </w:rPr>
              <w:t xml:space="preserve">Owning Document</w:t>
            </w:r>
          </w:p>
        </w:tc>
      </w:tr>
      <w:tr>
        <w:tc>
          <w:tcPr>
            <w:tcW w:type="dxa" w:w="2016"/>
            <w:tcMar>
              <w:top w:type="dxa" w:w="70"/>
              <w:left w:type="dxa" w:w="110"/>
              <w:bottom w:type="dxa" w:w="70"/>
              <w:right w:type="dxa" w:w="110"/>
            </w:tcMar>
            <w:vAlign w:val="top"/>
          </w:tcPr>
          <w:p>
            <w:r>
              <w:rPr>
                <w:b/>
                <w:bCs/>
                <w:color w:val="1A1A1A"/>
                <w:sz w:val="15"/>
                <w:szCs w:val="15"/>
              </w:rPr>
              <w:t xml:space="preserve">BR-</w:t>
            </w:r>
          </w:p>
        </w:tc>
        <w:tc>
          <w:tcPr>
            <w:tcW w:type="dxa" w:w="2822"/>
            <w:tcMar>
              <w:top w:type="dxa" w:w="70"/>
              <w:left w:type="dxa" w:w="110"/>
              <w:bottom w:type="dxa" w:w="70"/>
              <w:right w:type="dxa" w:w="110"/>
            </w:tcMar>
            <w:vAlign w:val="top"/>
          </w:tcPr>
          <w:p>
            <w:r>
              <w:rPr>
                <w:b w:val="false"/>
                <w:bCs w:val="false"/>
                <w:color w:val="1A1A1A"/>
                <w:sz w:val="15"/>
                <w:szCs w:val="15"/>
              </w:rPr>
              <w:t xml:space="preserve">Business Requirement</w:t>
            </w:r>
          </w:p>
        </w:tc>
        <w:tc>
          <w:tcPr>
            <w:tcW w:type="dxa" w:w="2218"/>
            <w:tcMar>
              <w:top w:type="dxa" w:w="70"/>
              <w:left w:type="dxa" w:w="110"/>
              <w:bottom w:type="dxa" w:w="70"/>
              <w:right w:type="dxa" w:w="110"/>
            </w:tcMar>
            <w:vAlign w:val="top"/>
          </w:tcPr>
          <w:p>
            <w:r>
              <w:rPr>
                <w:b w:val="false"/>
                <w:bCs w:val="false"/>
                <w:color w:val="1A1A1A"/>
                <w:sz w:val="15"/>
                <w:szCs w:val="15"/>
              </w:rPr>
              <w:t xml:space="preserve">BR-001</w:t>
            </w:r>
          </w:p>
        </w:tc>
        <w:tc>
          <w:tcPr>
            <w:tcW w:type="dxa" w:w="3024"/>
            <w:tcMar>
              <w:top w:type="dxa" w:w="70"/>
              <w:left w:type="dxa" w:w="110"/>
              <w:bottom w:type="dxa" w:w="70"/>
              <w:right w:type="dxa" w:w="110"/>
            </w:tcMar>
            <w:vAlign w:val="top"/>
          </w:tcPr>
          <w:p>
            <w:r>
              <w:rPr>
                <w:b w:val="false"/>
                <w:bCs w:val="false"/>
                <w:color w:val="1A1A1A"/>
                <w:sz w:val="15"/>
                <w:szCs w:val="15"/>
              </w:rPr>
              <w:t xml:space="preserve">BRD / PDD</w:t>
            </w:r>
          </w:p>
        </w:tc>
      </w:tr>
      <w:tr>
        <w:tc>
          <w:tcPr>
            <w:tcW w:type="dxa" w:w="2016"/>
            <w:tcMar>
              <w:top w:type="dxa" w:w="70"/>
              <w:left w:type="dxa" w:w="110"/>
              <w:bottom w:type="dxa" w:w="70"/>
              <w:right w:type="dxa" w:w="110"/>
            </w:tcMar>
            <w:vAlign w:val="top"/>
          </w:tcPr>
          <w:p>
            <w:r>
              <w:rPr>
                <w:b/>
                <w:bCs/>
                <w:color w:val="1A1A1A"/>
                <w:sz w:val="15"/>
                <w:szCs w:val="15"/>
              </w:rPr>
              <w:t xml:space="preserve">FR-</w:t>
            </w:r>
          </w:p>
        </w:tc>
        <w:tc>
          <w:tcPr>
            <w:tcW w:type="dxa" w:w="2822"/>
            <w:tcMar>
              <w:top w:type="dxa" w:w="70"/>
              <w:left w:type="dxa" w:w="110"/>
              <w:bottom w:type="dxa" w:w="70"/>
              <w:right w:type="dxa" w:w="110"/>
            </w:tcMar>
            <w:vAlign w:val="top"/>
          </w:tcPr>
          <w:p>
            <w:r>
              <w:rPr>
                <w:b w:val="false"/>
                <w:bCs w:val="false"/>
                <w:color w:val="1A1A1A"/>
                <w:sz w:val="15"/>
                <w:szCs w:val="15"/>
              </w:rPr>
              <w:t xml:space="preserve">Functional Requirement</w:t>
            </w:r>
          </w:p>
        </w:tc>
        <w:tc>
          <w:tcPr>
            <w:tcW w:type="dxa" w:w="2218"/>
            <w:tcMar>
              <w:top w:type="dxa" w:w="70"/>
              <w:left w:type="dxa" w:w="110"/>
              <w:bottom w:type="dxa" w:w="70"/>
              <w:right w:type="dxa" w:w="110"/>
            </w:tcMar>
            <w:vAlign w:val="top"/>
          </w:tcPr>
          <w:p>
            <w:r>
              <w:rPr>
                <w:b w:val="false"/>
                <w:bCs w:val="false"/>
                <w:color w:val="1A1A1A"/>
                <w:sz w:val="15"/>
                <w:szCs w:val="15"/>
              </w:rPr>
              <w:t xml:space="preserve">FR-014</w:t>
            </w:r>
          </w:p>
        </w:tc>
        <w:tc>
          <w:tcPr>
            <w:tcW w:type="dxa" w:w="3024"/>
            <w:tcMar>
              <w:top w:type="dxa" w:w="70"/>
              <w:left w:type="dxa" w:w="110"/>
              <w:bottom w:type="dxa" w:w="70"/>
              <w:right w:type="dxa" w:w="110"/>
            </w:tcMar>
            <w:vAlign w:val="top"/>
          </w:tcPr>
          <w:p>
            <w:r>
              <w:rPr>
                <w:b w:val="false"/>
                <w:bCs w:val="false"/>
                <w:color w:val="1A1A1A"/>
                <w:sz w:val="15"/>
                <w:szCs w:val="15"/>
              </w:rPr>
              <w:t xml:space="preserve">SRS (relevant Part)</w:t>
            </w:r>
          </w:p>
        </w:tc>
      </w:tr>
      <w:tr>
        <w:tc>
          <w:tcPr>
            <w:tcW w:type="dxa" w:w="2016"/>
            <w:tcMar>
              <w:top w:type="dxa" w:w="70"/>
              <w:left w:type="dxa" w:w="110"/>
              <w:bottom w:type="dxa" w:w="70"/>
              <w:right w:type="dxa" w:w="110"/>
            </w:tcMar>
            <w:vAlign w:val="top"/>
          </w:tcPr>
          <w:p>
            <w:r>
              <w:rPr>
                <w:b/>
                <w:bCs/>
                <w:color w:val="1A1A1A"/>
                <w:sz w:val="15"/>
                <w:szCs w:val="15"/>
              </w:rPr>
              <w:t xml:space="preserve">NFR-</w:t>
            </w:r>
          </w:p>
        </w:tc>
        <w:tc>
          <w:tcPr>
            <w:tcW w:type="dxa" w:w="2822"/>
            <w:tcMar>
              <w:top w:type="dxa" w:w="70"/>
              <w:left w:type="dxa" w:w="110"/>
              <w:bottom w:type="dxa" w:w="70"/>
              <w:right w:type="dxa" w:w="110"/>
            </w:tcMar>
            <w:vAlign w:val="top"/>
          </w:tcPr>
          <w:p>
            <w:r>
              <w:rPr>
                <w:b w:val="false"/>
                <w:bCs w:val="false"/>
                <w:color w:val="1A1A1A"/>
                <w:sz w:val="15"/>
                <w:szCs w:val="15"/>
              </w:rPr>
              <w:t xml:space="preserve">Non-Functional Requirement</w:t>
            </w:r>
          </w:p>
        </w:tc>
        <w:tc>
          <w:tcPr>
            <w:tcW w:type="dxa" w:w="2218"/>
            <w:tcMar>
              <w:top w:type="dxa" w:w="70"/>
              <w:left w:type="dxa" w:w="110"/>
              <w:bottom w:type="dxa" w:w="70"/>
              <w:right w:type="dxa" w:w="110"/>
            </w:tcMar>
            <w:vAlign w:val="top"/>
          </w:tcPr>
          <w:p>
            <w:r>
              <w:rPr>
                <w:b w:val="false"/>
                <w:bCs w:val="false"/>
                <w:color w:val="1A1A1A"/>
                <w:sz w:val="15"/>
                <w:szCs w:val="15"/>
              </w:rPr>
              <w:t xml:space="preserve">NFR-007</w:t>
            </w:r>
          </w:p>
        </w:tc>
        <w:tc>
          <w:tcPr>
            <w:tcW w:type="dxa" w:w="3024"/>
            <w:tcMar>
              <w:top w:type="dxa" w:w="70"/>
              <w:left w:type="dxa" w:w="110"/>
              <w:bottom w:type="dxa" w:w="70"/>
              <w:right w:type="dxa" w:w="110"/>
            </w:tcMar>
            <w:vAlign w:val="top"/>
          </w:tcPr>
          <w:p>
            <w:r>
              <w:rPr>
                <w:b w:val="false"/>
                <w:bCs w:val="false"/>
                <w:color w:val="1A1A1A"/>
                <w:sz w:val="15"/>
                <w:szCs w:val="15"/>
              </w:rPr>
              <w:t xml:space="preserve">SRS Parts 28–35</w:t>
            </w:r>
          </w:p>
        </w:tc>
      </w:tr>
      <w:tr>
        <w:tc>
          <w:tcPr>
            <w:tcW w:type="dxa" w:w="2016"/>
            <w:tcMar>
              <w:top w:type="dxa" w:w="70"/>
              <w:left w:type="dxa" w:w="110"/>
              <w:bottom w:type="dxa" w:w="70"/>
              <w:right w:type="dxa" w:w="110"/>
            </w:tcMar>
            <w:vAlign w:val="top"/>
          </w:tcPr>
          <w:p>
            <w:r>
              <w:rPr>
                <w:b/>
                <w:bCs/>
                <w:color w:val="1A1A1A"/>
                <w:sz w:val="15"/>
                <w:szCs w:val="15"/>
              </w:rPr>
              <w:t xml:space="preserve">US-</w:t>
            </w:r>
          </w:p>
        </w:tc>
        <w:tc>
          <w:tcPr>
            <w:tcW w:type="dxa" w:w="2822"/>
            <w:tcMar>
              <w:top w:type="dxa" w:w="70"/>
              <w:left w:type="dxa" w:w="110"/>
              <w:bottom w:type="dxa" w:w="70"/>
              <w:right w:type="dxa" w:w="110"/>
            </w:tcMar>
            <w:vAlign w:val="top"/>
          </w:tcPr>
          <w:p>
            <w:r>
              <w:rPr>
                <w:b w:val="false"/>
                <w:bCs w:val="false"/>
                <w:color w:val="1A1A1A"/>
                <w:sz w:val="15"/>
                <w:szCs w:val="15"/>
              </w:rPr>
              <w:t xml:space="preserve">User Story</w:t>
            </w:r>
          </w:p>
        </w:tc>
        <w:tc>
          <w:tcPr>
            <w:tcW w:type="dxa" w:w="2218"/>
            <w:tcMar>
              <w:top w:type="dxa" w:w="70"/>
              <w:left w:type="dxa" w:w="110"/>
              <w:bottom w:type="dxa" w:w="70"/>
              <w:right w:type="dxa" w:w="110"/>
            </w:tcMar>
            <w:vAlign w:val="top"/>
          </w:tcPr>
          <w:p>
            <w:r>
              <w:rPr>
                <w:b w:val="false"/>
                <w:bCs w:val="false"/>
                <w:color w:val="1A1A1A"/>
                <w:sz w:val="15"/>
                <w:szCs w:val="15"/>
              </w:rPr>
              <w:t xml:space="preserve">US-023</w:t>
            </w:r>
          </w:p>
        </w:tc>
        <w:tc>
          <w:tcPr>
            <w:tcW w:type="dxa" w:w="3024"/>
            <w:tcMar>
              <w:top w:type="dxa" w:w="70"/>
              <w:left w:type="dxa" w:w="110"/>
              <w:bottom w:type="dxa" w:w="70"/>
              <w:right w:type="dxa" w:w="110"/>
            </w:tcMar>
            <w:vAlign w:val="top"/>
          </w:tcPr>
          <w:p>
            <w:r>
              <w:rPr>
                <w:b w:val="false"/>
                <w:bCs w:val="false"/>
                <w:color w:val="1A1A1A"/>
                <w:sz w:val="15"/>
                <w:szCs w:val="15"/>
              </w:rPr>
              <w:t xml:space="preserve">Master Product Backlog (MEKB Part 7)</w:t>
            </w:r>
          </w:p>
        </w:tc>
      </w:tr>
      <w:tr>
        <w:tc>
          <w:tcPr>
            <w:tcW w:type="dxa" w:w="2016"/>
            <w:tcMar>
              <w:top w:type="dxa" w:w="70"/>
              <w:left w:type="dxa" w:w="110"/>
              <w:bottom w:type="dxa" w:w="70"/>
              <w:right w:type="dxa" w:w="110"/>
            </w:tcMar>
            <w:vAlign w:val="top"/>
          </w:tcPr>
          <w:p>
            <w:r>
              <w:rPr>
                <w:b/>
                <w:bCs/>
                <w:color w:val="1A1A1A"/>
                <w:sz w:val="15"/>
                <w:szCs w:val="15"/>
              </w:rPr>
              <w:t xml:space="preserve">WP-</w:t>
            </w:r>
          </w:p>
        </w:tc>
        <w:tc>
          <w:tcPr>
            <w:tcW w:type="dxa" w:w="2822"/>
            <w:tcMar>
              <w:top w:type="dxa" w:w="70"/>
              <w:left w:type="dxa" w:w="110"/>
              <w:bottom w:type="dxa" w:w="70"/>
              <w:right w:type="dxa" w:w="110"/>
            </w:tcMar>
            <w:vAlign w:val="top"/>
          </w:tcPr>
          <w:p>
            <w:r>
              <w:rPr>
                <w:b w:val="false"/>
                <w:bCs w:val="false"/>
                <w:color w:val="1A1A1A"/>
                <w:sz w:val="15"/>
                <w:szCs w:val="15"/>
              </w:rPr>
              <w:t xml:space="preserve">Engineering Work Package</w:t>
            </w:r>
          </w:p>
        </w:tc>
        <w:tc>
          <w:tcPr>
            <w:tcW w:type="dxa" w:w="2218"/>
            <w:tcMar>
              <w:top w:type="dxa" w:w="70"/>
              <w:left w:type="dxa" w:w="110"/>
              <w:bottom w:type="dxa" w:w="70"/>
              <w:right w:type="dxa" w:w="110"/>
            </w:tcMar>
            <w:vAlign w:val="top"/>
          </w:tcPr>
          <w:p>
            <w:r>
              <w:rPr>
                <w:b w:val="false"/>
                <w:bCs w:val="false"/>
                <w:color w:val="1A1A1A"/>
                <w:sz w:val="15"/>
                <w:szCs w:val="15"/>
              </w:rPr>
              <w:t xml:space="preserve">WP-06</w:t>
            </w:r>
          </w:p>
        </w:tc>
        <w:tc>
          <w:tcPr>
            <w:tcW w:type="dxa" w:w="3024"/>
            <w:tcMar>
              <w:top w:type="dxa" w:w="70"/>
              <w:left w:type="dxa" w:w="110"/>
              <w:bottom w:type="dxa" w:w="70"/>
              <w:right w:type="dxa" w:w="110"/>
            </w:tcMar>
            <w:vAlign w:val="top"/>
          </w:tcPr>
          <w:p>
            <w:r>
              <w:rPr>
                <w:b w:val="false"/>
                <w:bCs w:val="false"/>
                <w:color w:val="1A1A1A"/>
                <w:sz w:val="15"/>
                <w:szCs w:val="15"/>
              </w:rPr>
              <w:t xml:space="preserve">MEKB Parts 5–8</w:t>
            </w:r>
          </w:p>
        </w:tc>
      </w:tr>
      <w:tr>
        <w:tc>
          <w:tcPr>
            <w:tcW w:type="dxa" w:w="2016"/>
            <w:tcMar>
              <w:top w:type="dxa" w:w="70"/>
              <w:left w:type="dxa" w:w="110"/>
              <w:bottom w:type="dxa" w:w="70"/>
              <w:right w:type="dxa" w:w="110"/>
            </w:tcMar>
            <w:vAlign w:val="top"/>
          </w:tcPr>
          <w:p>
            <w:r>
              <w:rPr>
                <w:b/>
                <w:bCs/>
                <w:color w:val="1A1A1A"/>
                <w:sz w:val="15"/>
                <w:szCs w:val="15"/>
              </w:rPr>
              <w:t xml:space="preserve">EP-</w:t>
            </w:r>
          </w:p>
        </w:tc>
        <w:tc>
          <w:tcPr>
            <w:tcW w:type="dxa" w:w="2822"/>
            <w:tcMar>
              <w:top w:type="dxa" w:w="70"/>
              <w:left w:type="dxa" w:w="110"/>
              <w:bottom w:type="dxa" w:w="70"/>
              <w:right w:type="dxa" w:w="110"/>
            </w:tcMar>
            <w:vAlign w:val="top"/>
          </w:tcPr>
          <w:p>
            <w:r>
              <w:rPr>
                <w:b w:val="false"/>
                <w:bCs w:val="false"/>
                <w:color w:val="1A1A1A"/>
                <w:sz w:val="15"/>
                <w:szCs w:val="15"/>
              </w:rPr>
              <w:t xml:space="preserve">Epic</w:t>
            </w:r>
          </w:p>
        </w:tc>
        <w:tc>
          <w:tcPr>
            <w:tcW w:type="dxa" w:w="2218"/>
            <w:tcMar>
              <w:top w:type="dxa" w:w="70"/>
              <w:left w:type="dxa" w:w="110"/>
              <w:bottom w:type="dxa" w:w="70"/>
              <w:right w:type="dxa" w:w="110"/>
            </w:tcMar>
            <w:vAlign w:val="top"/>
          </w:tcPr>
          <w:p>
            <w:r>
              <w:rPr>
                <w:b w:val="false"/>
                <w:bCs w:val="false"/>
                <w:color w:val="1A1A1A"/>
                <w:sz w:val="15"/>
                <w:szCs w:val="15"/>
              </w:rPr>
              <w:t xml:space="preserve">EP-03</w:t>
            </w:r>
          </w:p>
        </w:tc>
        <w:tc>
          <w:tcPr>
            <w:tcW w:type="dxa" w:w="3024"/>
            <w:tcMar>
              <w:top w:type="dxa" w:w="70"/>
              <w:left w:type="dxa" w:w="110"/>
              <w:bottom w:type="dxa" w:w="70"/>
              <w:right w:type="dxa" w:w="110"/>
            </w:tcMar>
            <w:vAlign w:val="top"/>
          </w:tcPr>
          <w:p>
            <w:r>
              <w:rPr>
                <w:b w:val="false"/>
                <w:bCs w:val="false"/>
                <w:color w:val="1A1A1A"/>
                <w:sz w:val="15"/>
                <w:szCs w:val="15"/>
              </w:rPr>
              <w:t xml:space="preserve">Master Product Backlog (MEKB Part 7)</w:t>
            </w:r>
          </w:p>
        </w:tc>
      </w:tr>
      <w:tr>
        <w:tc>
          <w:tcPr>
            <w:tcW w:type="dxa" w:w="2016"/>
            <w:tcMar>
              <w:top w:type="dxa" w:w="70"/>
              <w:left w:type="dxa" w:w="110"/>
              <w:bottom w:type="dxa" w:w="70"/>
              <w:right w:type="dxa" w:w="110"/>
            </w:tcMar>
            <w:vAlign w:val="top"/>
          </w:tcPr>
          <w:p>
            <w:r>
              <w:rPr>
                <w:b/>
                <w:bCs/>
                <w:color w:val="1A1A1A"/>
                <w:sz w:val="15"/>
                <w:szCs w:val="15"/>
              </w:rPr>
              <w:t xml:space="preserve">ADR-</w:t>
            </w:r>
          </w:p>
        </w:tc>
        <w:tc>
          <w:tcPr>
            <w:tcW w:type="dxa" w:w="2822"/>
            <w:tcMar>
              <w:top w:type="dxa" w:w="70"/>
              <w:left w:type="dxa" w:w="110"/>
              <w:bottom w:type="dxa" w:w="70"/>
              <w:right w:type="dxa" w:w="110"/>
            </w:tcMar>
            <w:vAlign w:val="top"/>
          </w:tcPr>
          <w:p>
            <w:r>
              <w:rPr>
                <w:b w:val="false"/>
                <w:bCs w:val="false"/>
                <w:color w:val="1A1A1A"/>
                <w:sz w:val="15"/>
                <w:szCs w:val="15"/>
              </w:rPr>
              <w:t xml:space="preserve">Architecture Decision Record</w:t>
            </w:r>
          </w:p>
        </w:tc>
        <w:tc>
          <w:tcPr>
            <w:tcW w:type="dxa" w:w="2218"/>
            <w:tcMar>
              <w:top w:type="dxa" w:w="70"/>
              <w:left w:type="dxa" w:w="110"/>
              <w:bottom w:type="dxa" w:w="70"/>
              <w:right w:type="dxa" w:w="110"/>
            </w:tcMar>
            <w:vAlign w:val="top"/>
          </w:tcPr>
          <w:p>
            <w:r>
              <w:rPr>
                <w:b w:val="false"/>
                <w:bCs w:val="false"/>
                <w:color w:val="1A1A1A"/>
                <w:sz w:val="15"/>
                <w:szCs w:val="15"/>
              </w:rPr>
              <w:t xml:space="preserve">ADR-0007</w:t>
            </w:r>
          </w:p>
        </w:tc>
        <w:tc>
          <w:tcPr>
            <w:tcW w:type="dxa" w:w="3024"/>
            <w:tcMar>
              <w:top w:type="dxa" w:w="70"/>
              <w:left w:type="dxa" w:w="110"/>
              <w:bottom w:type="dxa" w:w="70"/>
              <w:right w:type="dxa" w:w="110"/>
            </w:tcMar>
            <w:vAlign w:val="top"/>
          </w:tcPr>
          <w:p>
            <w:r>
              <w:rPr>
                <w:b w:val="false"/>
                <w:bCs w:val="false"/>
                <w:color w:val="1A1A1A"/>
                <w:sz w:val="15"/>
                <w:szCs w:val="15"/>
              </w:rPr>
              <w:t xml:space="preserve">Handbook Chapter 22</w:t>
            </w:r>
          </w:p>
        </w:tc>
      </w:tr>
      <w:tr>
        <w:tc>
          <w:tcPr>
            <w:tcW w:type="dxa" w:w="2016"/>
            <w:tcMar>
              <w:top w:type="dxa" w:w="70"/>
              <w:left w:type="dxa" w:w="110"/>
              <w:bottom w:type="dxa" w:w="70"/>
              <w:right w:type="dxa" w:w="110"/>
            </w:tcMar>
            <w:vAlign w:val="top"/>
          </w:tcPr>
          <w:p>
            <w:r>
              <w:rPr>
                <w:b/>
                <w:bCs/>
                <w:color w:val="1A1A1A"/>
                <w:sz w:val="15"/>
                <w:szCs w:val="15"/>
              </w:rPr>
              <w:t xml:space="preserve">UT- / IT- / ST- / PT-</w:t>
            </w:r>
          </w:p>
        </w:tc>
        <w:tc>
          <w:tcPr>
            <w:tcW w:type="dxa" w:w="2822"/>
            <w:tcMar>
              <w:top w:type="dxa" w:w="70"/>
              <w:left w:type="dxa" w:w="110"/>
              <w:bottom w:type="dxa" w:w="70"/>
              <w:right w:type="dxa" w:w="110"/>
            </w:tcMar>
            <w:vAlign w:val="top"/>
          </w:tcPr>
          <w:p>
            <w:r>
              <w:rPr>
                <w:b w:val="false"/>
                <w:bCs w:val="false"/>
                <w:color w:val="1A1A1A"/>
                <w:sz w:val="15"/>
                <w:szCs w:val="15"/>
              </w:rPr>
              <w:t xml:space="preserve">Unit / Integration / Security / Performance Test</w:t>
            </w:r>
          </w:p>
        </w:tc>
        <w:tc>
          <w:tcPr>
            <w:tcW w:type="dxa" w:w="2218"/>
            <w:tcMar>
              <w:top w:type="dxa" w:w="70"/>
              <w:left w:type="dxa" w:w="110"/>
              <w:bottom w:type="dxa" w:w="70"/>
              <w:right w:type="dxa" w:w="110"/>
            </w:tcMar>
            <w:vAlign w:val="top"/>
          </w:tcPr>
          <w:p>
            <w:r>
              <w:rPr>
                <w:b w:val="false"/>
                <w:bCs w:val="false"/>
                <w:color w:val="1A1A1A"/>
                <w:sz w:val="15"/>
                <w:szCs w:val="15"/>
              </w:rPr>
              <w:t xml:space="preserve">IT-018</w:t>
            </w:r>
          </w:p>
        </w:tc>
        <w:tc>
          <w:tcPr>
            <w:tcW w:type="dxa" w:w="3024"/>
            <w:tcMar>
              <w:top w:type="dxa" w:w="70"/>
              <w:left w:type="dxa" w:w="110"/>
              <w:bottom w:type="dxa" w:w="70"/>
              <w:right w:type="dxa" w:w="110"/>
            </w:tcMar>
            <w:vAlign w:val="top"/>
          </w:tcPr>
          <w:p>
            <w:r>
              <w:rPr>
                <w:b w:val="false"/>
                <w:bCs w:val="false"/>
                <w:color w:val="1A1A1A"/>
                <w:sz w:val="15"/>
                <w:szCs w:val="15"/>
              </w:rPr>
              <w:t xml:space="preserve">TSAS</w:t>
            </w:r>
          </w:p>
        </w:tc>
      </w:tr>
      <w:tr>
        <w:tc>
          <w:tcPr>
            <w:tcW w:type="dxa" w:w="2016"/>
            <w:tcMar>
              <w:top w:type="dxa" w:w="70"/>
              <w:left w:type="dxa" w:w="110"/>
              <w:bottom w:type="dxa" w:w="70"/>
              <w:right w:type="dxa" w:w="110"/>
            </w:tcMar>
            <w:vAlign w:val="top"/>
          </w:tcPr>
          <w:p>
            <w:r>
              <w:rPr>
                <w:b/>
                <w:bCs/>
                <w:color w:val="1A1A1A"/>
                <w:sz w:val="15"/>
                <w:szCs w:val="15"/>
              </w:rPr>
              <w:t xml:space="preserve">UAT-</w:t>
            </w:r>
          </w:p>
        </w:tc>
        <w:tc>
          <w:tcPr>
            <w:tcW w:type="dxa" w:w="2822"/>
            <w:tcMar>
              <w:top w:type="dxa" w:w="70"/>
              <w:left w:type="dxa" w:w="110"/>
              <w:bottom w:type="dxa" w:w="70"/>
              <w:right w:type="dxa" w:w="110"/>
            </w:tcMar>
            <w:vAlign w:val="top"/>
          </w:tcPr>
          <w:p>
            <w:r>
              <w:rPr>
                <w:b w:val="false"/>
                <w:bCs w:val="false"/>
                <w:color w:val="1A1A1A"/>
                <w:sz w:val="15"/>
                <w:szCs w:val="15"/>
              </w:rPr>
              <w:t xml:space="preserve">User Acceptance Test Case</w:t>
            </w:r>
          </w:p>
        </w:tc>
        <w:tc>
          <w:tcPr>
            <w:tcW w:type="dxa" w:w="2218"/>
            <w:tcMar>
              <w:top w:type="dxa" w:w="70"/>
              <w:left w:type="dxa" w:w="110"/>
              <w:bottom w:type="dxa" w:w="70"/>
              <w:right w:type="dxa" w:w="110"/>
            </w:tcMar>
            <w:vAlign w:val="top"/>
          </w:tcPr>
          <w:p>
            <w:r>
              <w:rPr>
                <w:b w:val="false"/>
                <w:bCs w:val="false"/>
                <w:color w:val="1A1A1A"/>
                <w:sz w:val="15"/>
                <w:szCs w:val="15"/>
              </w:rPr>
              <w:t xml:space="preserve">UAT-004</w:t>
            </w:r>
          </w:p>
        </w:tc>
        <w:tc>
          <w:tcPr>
            <w:tcW w:type="dxa" w:w="3024"/>
            <w:tcMar>
              <w:top w:type="dxa" w:w="70"/>
              <w:left w:type="dxa" w:w="110"/>
              <w:bottom w:type="dxa" w:w="70"/>
              <w:right w:type="dxa" w:w="110"/>
            </w:tcMar>
            <w:vAlign w:val="top"/>
          </w:tcPr>
          <w:p>
            <w:r>
              <w:rPr>
                <w:b w:val="false"/>
                <w:bCs w:val="false"/>
                <w:color w:val="1A1A1A"/>
                <w:sz w:val="15"/>
                <w:szCs w:val="15"/>
              </w:rPr>
              <w:t xml:space="preserve">TSAS Part 06</w:t>
            </w:r>
          </w:p>
        </w:tc>
      </w:tr>
      <w:tr>
        <w:tc>
          <w:tcPr>
            <w:tcW w:type="dxa" w:w="2016"/>
            <w:tcMar>
              <w:top w:type="dxa" w:w="70"/>
              <w:left w:type="dxa" w:w="110"/>
              <w:bottom w:type="dxa" w:w="70"/>
              <w:right w:type="dxa" w:w="110"/>
            </w:tcMar>
            <w:vAlign w:val="top"/>
          </w:tcPr>
          <w:p>
            <w:r>
              <w:rPr>
                <w:b/>
                <w:bCs/>
                <w:color w:val="1A1A1A"/>
                <w:sz w:val="15"/>
                <w:szCs w:val="15"/>
              </w:rPr>
              <w:t xml:space="preserve">R-</w:t>
            </w:r>
          </w:p>
        </w:tc>
        <w:tc>
          <w:tcPr>
            <w:tcW w:type="dxa" w:w="2822"/>
            <w:tcMar>
              <w:top w:type="dxa" w:w="70"/>
              <w:left w:type="dxa" w:w="110"/>
              <w:bottom w:type="dxa" w:w="70"/>
              <w:right w:type="dxa" w:w="110"/>
            </w:tcMar>
            <w:vAlign w:val="top"/>
          </w:tcPr>
          <w:p>
            <w:r>
              <w:rPr>
                <w:b w:val="false"/>
                <w:bCs w:val="false"/>
                <w:color w:val="1A1A1A"/>
                <w:sz w:val="15"/>
                <w:szCs w:val="15"/>
              </w:rPr>
              <w:t xml:space="preserve">Risk</w:t>
            </w:r>
          </w:p>
        </w:tc>
        <w:tc>
          <w:tcPr>
            <w:tcW w:type="dxa" w:w="2218"/>
            <w:tcMar>
              <w:top w:type="dxa" w:w="70"/>
              <w:left w:type="dxa" w:w="110"/>
              <w:bottom w:type="dxa" w:w="70"/>
              <w:right w:type="dxa" w:w="110"/>
            </w:tcMar>
            <w:vAlign w:val="top"/>
          </w:tcPr>
          <w:p>
            <w:r>
              <w:rPr>
                <w:b w:val="false"/>
                <w:bCs w:val="false"/>
                <w:color w:val="1A1A1A"/>
                <w:sz w:val="15"/>
                <w:szCs w:val="15"/>
              </w:rPr>
              <w:t xml:space="preserve">R-014</w:t>
            </w:r>
          </w:p>
        </w:tc>
        <w:tc>
          <w:tcPr>
            <w:tcW w:type="dxa" w:w="3024"/>
            <w:tcMar>
              <w:top w:type="dxa" w:w="70"/>
              <w:left w:type="dxa" w:w="110"/>
              <w:bottom w:type="dxa" w:w="70"/>
              <w:right w:type="dxa" w:w="110"/>
            </w:tcMar>
            <w:vAlign w:val="top"/>
          </w:tcPr>
          <w:p>
            <w:r>
              <w:rPr>
                <w:b w:val="false"/>
                <w:bCs w:val="false"/>
                <w:color w:val="1A1A1A"/>
                <w:sz w:val="15"/>
                <w:szCs w:val="15"/>
              </w:rPr>
              <w:t xml:space="preserve">PDIB Part 09 / Handbook Chapter 21</w:t>
            </w:r>
          </w:p>
        </w:tc>
      </w:tr>
      <w:tr>
        <w:tc>
          <w:tcPr>
            <w:tcW w:type="dxa" w:w="2016"/>
            <w:tcMar>
              <w:top w:type="dxa" w:w="70"/>
              <w:left w:type="dxa" w:w="110"/>
              <w:bottom w:type="dxa" w:w="70"/>
              <w:right w:type="dxa" w:w="110"/>
            </w:tcMar>
            <w:vAlign w:val="top"/>
          </w:tcPr>
          <w:p>
            <w:r>
              <w:rPr>
                <w:b/>
                <w:bCs/>
                <w:color w:val="1A1A1A"/>
                <w:sz w:val="15"/>
                <w:szCs w:val="15"/>
              </w:rPr>
              <w:t xml:space="preserve">CR-</w:t>
            </w:r>
          </w:p>
        </w:tc>
        <w:tc>
          <w:tcPr>
            <w:tcW w:type="dxa" w:w="2822"/>
            <w:tcMar>
              <w:top w:type="dxa" w:w="70"/>
              <w:left w:type="dxa" w:w="110"/>
              <w:bottom w:type="dxa" w:w="70"/>
              <w:right w:type="dxa" w:w="110"/>
            </w:tcMar>
            <w:vAlign w:val="top"/>
          </w:tcPr>
          <w:p>
            <w:r>
              <w:rPr>
                <w:b w:val="false"/>
                <w:bCs w:val="false"/>
                <w:color w:val="1A1A1A"/>
                <w:sz w:val="15"/>
                <w:szCs w:val="15"/>
              </w:rPr>
              <w:t xml:space="preserve">Change Request</w:t>
            </w:r>
          </w:p>
        </w:tc>
        <w:tc>
          <w:tcPr>
            <w:tcW w:type="dxa" w:w="2218"/>
            <w:tcMar>
              <w:top w:type="dxa" w:w="70"/>
              <w:left w:type="dxa" w:w="110"/>
              <w:bottom w:type="dxa" w:w="70"/>
              <w:right w:type="dxa" w:w="110"/>
            </w:tcMar>
            <w:vAlign w:val="top"/>
          </w:tcPr>
          <w:p>
            <w:r>
              <w:rPr>
                <w:b w:val="false"/>
                <w:bCs w:val="false"/>
                <w:color w:val="1A1A1A"/>
                <w:sz w:val="15"/>
                <w:szCs w:val="15"/>
              </w:rPr>
              <w:t xml:space="preserve">CR-008</w:t>
            </w:r>
          </w:p>
        </w:tc>
        <w:tc>
          <w:tcPr>
            <w:tcW w:type="dxa" w:w="3024"/>
            <w:tcMar>
              <w:top w:type="dxa" w:w="70"/>
              <w:left w:type="dxa" w:w="110"/>
              <w:bottom w:type="dxa" w:w="70"/>
              <w:right w:type="dxa" w:w="110"/>
            </w:tcMar>
            <w:vAlign w:val="top"/>
          </w:tcPr>
          <w:p>
            <w:r>
              <w:rPr>
                <w:b w:val="false"/>
                <w:bCs w:val="false"/>
                <w:color w:val="1A1A1A"/>
                <w:sz w:val="15"/>
                <w:szCs w:val="15"/>
              </w:rPr>
              <w:t xml:space="preserve">PDIB Part 11 / Handbook Chapter 21</w:t>
            </w:r>
          </w:p>
        </w:tc>
      </w:tr>
      <w:tr>
        <w:tc>
          <w:tcPr>
            <w:tcW w:type="dxa" w:w="2016"/>
            <w:tcMar>
              <w:top w:type="dxa" w:w="70"/>
              <w:left w:type="dxa" w:w="110"/>
              <w:bottom w:type="dxa" w:w="70"/>
              <w:right w:type="dxa" w:w="110"/>
            </w:tcMar>
            <w:vAlign w:val="top"/>
          </w:tcPr>
          <w:p>
            <w:r>
              <w:rPr>
                <w:b/>
                <w:bCs/>
                <w:color w:val="1A1A1A"/>
                <w:sz w:val="15"/>
                <w:szCs w:val="15"/>
              </w:rPr>
              <w:t xml:space="preserve">DEL-</w:t>
            </w:r>
          </w:p>
        </w:tc>
        <w:tc>
          <w:tcPr>
            <w:tcW w:type="dxa" w:w="2822"/>
            <w:tcMar>
              <w:top w:type="dxa" w:w="70"/>
              <w:left w:type="dxa" w:w="110"/>
              <w:bottom w:type="dxa" w:w="70"/>
              <w:right w:type="dxa" w:w="110"/>
            </w:tcMar>
            <w:vAlign w:val="top"/>
          </w:tcPr>
          <w:p>
            <w:r>
              <w:rPr>
                <w:b w:val="false"/>
                <w:bCs w:val="false"/>
                <w:color w:val="1A1A1A"/>
                <w:sz w:val="15"/>
                <w:szCs w:val="15"/>
              </w:rPr>
              <w:t xml:space="preserve">Deliverable (by category prefix, e.g., ENG-, QA-, OPS-)</w:t>
            </w:r>
          </w:p>
        </w:tc>
        <w:tc>
          <w:tcPr>
            <w:tcW w:type="dxa" w:w="2218"/>
            <w:tcMar>
              <w:top w:type="dxa" w:w="70"/>
              <w:left w:type="dxa" w:w="110"/>
              <w:bottom w:type="dxa" w:w="70"/>
              <w:right w:type="dxa" w:w="110"/>
            </w:tcMar>
            <w:vAlign w:val="top"/>
          </w:tcPr>
          <w:p>
            <w:r>
              <w:rPr>
                <w:b w:val="false"/>
                <w:bCs w:val="false"/>
                <w:color w:val="1A1A1A"/>
                <w:sz w:val="15"/>
                <w:szCs w:val="15"/>
              </w:rPr>
              <w:t xml:space="preserve">ENG-001</w:t>
            </w:r>
          </w:p>
        </w:tc>
        <w:tc>
          <w:tcPr>
            <w:tcW w:type="dxa" w:w="3024"/>
            <w:tcMar>
              <w:top w:type="dxa" w:w="70"/>
              <w:left w:type="dxa" w:w="110"/>
              <w:bottom w:type="dxa" w:w="70"/>
              <w:right w:type="dxa" w:w="110"/>
            </w:tcMar>
            <w:vAlign w:val="top"/>
          </w:tcPr>
          <w:p>
            <w:r>
              <w:rPr>
                <w:b w:val="false"/>
                <w:bCs w:val="false"/>
                <w:color w:val="1A1A1A"/>
                <w:sz w:val="15"/>
                <w:szCs w:val="15"/>
              </w:rPr>
              <w:t xml:space="preserve">Appendix O (EDRDCC)</w:t>
            </w:r>
          </w:p>
        </w:tc>
      </w:tr>
    </w:tbl>
    <w:p>
      <w:pPr>
        <w:spacing w:after="150" w:line="276"/>
        <w:jc w:val="both"/>
      </w:pPr>
      <w:r>
        <w:t xml:space="preserve">Every Engineering Work Package defined in MEKB Parts 5 through 8 records these identifiers explicitly in its own traceability fields, so that a single work package can be traced upward to its business requirement and downward to its test evidence without consulting any other document.</w:t>
      </w:r>
    </w:p>
    <w:p>
      <w:pPr>
        <w:pStyle w:val="Heading1"/>
        <w:pBdr>
          <w:bottom w:val="single" w:color="DAD3C0" w:sz="4" w:space="4"/>
        </w:pBdr>
        <w:spacing w:after="140" w:before="360"/>
      </w:pPr>
      <w:r>
        <w:rPr>
          <w:b/>
          <w:bCs/>
          <w:color w:val="97771F"/>
          <w:sz w:val="26"/>
          <w:szCs w:val="26"/>
        </w:rPr>
        <w:t xml:space="preserve">1.8  </w:t>
      </w:r>
      <w:r>
        <w:rPr>
          <w:b/>
          <w:bCs/>
          <w:color w:val="33363C"/>
          <w:sz w:val="26"/>
          <w:szCs w:val="26"/>
        </w:rPr>
        <w:t xml:space="preserve">How Antigravity Should Navigate This Ecosystem</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Give Antigravity a concrete, repeatable reading sequence for any implementation task.</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the time between 'work package assigned' and 'first correct line of code' to minutes, not hours.</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Mirrors the reading guidance already established in SRS Part 39 and Handbook Chapter 23, generalized across the full documentation ecosystem.</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consistent, efficient navigation pattern applied to every work package in MEKB Parts 5–8.</w:t>
            </w:r>
          </w:p>
        </w:tc>
      </w:tr>
    </w:tbl>
    <w:p>
      <w:pPr>
        <w:spacing w:after="160"/>
      </w:pPr>
    </w:p>
    <w:p>
      <w:pPr>
        <w:spacing w:after="150" w:line="276"/>
        <w:jc w:val="both"/>
      </w:pPr>
      <w:r>
        <w:t xml:space="preserve">For any assigned Engineering Work Package, Antigravity shall navigate the documentation ecosystem in the following order, consistent with the Operating Mode defined in Handbook Section 23.4:</w:t>
      </w:r>
    </w:p>
    <w:p>
      <w:pPr>
        <w:spacing w:after="90" w:line="264"/>
      </w:pPr>
      <w:r>
        <w:rPr>
          <w:b/>
          <w:bCs/>
          <w:color w:val="33363C"/>
        </w:rPr>
        <w:t xml:space="preserve">1. </w:t>
      </w:r>
      <w:r>
        <w:t xml:space="preserve">Open the Work Package itself (MEKB Parts 5–8) and read its Business Context, Scope, and Dependencies fields.</w:t>
      </w:r>
    </w:p>
    <w:p>
      <w:pPr>
        <w:spacing w:after="90" w:line="264"/>
      </w:pPr>
      <w:r>
        <w:rPr>
          <w:b/>
          <w:bCs/>
          <w:color w:val="33363C"/>
        </w:rPr>
        <w:t xml:space="preserve">2. </w:t>
      </w:r>
      <w:r>
        <w:t xml:space="preserve">Read the specific SRS Part(s) referenced by the work package for full functional detail, screen behavior, and business rules.</w:t>
      </w:r>
    </w:p>
    <w:p>
      <w:pPr>
        <w:spacing w:after="90" w:line="264"/>
      </w:pPr>
      <w:r>
        <w:rPr>
          <w:b/>
          <w:bCs/>
          <w:color w:val="33363C"/>
        </w:rPr>
        <w:t xml:space="preserve">3. </w:t>
      </w:r>
      <w:r>
        <w:t xml:space="preserve">Read the specific DDS Part(s) and AIDS Part(s) referenced for the exact entities and endpoints in scope.</w:t>
      </w:r>
    </w:p>
    <w:p>
      <w:pPr>
        <w:spacing w:after="90" w:line="264"/>
      </w:pPr>
      <w:r>
        <w:rPr>
          <w:b/>
          <w:bCs/>
          <w:color w:val="33363C"/>
        </w:rPr>
        <w:t xml:space="preserve">4. </w:t>
      </w:r>
      <w:r>
        <w:t xml:space="preserve">Check the Engineering Handbook chapter(s) referenced for the applicable coding, security, and quality standards.</w:t>
      </w:r>
    </w:p>
    <w:p>
      <w:pPr>
        <w:spacing w:after="90" w:line="264"/>
      </w:pPr>
      <w:r>
        <w:rPr>
          <w:b/>
          <w:bCs/>
          <w:color w:val="33363C"/>
        </w:rPr>
        <w:t xml:space="preserve">5. </w:t>
      </w:r>
      <w:r>
        <w:t xml:space="preserve">Check Appendix J (or the work package's own traceability fields) to confirm no upstream requirement is missing from scope.</w:t>
      </w:r>
    </w:p>
    <w:p>
      <w:pPr>
        <w:spacing w:after="90" w:line="264"/>
      </w:pPr>
      <w:r>
        <w:rPr>
          <w:b/>
          <w:bCs/>
          <w:color w:val="33363C"/>
        </w:rPr>
        <w:t xml:space="preserve">6. </w:t>
      </w:r>
      <w:r>
        <w:t xml:space="preserve">Check the Work Package Dependency Matrix (MEKB Part 10) to confirm all prerequisite work packages are complete.</w:t>
      </w:r>
    </w:p>
    <w:p>
      <w:pPr>
        <w:spacing w:after="90" w:line="264"/>
      </w:pPr>
      <w:r>
        <w:rPr>
          <w:b/>
          <w:bCs/>
          <w:color w:val="33363C"/>
        </w:rPr>
        <w:t xml:space="preserve">7. </w:t>
      </w:r>
      <w:r>
        <w:t xml:space="preserve">Proceed to implementation only once Steps 1–6 are complete — consistent with Definition of Ready (Handbook Chapter 19).</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AE0" w:sz="2"/>
              <w:left w:val="single" w:color="97771F" w:sz="24"/>
              <w:bottom w:val="single" w:color="EFEAE0" w:sz="2"/>
              <w:right w:val="single" w:color="EFEAE0" w:sz="2"/>
            </w:tcBorders>
            <w:shd w:fill="EFEAE0" w:val="clear"/>
            <w:tcMar>
              <w:top w:type="dxa" w:w="120"/>
              <w:left w:type="dxa" w:w="180"/>
              <w:bottom w:type="dxa" w:w="120"/>
              <w:right w:type="dxa" w:w="180"/>
            </w:tcMar>
          </w:tcPr>
          <w:p>
            <w:pPr>
              <w:spacing w:after="60"/>
            </w:pPr>
            <w:r>
              <w:rPr>
                <w:b/>
                <w:bCs/>
                <w:color w:val="97771F"/>
                <w:sz w:val="17"/>
                <w:szCs w:val="17"/>
              </w:rPr>
              <w:t xml:space="preserve">RECOMMENDATION</w:t>
            </w:r>
          </w:p>
          <w:p>
            <w:pPr>
              <w:spacing w:after="0"/>
            </w:pPr>
            <w:r>
              <w:rPr>
                <w:sz w:val="18"/>
                <w:szCs w:val="18"/>
              </w:rPr>
              <w:t xml:space="preserve">Antigravity should never read an entire multi-part document family end to end before beginning a work package. Each Work Package in MEKB Parts 5–8 names the exact Parts and Sections required — read only those, precisely as SRS Part 39 recommends for human Business Analysts.</w:t>
            </w:r>
          </w:p>
        </w:tc>
      </w:tr>
    </w:tbl>
    <w:p>
      <w:pPr>
        <w:pStyle w:val="Heading1"/>
        <w:pBdr>
          <w:bottom w:val="single" w:color="DAD3C0" w:sz="4" w:space="4"/>
        </w:pBdr>
        <w:spacing w:after="140" w:before="360"/>
      </w:pPr>
      <w:r>
        <w:rPr>
          <w:b/>
          <w:bCs/>
          <w:color w:val="97771F"/>
          <w:sz w:val="26"/>
          <w:szCs w:val="26"/>
        </w:rPr>
        <w:t xml:space="preserve">1.9  </w:t>
      </w:r>
      <w:r>
        <w:rPr>
          <w:b/>
          <w:bCs/>
          <w:color w:val="33363C"/>
          <w:sz w:val="26"/>
          <w:szCs w:val="26"/>
        </w:rPr>
        <w:t xml:space="preserve">Summary and Bridge to Part 2</w:t>
      </w:r>
    </w:p>
    <w:p>
      <w:pPr>
        <w:spacing w:after="150" w:line="276"/>
        <w:jc w:val="both"/>
      </w:pPr>
      <w:r>
        <w:t xml:space="preserve">This Part established the master map of the SAPZ documentation ecosystem: an eighteen-family Document Register, the end-to-end traceability backbone, the five-tier dependency structure, the Governance-to-Activity Matrix, the document authority and precedence order, and the traceability identifier scheme used throughout the remainder of the MEKB.</w:t>
      </w:r>
    </w:p>
    <w:p>
      <w:pPr>
        <w:spacing w:after="150" w:line="276"/>
        <w:jc w:val="both"/>
      </w:pPr>
      <w:r>
        <w:t xml:space="preserve">With this map in place, Part 2 — Engineering Domains — groups the platform's engineering work into coherent domains (Backend, Frontend, Database, API &amp; Integration, Security, AI &amp; Knowledge Management, DevSecOps, Quality Engineering, and Documentation &amp; Governance), each scoped, resourced, and governed consistently with the map established here.</w:t>
      </w:r>
    </w:p>
    <w:p>
      <w:pPr>
        <w:pStyle w:val="Heading2"/>
        <w:spacing w:after="110" w:before="260"/>
      </w:pPr>
      <w:r>
        <w:rPr>
          <w:b/>
          <w:bCs/>
          <w:color w:val="97771F"/>
          <w:sz w:val="21"/>
          <w:szCs w:val="21"/>
        </w:rPr>
        <w:t xml:space="preserve">1.9.1  </w:t>
      </w:r>
      <w:r>
        <w:rPr>
          <w:b/>
          <w:bCs/>
          <w:color w:val="33363C"/>
          <w:sz w:val="21"/>
          <w:szCs w:val="21"/>
        </w:rPr>
        <w:t xml:space="preserve">Key Takeaways</w:t>
      </w:r>
    </w:p>
    <w:p>
      <w:pPr>
        <w:pStyle w:val="ListParagraph"/>
        <w:numPr>
          <w:ilvl w:val="0"/>
          <w:numId w:val="1"/>
        </w:numPr>
        <w:spacing w:after="90" w:line="264"/>
      </w:pPr>
      <w:r>
        <w:t xml:space="preserve">Eighteen governing document families, realized as a mix of single documents and structured multi-part sets, form the complete SAPZ documentation baseline.</w:t>
      </w:r>
    </w:p>
    <w:p>
      <w:pPr>
        <w:pStyle w:val="ListParagraph"/>
        <w:numPr>
          <w:ilvl w:val="0"/>
          <w:numId w:val="1"/>
        </w:numPr>
        <w:spacing w:after="90" w:line="264"/>
      </w:pPr>
      <w:r>
        <w:t xml:space="preserve">Every requirement follows the same eighteen-stage traceability chain, from Business Objective to Support &amp; Maintenance.</w:t>
      </w:r>
    </w:p>
    <w:p>
      <w:pPr>
        <w:pStyle w:val="ListParagraph"/>
        <w:numPr>
          <w:ilvl w:val="0"/>
          <w:numId w:val="1"/>
        </w:numPr>
        <w:spacing w:after="90" w:line="264"/>
      </w:pPr>
      <w:r>
        <w:t xml:space="preserve">Documents divide into five dependency tiers; a lower tier elaborates but never overrides a higher tier.</w:t>
      </w:r>
    </w:p>
    <w:p>
      <w:pPr>
        <w:pStyle w:val="ListParagraph"/>
        <w:numPr>
          <w:ilvl w:val="0"/>
          <w:numId w:val="1"/>
        </w:numPr>
        <w:spacing w:after="90" w:line="264"/>
      </w:pPr>
      <w:r>
        <w:t xml:space="preserve">The Governance-to-Activity Matrix (Section 1.5) is the fastest lookup for 'which document governs this task.'</w:t>
      </w:r>
    </w:p>
    <w:p>
      <w:pPr>
        <w:pStyle w:val="ListParagraph"/>
        <w:numPr>
          <w:ilvl w:val="0"/>
          <w:numId w:val="1"/>
        </w:numPr>
        <w:spacing w:after="90" w:line="264"/>
      </w:pPr>
      <w:r>
        <w:t xml:space="preserve">A single, consistent identifier scheme (BR-, FR-, US-, WP-, ADR-, and related prefixes) makes every artifact addressable and traceable.</w:t>
      </w:r>
    </w:p>
    <w:p>
      <w:pPr>
        <w:pStyle w:val="Heading2"/>
        <w:spacing w:after="110" w:before="260"/>
      </w:pPr>
      <w:r>
        <w:rPr>
          <w:b/>
          <w:bCs/>
          <w:color w:val="97771F"/>
          <w:sz w:val="21"/>
          <w:szCs w:val="21"/>
        </w:rPr>
        <w:t xml:space="preserve">1.9.2  </w:t>
      </w:r>
      <w:r>
        <w:rPr>
          <w:b/>
          <w:bCs/>
          <w:color w:val="33363C"/>
          <w:sz w:val="21"/>
          <w:szCs w:val="21"/>
        </w:rPr>
        <w:t xml:space="preserve">Related Parts</w:t>
      </w:r>
    </w:p>
    <w:p>
      <w:pPr>
        <w:pStyle w:val="ListParagraph"/>
        <w:numPr>
          <w:ilvl w:val="0"/>
          <w:numId w:val="1"/>
        </w:numPr>
        <w:spacing w:after="90" w:line="264"/>
      </w:pPr>
      <w:r>
        <w:t xml:space="preserve">MEKB Part 2 — Engineering Domains</w:t>
      </w:r>
    </w:p>
    <w:p>
      <w:pPr>
        <w:pStyle w:val="ListParagraph"/>
        <w:numPr>
          <w:ilvl w:val="0"/>
          <w:numId w:val="1"/>
        </w:numPr>
        <w:spacing w:after="90" w:line="264"/>
      </w:pPr>
      <w:r>
        <w:t xml:space="preserve">MEKB Part 3 — Module Decomposition</w:t>
      </w:r>
    </w:p>
    <w:p>
      <w:pPr>
        <w:pStyle w:val="ListParagraph"/>
        <w:numPr>
          <w:ilvl w:val="0"/>
          <w:numId w:val="1"/>
        </w:numPr>
        <w:spacing w:after="90" w:line="264"/>
      </w:pPr>
      <w:r>
        <w:t xml:space="preserve">MEKB Part 10 — Work Package Dependency Matrix and Master Prompt Library</w:t>
      </w:r>
    </w:p>
    <w:p>
      <w:pPr>
        <w:pStyle w:val="ListParagraph"/>
        <w:numPr>
          <w:ilvl w:val="0"/>
          <w:numId w:val="1"/>
        </w:numPr>
        <w:spacing w:after="90" w:line="264"/>
      </w:pPr>
      <w:r>
        <w:t xml:space="preserve">Appendix J — Enterprise Requirements Traceability &amp; Governance Matrix</w:t>
      </w:r>
    </w:p>
    <w:p>
      <w:pPr>
        <w:pStyle w:val="ListParagraph"/>
        <w:numPr>
          <w:ilvl w:val="0"/>
          <w:numId w:val="1"/>
        </w:numPr>
        <w:spacing w:after="90" w:line="264"/>
      </w:pPr>
      <w:r>
        <w:t xml:space="preserve">Appendix O — Enterprise Deliverables Register &amp; Document Control Catalogue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33363C"/>
      <w:sz w:val="26"/>
      <w:szCs w:val="26"/>
    </w:rPr>
  </w:style>
  <w:style w:type="paragraph" w:styleId="Heading2">
    <w:name w:val="Heading 2"/>
    <w:basedOn w:val="Normal"/>
    <w:next w:val="Normal"/>
    <w:qFormat/>
    <w:pPr>
      <w:spacing w:after="110" w:before="240"/>
    </w:pPr>
    <w:rPr>
      <w:rFonts w:ascii="Calibri" w:cs="Calibri" w:eastAsia="Calibri" w:hAnsi="Calibri"/>
      <w:b/>
      <w:bCs/>
      <w:color w:val="33363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2026-07-19T19:36:40.845Z</dcterms:created>
  <dcterms:modified xsi:type="dcterms:W3CDTF">2026-07-19T19:36:40.845Z</dcterms:modified>
</cp:coreProperties>
</file>

<file path=docProps/custom.xml><?xml version="1.0" encoding="utf-8"?>
<Properties xmlns="http://schemas.openxmlformats.org/officeDocument/2006/custom-properties" xmlns:vt="http://schemas.openxmlformats.org/officeDocument/2006/docPropsVTypes"/>
</file>