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2</w:t>
      </w:r>
    </w:p>
    <w:p>
      <w:pPr>
        <w:pBdr>
          <w:bottom w:val="single" w:color="33363C" w:sz="14" w:space="10"/>
        </w:pBdr>
        <w:spacing w:after="160"/>
        <w:jc w:val="center"/>
      </w:pPr>
      <w:r>
        <w:rPr>
          <w:b/>
          <w:bCs/>
          <w:color w:val="1C1E21"/>
          <w:sz w:val="40"/>
          <w:szCs w:val="40"/>
        </w:rPr>
        <w:t xml:space="preserve">Engineering Domains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2</w:t>
      </w:r>
    </w:p>
    <w:p>
      <w:pPr>
        <w:pBdr>
          <w:bottom w:val="single" w:color="33363C" w:sz="12" w:space="8"/>
        </w:pBdr>
        <w:spacing w:after="200"/>
        <w:jc w:val="left"/>
      </w:pPr>
      <w:r>
        <w:rPr>
          <w:b/>
          <w:bCs/>
          <w:color w:val="1C1E21"/>
          <w:sz w:val="44"/>
          <w:szCs w:val="44"/>
        </w:rPr>
        <w:t xml:space="preserve">Engineering Domains</w:t>
      </w:r>
    </w:p>
    <w:p>
      <w:pPr>
        <w:spacing w:after="90" w:before="180"/>
      </w:pPr>
      <w:r>
        <w:rPr>
          <w:b/>
          <w:bCs/>
          <w:color w:val="1C1E21"/>
          <w:sz w:val="19"/>
          <w:szCs w:val="19"/>
        </w:rPr>
        <w:t xml:space="preserve">Part Overview</w:t>
      </w:r>
    </w:p>
    <w:p>
      <w:pPr>
        <w:spacing w:after="150" w:line="276"/>
        <w:jc w:val="both"/>
      </w:pPr>
      <w:r>
        <w:t xml:space="preserve">This Part identifies the nine Engineering Domains that together comprise all technical work required to build the SAPZ Enterprise System Management (ESM) Platform and Central Knowledge Repository (CKR). Each domain is scoped, resourced, and governed in a manner consistent with the Engineering Handbook (Volume I) and the governing document map established in Part 1.</w:t>
      </w:r>
    </w:p>
    <w:p>
      <w:pPr>
        <w:spacing w:after="150" w:line="276"/>
        <w:jc w:val="both"/>
      </w:pPr>
      <w:r>
        <w:t xml:space="preserve">The nine domains are not new organizational units — they mirror the standards structure already established in Engineering Handbook Chapters 9 through 17. Part 2 exists to give each domain an implementation-facing profile: what it delivers, what it depends on, what can go wrong, and who is accountable — so that the Module Decomposition in Part 3 and the Work Packages in Parts 5 through 8 can be assigned cleanly to a domain (or a defined combination of domains) without ambiguity.</w:t>
      </w:r>
    </w:p>
    <w:p>
      <w:pPr>
        <w:spacing w:after="90" w:before="180"/>
      </w:pPr>
      <w:r>
        <w:rPr>
          <w:b/>
          <w:bCs/>
          <w:color w:val="1C1E21"/>
          <w:sz w:val="19"/>
          <w:szCs w:val="19"/>
        </w:rPr>
        <w:t xml:space="preserve">The Nine Engineering Domains</w:t>
      </w:r>
    </w:p>
    <w:p>
      <w:pPr>
        <w:spacing w:after="90" w:line="264"/>
      </w:pPr>
      <w:r>
        <w:rPr>
          <w:b/>
          <w:bCs/>
          <w:color w:val="33363C"/>
        </w:rPr>
        <w:t xml:space="preserve">1. </w:t>
      </w:r>
      <w:r>
        <w:t xml:space="preserve">Backend Engineering</w:t>
      </w:r>
    </w:p>
    <w:p>
      <w:pPr>
        <w:spacing w:after="90" w:line="264"/>
      </w:pPr>
      <w:r>
        <w:rPr>
          <w:b/>
          <w:bCs/>
          <w:color w:val="33363C"/>
        </w:rPr>
        <w:t xml:space="preserve">2. </w:t>
      </w:r>
      <w:r>
        <w:t xml:space="preserve">Frontend Engineering</w:t>
      </w:r>
    </w:p>
    <w:p>
      <w:pPr>
        <w:spacing w:after="90" w:line="264"/>
      </w:pPr>
      <w:r>
        <w:rPr>
          <w:b/>
          <w:bCs/>
          <w:color w:val="33363C"/>
        </w:rPr>
        <w:t xml:space="preserve">3. </w:t>
      </w:r>
      <w:r>
        <w:t xml:space="preserve">Database Engineering</w:t>
      </w:r>
    </w:p>
    <w:p>
      <w:pPr>
        <w:spacing w:after="90" w:line="264"/>
      </w:pPr>
      <w:r>
        <w:rPr>
          <w:b/>
          <w:bCs/>
          <w:color w:val="33363C"/>
        </w:rPr>
        <w:t xml:space="preserve">4. </w:t>
      </w:r>
      <w:r>
        <w:t xml:space="preserve">API &amp; Integration Engineering</w:t>
      </w:r>
    </w:p>
    <w:p>
      <w:pPr>
        <w:spacing w:after="90" w:line="264"/>
      </w:pPr>
      <w:r>
        <w:rPr>
          <w:b/>
          <w:bCs/>
          <w:color w:val="33363C"/>
        </w:rPr>
        <w:t xml:space="preserve">5. </w:t>
      </w:r>
      <w:r>
        <w:t xml:space="preserve">Security Engineering</w:t>
      </w:r>
    </w:p>
    <w:p>
      <w:pPr>
        <w:spacing w:after="90" w:line="264"/>
      </w:pPr>
      <w:r>
        <w:rPr>
          <w:b/>
          <w:bCs/>
          <w:color w:val="33363C"/>
        </w:rPr>
        <w:t xml:space="preserve">6. </w:t>
      </w:r>
      <w:r>
        <w:t xml:space="preserve">AI &amp; Knowledge Management Engineering</w:t>
      </w:r>
    </w:p>
    <w:p>
      <w:pPr>
        <w:spacing w:after="90" w:line="264"/>
      </w:pPr>
      <w:r>
        <w:rPr>
          <w:b/>
          <w:bCs/>
          <w:color w:val="33363C"/>
        </w:rPr>
        <w:t xml:space="preserve">7. </w:t>
      </w:r>
      <w:r>
        <w:t xml:space="preserve">DevSecOps &amp; Infrastructure Engineering</w:t>
      </w:r>
    </w:p>
    <w:p>
      <w:pPr>
        <w:spacing w:after="90" w:line="264"/>
      </w:pPr>
      <w:r>
        <w:rPr>
          <w:b/>
          <w:bCs/>
          <w:color w:val="33363C"/>
        </w:rPr>
        <w:t xml:space="preserve">8. </w:t>
      </w:r>
      <w:r>
        <w:t xml:space="preserve">Quality Engineering &amp; Testing</w:t>
      </w:r>
    </w:p>
    <w:p>
      <w:pPr>
        <w:spacing w:after="90" w:line="264"/>
      </w:pPr>
      <w:r>
        <w:rPr>
          <w:b/>
          <w:bCs/>
          <w:color w:val="33363C"/>
        </w:rPr>
        <w:t xml:space="preserve">9. </w:t>
      </w:r>
      <w:r>
        <w:t xml:space="preserve">Documentation &amp; Engineering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Every Engineering Work Package defined in MEKB Parts 5–8 is assigned to a primary domain and, where cross-cutting, one or more secondary domains. This assignment determines which standards chapter and which specialist role reviews the work package before it can be marked Done.</w:t>
            </w:r>
          </w:p>
        </w:tc>
      </w:tr>
    </w:tbl>
    <w:p>
      <w:pPr>
        <w:pStyle w:val="Heading1"/>
        <w:pBdr>
          <w:bottom w:val="single" w:color="DAD3C0" w:sz="4" w:space="4"/>
        </w:pBdr>
        <w:spacing w:after="140" w:before="360"/>
      </w:pPr>
      <w:r>
        <w:rPr>
          <w:b/>
          <w:bCs/>
          <w:color w:val="97771F"/>
          <w:sz w:val="26"/>
          <w:szCs w:val="26"/>
        </w:rPr>
        <w:t xml:space="preserve">2.1  </w:t>
      </w:r>
      <w:r>
        <w:rPr>
          <w:b/>
          <w:bCs/>
          <w:color w:val="33363C"/>
          <w:sz w:val="26"/>
          <w:szCs w:val="26"/>
        </w:rPr>
        <w:t xml:space="preserve">Backend Engineering</w:t>
      </w:r>
    </w:p>
    <w:p>
      <w:pPr>
        <w:spacing w:after="150" w:line="276"/>
        <w:jc w:val="both"/>
      </w:pPr>
      <w:r>
        <w:t xml:space="preserve">Backend Engineering builds and maintains the server-side business logic, service layer, and workflow engine that implement every functional requirement in the SRS.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All application services, business rule engines, workflow orchestration, approval logic, background jobs, and server-side integrations for the eighteen SRS functional modules (Executive Management through AI Assistant).</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Converts approved business rules and workflows into reliable, auditable, server-enforced behavior — the platform's core value proposition for programme governance.</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Application services (one per SRS module), workflow engine, approval engine, notification dispatcher, background job scheduler, business rule validators.</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SRS (functional requirements), Database Engineering (entity access), API &amp; Integration Engineering (endpoint contracts), Security Engineering (authorization rules).</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Service source code, business logic unit tests, service-level architecture decision records, backend module documentation.</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Business rule misinterpretation from SRS; workflow engine complexity across 18 modules; performance degradation under concurrent approval chains.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9 (Backend Engineering Standards); Appendix C (Technology Catalogue).</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Backend Lead (owner), Technical Lead (reviewer), Solution Architect (approver for cross-module logic).</w:t>
            </w:r>
          </w:p>
        </w:tc>
      </w:tr>
    </w:tbl>
    <w:p>
      <w:pPr>
        <w:spacing w:after="160"/>
      </w:pPr>
    </w:p>
    <w:p>
      <w:pPr>
        <w:pStyle w:val="Heading1"/>
        <w:pBdr>
          <w:bottom w:val="single" w:color="DAD3C0" w:sz="4" w:space="4"/>
        </w:pBdr>
        <w:spacing w:after="140" w:before="360"/>
      </w:pPr>
      <w:r>
        <w:rPr>
          <w:b/>
          <w:bCs/>
          <w:color w:val="97771F"/>
          <w:sz w:val="26"/>
          <w:szCs w:val="26"/>
        </w:rPr>
        <w:t xml:space="preserve">2.2  </w:t>
      </w:r>
      <w:r>
        <w:rPr>
          <w:b/>
          <w:bCs/>
          <w:color w:val="33363C"/>
          <w:sz w:val="26"/>
          <w:szCs w:val="26"/>
        </w:rPr>
        <w:t xml:space="preserve">Frontend Engineering</w:t>
      </w:r>
    </w:p>
    <w:p>
      <w:pPr>
        <w:spacing w:after="150" w:line="276"/>
        <w:jc w:val="both"/>
      </w:pPr>
      <w:r>
        <w:t xml:space="preserve">Frontend Engineering builds every screen, dashboard, and user-facing interaction defined in the SRS Screen and Dashboard Catalogues and the OpenDesign handoff packages.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All web and responsive interfaces for internal users (NPCO staff, Zone administrators) and the Public Portal, across desktop and mobile breakpoints.</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Determines whether the platform is actually usable by NPCO staff and public stakeholders — directly affects adoption and programme visibility.</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Screen components (SRS Part 23), dashboard components (SRS Part 24), shared UI component library, state management layer, accessibility layer.</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SRS Parts 23–24, PDD Section 17 (OpenDesign Handoff), API &amp; Integration Engineering (data contracts), SDS (demonstration screens).</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Frontend source code, component library, accessibility test evidence, frontend module documentation.</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Design-to-build drift from OpenDesign handoff; accessibility non-compliance (SRS Part 34); performance on low-bandwidth Zone connections.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10 (Frontend Engineering Standards); SRS Part 34 (Accessibility Requirements).</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Frontend Lead (owner), UX Lead / OpenDesign (reviewer), Technical Lead (approver).</w:t>
            </w:r>
          </w:p>
        </w:tc>
      </w:tr>
    </w:tbl>
    <w:p>
      <w:pPr>
        <w:spacing w:after="160"/>
      </w:pPr>
    </w:p>
    <w:p>
      <w:pPr>
        <w:pStyle w:val="Heading1"/>
        <w:pBdr>
          <w:bottom w:val="single" w:color="DAD3C0" w:sz="4" w:space="4"/>
        </w:pBdr>
        <w:spacing w:after="140" w:before="360"/>
      </w:pPr>
      <w:r>
        <w:rPr>
          <w:b/>
          <w:bCs/>
          <w:color w:val="97771F"/>
          <w:sz w:val="26"/>
          <w:szCs w:val="26"/>
        </w:rPr>
        <w:t xml:space="preserve">2.3  </w:t>
      </w:r>
      <w:r>
        <w:rPr>
          <w:b/>
          <w:bCs/>
          <w:color w:val="33363C"/>
          <w:sz w:val="26"/>
          <w:szCs w:val="26"/>
        </w:rPr>
        <w:t xml:space="preserve">Database Engineering</w:t>
      </w:r>
    </w:p>
    <w:p>
      <w:pPr>
        <w:spacing w:after="150" w:line="276"/>
        <w:jc w:val="both"/>
      </w:pPr>
      <w:r>
        <w:t xml:space="preserve">Database Engineering implements and maintains the physical data model, ensuring every entity, relationship, and constraint in the Database Design Specification is correctly realized.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Schema implementation, migrations, indexing, constraints, audit trails, master data, and the data governance framework across all 19 DDS parts.</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Protects data integrity for a system of record used for programme oversight and donor reporting — data errors here are the costliest class of defect.</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Physical schema, migration scripts, index strategy, constraint enforcement, audit logging, master/lookup data seed sets.</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DDS (all 19 parts), Data Dictionary, Backend Engineering (entity access patterns), Security Engineering (row-level security).</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Migration scripts, entity-relationship documentation, data dictionary updates, backup/recovery validation evidence.</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Migration failure on production data; index strategy misalignment with actual query patterns; audit trail incompleteness.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11 (Database Engineering Standards); Appendix E (Naming Conventions).</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Data Architect (owner), Backend Lead (reviewer), Solution Architect (approver).</w:t>
            </w:r>
          </w:p>
        </w:tc>
      </w:tr>
    </w:tbl>
    <w:p>
      <w:pPr>
        <w:spacing w:after="160"/>
      </w:pPr>
    </w:p>
    <w:p>
      <w:pPr>
        <w:pStyle w:val="Heading1"/>
        <w:pBdr>
          <w:bottom w:val="single" w:color="DAD3C0" w:sz="4" w:space="4"/>
        </w:pBdr>
        <w:spacing w:after="140" w:before="360"/>
      </w:pPr>
      <w:r>
        <w:rPr>
          <w:b/>
          <w:bCs/>
          <w:color w:val="97771F"/>
          <w:sz w:val="26"/>
          <w:szCs w:val="26"/>
        </w:rPr>
        <w:t xml:space="preserve">2.4  </w:t>
      </w:r>
      <w:r>
        <w:rPr>
          <w:b/>
          <w:bCs/>
          <w:color w:val="33363C"/>
          <w:sz w:val="26"/>
          <w:szCs w:val="26"/>
        </w:rPr>
        <w:t xml:space="preserve">API &amp; Integration Engineering</w:t>
      </w:r>
    </w:p>
    <w:p>
      <w:pPr>
        <w:spacing w:after="150" w:line="276"/>
        <w:jc w:val="both"/>
      </w:pPr>
      <w:r>
        <w:t xml:space="preserve">API &amp; Integration Engineering builds and governs every REST endpoint, webhook, and external integration contract defined in the API &amp; Integration Design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All internal and external API endpoints, authentication and authorization at the API layer, webhook publishing, and third-party integration contracts across 19 AIDS parts.</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Enables the platform to interoperate with donor systems, government financial systems, and future modules without renegotiating contracts each time.</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REST endpoint implementations, OpenAPI specification, webhook dispatcher, integration adapters, API gateway configuration.</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AIDS (all 19 parts), SRS Parts 28–29, Database Engineering (entity mapping), Security Engineering (OAuth/API security).</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Endpoint implementations, OpenAPI 3.1 specification artifacts, integration test evidence, API versioning records.</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Breaking changes to published contracts; inconsistent error handling across endpoints; third-party integration availability.</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12 (API Engineering Standards); AIDS Part 17 (OpenAPI 3.1 Blueprint).</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Backend Lead (owner), Solution Architect (reviewer), Technical Lead (approver).</w:t>
            </w:r>
          </w:p>
        </w:tc>
      </w:tr>
    </w:tbl>
    <w:p>
      <w:pPr>
        <w:spacing w:after="160"/>
      </w:pPr>
    </w:p>
    <w:p>
      <w:pPr>
        <w:pStyle w:val="Heading1"/>
        <w:pBdr>
          <w:bottom w:val="single" w:color="DAD3C0" w:sz="4" w:space="4"/>
        </w:pBdr>
        <w:spacing w:after="140" w:before="360"/>
      </w:pPr>
      <w:r>
        <w:rPr>
          <w:b/>
          <w:bCs/>
          <w:color w:val="97771F"/>
          <w:sz w:val="26"/>
          <w:szCs w:val="26"/>
        </w:rPr>
        <w:t xml:space="preserve">2.5  </w:t>
      </w:r>
      <w:r>
        <w:rPr>
          <w:b/>
          <w:bCs/>
          <w:color w:val="33363C"/>
          <w:sz w:val="26"/>
          <w:szCs w:val="26"/>
        </w:rPr>
        <w:t xml:space="preserve">Security Engineering</w:t>
      </w:r>
    </w:p>
    <w:p>
      <w:pPr>
        <w:spacing w:after="150" w:line="276"/>
        <w:jc w:val="both"/>
      </w:pPr>
      <w:r>
        <w:t xml:space="preserve">Security Engineering implements and continuously validates the controls defined in the Security Architecture across every layer of the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Authentication, authorization, encryption, threat modeling, vulnerability management, and compliance controls spanning EA Blueprint Section 08/09, SRS Part 32, AIDS Part 14, and DDS Part 11.</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Protects sensitive programme, beneficiary, and financial data; is a precondition for IFAD and Federal Government of Nigeria acceptance.</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Identity and access management, encryption at rest/in transit, security controls matrix, vulnerability scanning pipeline, penetration test remediation.</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Security Architecture, SRS Part 32, AIDS Part 14, DDS Part 11, DevSecOps &amp; Infrastructure Engineering (pipeline gates).</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Security control implementation evidence, threat model updates, vulnerability and penetration test remediation records.</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Undetected vulnerabilities reaching production; incomplete coverage of the Security Controls Matrix; credential mismanagement.</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14 (Security and Compliance Standards); Appendix K (Security Controls &amp; Compliance Matrix).</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Security Architect (owner), DevSecOps Lead (reviewer), Steering Committee (approver, per Appendix O Section O.6).</w:t>
            </w:r>
          </w:p>
        </w:tc>
      </w:tr>
    </w:tbl>
    <w:p>
      <w:pPr>
        <w:spacing w:after="160"/>
      </w:pPr>
    </w:p>
    <w:p>
      <w:pPr>
        <w:pStyle w:val="Heading1"/>
        <w:pBdr>
          <w:bottom w:val="single" w:color="DAD3C0" w:sz="4" w:space="4"/>
        </w:pBdr>
        <w:spacing w:after="140" w:before="360"/>
      </w:pPr>
      <w:r>
        <w:rPr>
          <w:b/>
          <w:bCs/>
          <w:color w:val="97771F"/>
          <w:sz w:val="26"/>
          <w:szCs w:val="26"/>
        </w:rPr>
        <w:t xml:space="preserve">2.6  </w:t>
      </w:r>
      <w:r>
        <w:rPr>
          <w:b/>
          <w:bCs/>
          <w:color w:val="33363C"/>
          <w:sz w:val="26"/>
          <w:szCs w:val="26"/>
        </w:rPr>
        <w:t xml:space="preserve">AI &amp; Knowledge Management Engineering</w:t>
      </w:r>
    </w:p>
    <w:p>
      <w:pPr>
        <w:spacing w:after="150" w:line="276"/>
        <w:jc w:val="both"/>
      </w:pPr>
      <w:r>
        <w:t xml:space="preserve">This domain implements the AI Assistant module and the Central Knowledge Repository's search, retrieval, and knowledge-organization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AI Assistant (SRS Part 22, Phase 2), Knowledge Repository (SRS Part 12), semantic search (SRS Part 31), and the AI &amp; Knowledge Management Strategy defined in EA Blueprint 2.0 Section 09 and PDD Section 13.</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Is the platform's principal differentiator — converts an archive of programme documents into an actively queryable institutional knowledge base.</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Document ingestion pipeline, embedding and retrieval layer, AI Assistant conversational interface, knowledge classification taxonomy.</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EA Blueprint 2.0 Section 09, PDD Section 13, AIDS Part 12 (Search &amp; AI APIs), Database Engineering (search/metadata model).</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AI Assistant service, knowledge ingestion pipeline, retrieval accuracy test evidence, AI validation records (TSAS Part 12).</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Retrieval accuracy below acceptance threshold; knowledge base staleness; AI-generated content requiring human review controls.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13 (AI and Knowledge Management Standards); TSAS Part 12 (AI Validation Strategy).</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AI/KM Lead (owner), Solution Architect (reviewer), Product Owner (approver for AI Assistant scope).</w:t>
            </w:r>
          </w:p>
        </w:tc>
      </w:tr>
    </w:tbl>
    <w:p>
      <w:pPr>
        <w:spacing w:after="160"/>
      </w:pPr>
    </w:p>
    <w:p>
      <w:pPr>
        <w:pStyle w:val="Heading1"/>
        <w:pBdr>
          <w:bottom w:val="single" w:color="DAD3C0" w:sz="4" w:space="4"/>
        </w:pBdr>
        <w:spacing w:after="140" w:before="360"/>
      </w:pPr>
      <w:r>
        <w:rPr>
          <w:b/>
          <w:bCs/>
          <w:color w:val="97771F"/>
          <w:sz w:val="26"/>
          <w:szCs w:val="26"/>
        </w:rPr>
        <w:t xml:space="preserve">2.7  </w:t>
      </w:r>
      <w:r>
        <w:rPr>
          <w:b/>
          <w:bCs/>
          <w:color w:val="33363C"/>
          <w:sz w:val="26"/>
          <w:szCs w:val="26"/>
        </w:rPr>
        <w:t xml:space="preserve">DevSecOps &amp; Infrastructure Engineering</w:t>
      </w:r>
    </w:p>
    <w:p>
      <w:pPr>
        <w:spacing w:after="150" w:line="276"/>
        <w:jc w:val="both"/>
      </w:pPr>
      <w:r>
        <w:t xml:space="preserve">DevSecOps &amp; Infrastructure Engineering builds and operates the CI/CD pipeline, environments, monitoring, and disaster recovery capability for the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Source control workflow, build and release pipelines, environment provisioning, observability, backup and disaster recovery, per PDIB Parts 13–17.</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Determines delivery velocity and platform reliability once live — the difference between a demo and a dependable government system.</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CI/CD pipelines, infrastructure as code, environment configuration, monitoring and alerting, backup and DR procedures.</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PDIB Parts 13–17, Security Engineering (pipeline security gates), all engineering domains (build/test/deploy integration).</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Pipeline configuration, deployment guides, environment configuration records, DR test evidence.</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Environment drift between staging and production; insufficient monitoring coverage; untested disaster recovery procedures.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15 (DevSecOps and Infrastructure Standards); Appendix M (Environment &amp; Release Matrix).</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DevSecOps Lead (owner), Security Architect (reviewer), Technical Lead (approver).</w:t>
            </w:r>
          </w:p>
        </w:tc>
      </w:tr>
    </w:tbl>
    <w:p>
      <w:pPr>
        <w:spacing w:after="160"/>
      </w:pPr>
    </w:p>
    <w:p>
      <w:pPr>
        <w:pStyle w:val="Heading1"/>
        <w:pBdr>
          <w:bottom w:val="single" w:color="DAD3C0" w:sz="4" w:space="4"/>
        </w:pBdr>
        <w:spacing w:after="140" w:before="360"/>
      </w:pPr>
      <w:r>
        <w:rPr>
          <w:b/>
          <w:bCs/>
          <w:color w:val="97771F"/>
          <w:sz w:val="26"/>
          <w:szCs w:val="26"/>
        </w:rPr>
        <w:t xml:space="preserve">2.8  </w:t>
      </w:r>
      <w:r>
        <w:rPr>
          <w:b/>
          <w:bCs/>
          <w:color w:val="33363C"/>
          <w:sz w:val="26"/>
          <w:szCs w:val="26"/>
        </w:rPr>
        <w:t xml:space="preserve">Quality Engineering &amp; Testing</w:t>
      </w:r>
    </w:p>
    <w:p>
      <w:pPr>
        <w:spacing w:after="150" w:line="276"/>
        <w:jc w:val="both"/>
      </w:pPr>
      <w:r>
        <w:t xml:space="preserve">Quality Engineering &amp; Testing designs and executes the full test strategy defined in the Test Strategy, Verification &amp; Acceptance Specification (TSAS), and owns release readiness.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Unit, integration, security, performance, accessibility, and user acceptance testing across all 19 TSAS parts, plus defect management and release readiness gating.</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Is the primary safeguard against defects reaching a government-facing, donor-audited production system.</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Test case libraries, automation framework, defect tracking, UAT coordination, release readiness checklist execution.</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TSAS (all 19 parts), SRS Part 36 (Test Scenarios), every other domain (as the object of testing).</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Test case execution evidence, defect register, UAT sign-off records, release readiness reports.</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Test coverage gaps against SRS functional requirements; UAT delays; automation debt accumulating across sprints.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16 (Quality Engineering and Testing Standards); TSAS Part 16 (Acceptance Criteria Catalogue).</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QA Lead (owner), Technical Lead (reviewer), Project Manager (approver for release readiness, per Appendix O Section O.6).</w:t>
            </w:r>
          </w:p>
        </w:tc>
      </w:tr>
    </w:tbl>
    <w:p>
      <w:pPr>
        <w:spacing w:after="160"/>
      </w:pPr>
    </w:p>
    <w:p>
      <w:pPr>
        <w:pStyle w:val="Heading1"/>
        <w:pBdr>
          <w:bottom w:val="single" w:color="DAD3C0" w:sz="4" w:space="4"/>
        </w:pBdr>
        <w:spacing w:after="140" w:before="360"/>
      </w:pPr>
      <w:r>
        <w:rPr>
          <w:b/>
          <w:bCs/>
          <w:color w:val="97771F"/>
          <w:sz w:val="26"/>
          <w:szCs w:val="26"/>
        </w:rPr>
        <w:t xml:space="preserve">2.9  </w:t>
      </w:r>
      <w:r>
        <w:rPr>
          <w:b/>
          <w:bCs/>
          <w:color w:val="33363C"/>
          <w:sz w:val="26"/>
          <w:szCs w:val="26"/>
        </w:rPr>
        <w:t xml:space="preserve">Documentation &amp; Engineering Governance</w:t>
      </w:r>
    </w:p>
    <w:p>
      <w:pPr>
        <w:spacing w:after="150" w:line="276"/>
        <w:jc w:val="both"/>
      </w:pPr>
      <w:r>
        <w:t xml:space="preserve">This domain maintains the Engineering Handbook, Reference Manual, ADR log, and the documentation artifacts required at every quality gate defined in Appendix 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4"/>
                <w:szCs w:val="14"/>
              </w:rPr>
              <w:t xml:space="preserve">Scope</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standards maintenance, ADR process, documentation-as-deliverable production, and the traceability records defined in Appendix J.</w:t>
            </w:r>
          </w:p>
        </w:tc>
      </w:tr>
      <w:tr>
        <w:tc>
          <w:tcPr>
            <w:tcW w:type="dxa" w:w="2218"/>
            <w:tcMar>
              <w:top w:type="dxa" w:w="70"/>
              <w:left w:type="dxa" w:w="110"/>
              <w:bottom w:type="dxa" w:w="70"/>
              <w:right w:type="dxa" w:w="110"/>
            </w:tcMar>
            <w:vAlign w:val="top"/>
          </w:tcPr>
          <w:p>
            <w:r>
              <w:rPr>
                <w:b/>
                <w:bCs/>
                <w:color w:val="1A1A1A"/>
                <w:sz w:val="14"/>
                <w:szCs w:val="14"/>
              </w:rPr>
              <w:t xml:space="preserve">Business Value</w:t>
            </w:r>
          </w:p>
        </w:tc>
        <w:tc>
          <w:tcPr>
            <w:tcW w:type="dxa" w:w="7862"/>
            <w:tcMar>
              <w:top w:type="dxa" w:w="70"/>
              <w:left w:type="dxa" w:w="110"/>
              <w:bottom w:type="dxa" w:w="70"/>
              <w:right w:type="dxa" w:w="110"/>
            </w:tcMar>
            <w:vAlign w:val="top"/>
          </w:tcPr>
          <w:p>
            <w:r>
              <w:rPr>
                <w:b w:val="false"/>
                <w:bCs w:val="false"/>
                <w:color w:val="1A1A1A"/>
                <w:sz w:val="14"/>
                <w:szCs w:val="14"/>
              </w:rPr>
              <w:t xml:space="preserve">Preserves institutional knowledge and audit readiness across a multi-year, multi-team engagement — the basis for IFAD and Federal Government of Nigeria acceptance.</w:t>
            </w:r>
          </w:p>
        </w:tc>
      </w:tr>
      <w:tr>
        <w:tc>
          <w:tcPr>
            <w:tcW w:type="dxa" w:w="2218"/>
            <w:tcMar>
              <w:top w:type="dxa" w:w="70"/>
              <w:left w:type="dxa" w:w="110"/>
              <w:bottom w:type="dxa" w:w="70"/>
              <w:right w:type="dxa" w:w="110"/>
            </w:tcMar>
            <w:vAlign w:val="top"/>
          </w:tcPr>
          <w:p>
            <w:r>
              <w:rPr>
                <w:b/>
                <w:bCs/>
                <w:color w:val="1A1A1A"/>
                <w:sz w:val="14"/>
                <w:szCs w:val="14"/>
              </w:rPr>
              <w:t xml:space="preserve">Major Components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and Appendices, ADR repository, documentation templates (Appendix F), traceability matrix maintenance.</w:t>
            </w:r>
          </w:p>
        </w:tc>
      </w:tr>
      <w:tr>
        <w:tc>
          <w:tcPr>
            <w:tcW w:type="dxa" w:w="2218"/>
            <w:tcMar>
              <w:top w:type="dxa" w:w="70"/>
              <w:left w:type="dxa" w:w="110"/>
              <w:bottom w:type="dxa" w:w="70"/>
              <w:right w:type="dxa" w:w="110"/>
            </w:tcMar>
            <w:vAlign w:val="top"/>
          </w:tcPr>
          <w:p>
            <w:r>
              <w:rPr>
                <w:b/>
                <w:bCs/>
                <w:color w:val="1A1A1A"/>
                <w:sz w:val="14"/>
                <w:szCs w:val="14"/>
              </w:rPr>
              <w:t xml:space="preserve">Dependencies</w:t>
            </w:r>
          </w:p>
        </w:tc>
        <w:tc>
          <w:tcPr>
            <w:tcW w:type="dxa" w:w="7862"/>
            <w:tcMar>
              <w:top w:type="dxa" w:w="70"/>
              <w:left w:type="dxa" w:w="110"/>
              <w:bottom w:type="dxa" w:w="70"/>
              <w:right w:type="dxa" w:w="110"/>
            </w:tcMar>
            <w:vAlign w:val="top"/>
          </w:tcPr>
          <w:p>
            <w:r>
              <w:rPr>
                <w:b w:val="false"/>
                <w:bCs w:val="false"/>
                <w:color w:val="1A1A1A"/>
                <w:sz w:val="14"/>
                <w:szCs w:val="14"/>
              </w:rPr>
              <w:t xml:space="preserve">All other domains (as sources of documentation), Appendix J (traceability), Appendix O (deliverables register).</w:t>
            </w:r>
          </w:p>
        </w:tc>
      </w:tr>
      <w:tr>
        <w:tc>
          <w:tcPr>
            <w:tcW w:type="dxa" w:w="2218"/>
            <w:tcMar>
              <w:top w:type="dxa" w:w="70"/>
              <w:left w:type="dxa" w:w="110"/>
              <w:bottom w:type="dxa" w:w="70"/>
              <w:right w:type="dxa" w:w="110"/>
            </w:tcMar>
            <w:vAlign w:val="top"/>
          </w:tcPr>
          <w:p>
            <w:r>
              <w:rPr>
                <w:b/>
                <w:bCs/>
                <w:color w:val="1A1A1A"/>
                <w:sz w:val="14"/>
                <w:szCs w:val="14"/>
              </w:rPr>
              <w:t xml:space="preserve">Key Deliverables</w:t>
            </w:r>
          </w:p>
        </w:tc>
        <w:tc>
          <w:tcPr>
            <w:tcW w:type="dxa" w:w="7862"/>
            <w:tcMar>
              <w:top w:type="dxa" w:w="70"/>
              <w:left w:type="dxa" w:w="110"/>
              <w:bottom w:type="dxa" w:w="70"/>
              <w:right w:type="dxa" w:w="110"/>
            </w:tcMar>
            <w:vAlign w:val="top"/>
          </w:tcPr>
          <w:p>
            <w:r>
              <w:rPr>
                <w:b w:val="false"/>
                <w:bCs w:val="false"/>
                <w:color w:val="1A1A1A"/>
                <w:sz w:val="14"/>
                <w:szCs w:val="14"/>
              </w:rPr>
              <w:t xml:space="preserve">Updated Handbook chapters and appendices, ADR records, traceability matrix updates, documentation quality gate evidence.</w:t>
            </w:r>
          </w:p>
        </w:tc>
      </w:tr>
      <w:tr>
        <w:tc>
          <w:tcPr>
            <w:tcW w:type="dxa" w:w="2218"/>
            <w:tcMar>
              <w:top w:type="dxa" w:w="70"/>
              <w:left w:type="dxa" w:w="110"/>
              <w:bottom w:type="dxa" w:w="70"/>
              <w:right w:type="dxa" w:w="110"/>
            </w:tcMar>
            <w:vAlign w:val="top"/>
          </w:tcPr>
          <w:p>
            <w:r>
              <w:rPr>
                <w:b/>
                <w:bCs/>
                <w:color w:val="1A1A1A"/>
                <w:sz w:val="14"/>
                <w:szCs w:val="14"/>
              </w:rPr>
              <w:t xml:space="preserve">Principal Risks</w:t>
            </w:r>
          </w:p>
        </w:tc>
        <w:tc>
          <w:tcPr>
            <w:tcW w:type="dxa" w:w="7862"/>
            <w:tcMar>
              <w:top w:type="dxa" w:w="70"/>
              <w:left w:type="dxa" w:w="110"/>
              <w:bottom w:type="dxa" w:w="70"/>
              <w:right w:type="dxa" w:w="110"/>
            </w:tcMar>
            <w:vAlign w:val="top"/>
          </w:tcPr>
          <w:p>
            <w:r>
              <w:rPr>
                <w:b w:val="false"/>
                <w:bCs w:val="false"/>
                <w:color w:val="1A1A1A"/>
                <w:sz w:val="14"/>
                <w:szCs w:val="14"/>
              </w:rPr>
              <w:t xml:space="preserve">Documentation drift from actual implementation; ADR backlog; traceability matrix falling out of date during rapid sprints.</w:t>
            </w:r>
          </w:p>
        </w:tc>
      </w:tr>
      <w:tr>
        <w:tc>
          <w:tcPr>
            <w:tcW w:type="dxa" w:w="2218"/>
            <w:tcMar>
              <w:top w:type="dxa" w:w="70"/>
              <w:left w:type="dxa" w:w="110"/>
              <w:bottom w:type="dxa" w:w="70"/>
              <w:right w:type="dxa" w:w="110"/>
            </w:tcMar>
            <w:vAlign w:val="top"/>
          </w:tcPr>
          <w:p>
            <w:r>
              <w:rPr>
                <w:b/>
                <w:bCs/>
                <w:color w:val="1A1A1A"/>
                <w:sz w:val="14"/>
                <w:szCs w:val="14"/>
              </w:rPr>
              <w:t xml:space="preserve">Governing Standards</w:t>
            </w:r>
          </w:p>
        </w:tc>
        <w:tc>
          <w:tcPr>
            <w:tcW w:type="dxa" w:w="7862"/>
            <w:tcMar>
              <w:top w:type="dxa" w:w="70"/>
              <w:left w:type="dxa" w:w="110"/>
              <w:bottom w:type="dxa" w:w="70"/>
              <w:right w:type="dxa" w:w="110"/>
            </w:tcMar>
            <w:vAlign w:val="top"/>
          </w:tcPr>
          <w:p>
            <w:r>
              <w:rPr>
                <w:b w:val="false"/>
                <w:bCs w:val="false"/>
                <w:color w:val="1A1A1A"/>
                <w:sz w:val="14"/>
                <w:szCs w:val="14"/>
              </w:rPr>
              <w:t xml:space="preserve">Engineering Handbook Chapter 17 (Documentation Standards); Chapter 22 (ADR Process); Appendix J; Appendix O.</w:t>
            </w:r>
          </w:p>
        </w:tc>
      </w:tr>
      <w:tr>
        <w:tc>
          <w:tcPr>
            <w:tcW w:type="dxa" w:w="2218"/>
            <w:tcMar>
              <w:top w:type="dxa" w:w="70"/>
              <w:left w:type="dxa" w:w="110"/>
              <w:bottom w:type="dxa" w:w="70"/>
              <w:right w:type="dxa" w:w="110"/>
            </w:tcMar>
            <w:vAlign w:val="top"/>
          </w:tcPr>
          <w:p>
            <w:r>
              <w:rPr>
                <w:b/>
                <w:bCs/>
                <w:color w:val="1A1A1A"/>
                <w:sz w:val="14"/>
                <w:szCs w:val="14"/>
              </w:rPr>
              <w:t xml:space="preserve">Responsible Roles</w:t>
            </w:r>
          </w:p>
        </w:tc>
        <w:tc>
          <w:tcPr>
            <w:tcW w:type="dxa" w:w="7862"/>
            <w:tcMar>
              <w:top w:type="dxa" w:w="70"/>
              <w:left w:type="dxa" w:w="110"/>
              <w:bottom w:type="dxa" w:w="70"/>
              <w:right w:type="dxa" w:w="110"/>
            </w:tcMar>
            <w:vAlign w:val="top"/>
          </w:tcPr>
          <w:p>
            <w:r>
              <w:rPr>
                <w:b w:val="false"/>
                <w:bCs w:val="false"/>
                <w:color w:val="1A1A1A"/>
                <w:sz w:val="14"/>
                <w:szCs w:val="14"/>
              </w:rPr>
              <w:t xml:space="preserve">Technical Writer (owner), Enterprise Architect (ADR reviewer), Programme Manager (approver, per Appendix O Section O.6).</w:t>
            </w:r>
          </w:p>
        </w:tc>
      </w:tr>
    </w:tbl>
    <w:p>
      <w:pPr>
        <w:spacing w:after="160"/>
      </w:pPr>
    </w:p>
    <w:p>
      <w:pPr>
        <w:pStyle w:val="Heading1"/>
        <w:pBdr>
          <w:bottom w:val="single" w:color="DAD3C0" w:sz="4" w:space="4"/>
        </w:pBdr>
        <w:spacing w:after="140" w:before="360"/>
      </w:pPr>
      <w:r>
        <w:rPr>
          <w:b/>
          <w:bCs/>
          <w:color w:val="97771F"/>
          <w:sz w:val="26"/>
          <w:szCs w:val="26"/>
        </w:rPr>
        <w:t xml:space="preserve">2.10  </w:t>
      </w:r>
      <w:r>
        <w:rPr>
          <w:b/>
          <w:bCs/>
          <w:color w:val="33363C"/>
          <w:sz w:val="26"/>
          <w:szCs w:val="26"/>
        </w:rPr>
        <w:t xml:space="preserve">Cross-Domain Dependency Summary</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Show how the nine domains depend on one another so that Work Package sequencing (MEKB Part 4 onward) respects real build-order constraints.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 work package being scheduled before the domain it depends on has produced a stable interface.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Dependency arrows below are consistent with the Document Dependency Map in Part 1, Section 1.4.</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Engineering Work Package assigned to a domain before its upstream domain dependencies are satisfied.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427"/>
        <w:gridCol w:w="4032"/>
      </w:tblGrid>
      <w:tr>
        <w:trPr>
          <w:tblHeader/>
        </w:trPr>
        <w:tc>
          <w:tcPr>
            <w:tcW w:type="dxa" w:w="2621"/>
            <w:shd w:fill="33363C" w:val="clear"/>
            <w:tcMar>
              <w:top w:type="dxa" w:w="70"/>
              <w:left w:type="dxa" w:w="110"/>
              <w:bottom w:type="dxa" w:w="70"/>
              <w:right w:type="dxa" w:w="110"/>
            </w:tcMar>
            <w:vAlign w:val="top"/>
          </w:tcPr>
          <w:p>
            <w:r>
              <w:rPr>
                <w:b/>
                <w:bCs/>
                <w:color w:val="FFFFFF"/>
                <w:sz w:val="17"/>
                <w:szCs w:val="17"/>
              </w:rPr>
              <w:t xml:space="preserve">Domain</w:t>
            </w:r>
          </w:p>
        </w:tc>
        <w:tc>
          <w:tcPr>
            <w:tcW w:type="dxa" w:w="3427"/>
            <w:shd w:fill="33363C" w:val="clear"/>
            <w:tcMar>
              <w:top w:type="dxa" w:w="70"/>
              <w:left w:type="dxa" w:w="110"/>
              <w:bottom w:type="dxa" w:w="70"/>
              <w:right w:type="dxa" w:w="110"/>
            </w:tcMar>
            <w:vAlign w:val="top"/>
          </w:tcPr>
          <w:p>
            <w:r>
              <w:rPr>
                <w:b/>
                <w:bCs/>
                <w:color w:val="FFFFFF"/>
                <w:sz w:val="17"/>
                <w:szCs w:val="17"/>
              </w:rPr>
              <w:t xml:space="preserve">Depends On</w:t>
            </w:r>
          </w:p>
        </w:tc>
        <w:tc>
          <w:tcPr>
            <w:tcW w:type="dxa" w:w="4032"/>
            <w:shd w:fill="33363C" w:val="clear"/>
            <w:tcMar>
              <w:top w:type="dxa" w:w="70"/>
              <w:left w:type="dxa" w:w="110"/>
              <w:bottom w:type="dxa" w:w="70"/>
              <w:right w:type="dxa" w:w="110"/>
            </w:tcMar>
            <w:vAlign w:val="top"/>
          </w:tcPr>
          <w:p>
            <w:r>
              <w:rPr>
                <w:b/>
                <w:bCs/>
                <w:color w:val="FFFFFF"/>
                <w:sz w:val="17"/>
                <w:szCs w:val="17"/>
              </w:rPr>
              <w:t xml:space="preserve">Typically Blocks</w:t>
            </w:r>
          </w:p>
        </w:tc>
      </w:tr>
      <w:tr>
        <w:tc>
          <w:tcPr>
            <w:tcW w:type="dxa" w:w="2621"/>
            <w:tcMar>
              <w:top w:type="dxa" w:w="70"/>
              <w:left w:type="dxa" w:w="110"/>
              <w:bottom w:type="dxa" w:w="70"/>
              <w:right w:type="dxa" w:w="110"/>
            </w:tcMar>
            <w:vAlign w:val="top"/>
          </w:tcPr>
          <w:p>
            <w:r>
              <w:rPr>
                <w:b/>
                <w:bCs/>
                <w:color w:val="1A1A1A"/>
                <w:sz w:val="14"/>
                <w:szCs w:val="14"/>
              </w:rPr>
              <w:t xml:space="preserve">Database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Security Engineering (data classification)</w:t>
            </w:r>
          </w:p>
        </w:tc>
        <w:tc>
          <w:tcPr>
            <w:tcW w:type="dxa" w:w="4032"/>
            <w:tcMar>
              <w:top w:type="dxa" w:w="70"/>
              <w:left w:type="dxa" w:w="110"/>
              <w:bottom w:type="dxa" w:w="70"/>
              <w:right w:type="dxa" w:w="110"/>
            </w:tcMar>
            <w:vAlign w:val="top"/>
          </w:tcPr>
          <w:p>
            <w:r>
              <w:rPr>
                <w:b w:val="false"/>
                <w:bCs w:val="false"/>
                <w:color w:val="1A1A1A"/>
                <w:sz w:val="14"/>
                <w:szCs w:val="14"/>
              </w:rPr>
              <w:t xml:space="preserve">Backend Engineering, API &amp; Integration Engineering</w:t>
            </w:r>
          </w:p>
        </w:tc>
      </w:tr>
      <w:tr>
        <w:tc>
          <w:tcPr>
            <w:tcW w:type="dxa" w:w="2621"/>
            <w:tcMar>
              <w:top w:type="dxa" w:w="70"/>
              <w:left w:type="dxa" w:w="110"/>
              <w:bottom w:type="dxa" w:w="70"/>
              <w:right w:type="dxa" w:w="110"/>
            </w:tcMar>
            <w:vAlign w:val="top"/>
          </w:tcPr>
          <w:p>
            <w:r>
              <w:rPr>
                <w:b/>
                <w:bCs/>
                <w:color w:val="1A1A1A"/>
                <w:sz w:val="14"/>
                <w:szCs w:val="14"/>
              </w:rPr>
              <w:t xml:space="preserve">Backend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Database Engineering, Security Engineering</w:t>
            </w:r>
          </w:p>
        </w:tc>
        <w:tc>
          <w:tcPr>
            <w:tcW w:type="dxa" w:w="4032"/>
            <w:tcMar>
              <w:top w:type="dxa" w:w="70"/>
              <w:left w:type="dxa" w:w="110"/>
              <w:bottom w:type="dxa" w:w="70"/>
              <w:right w:type="dxa" w:w="110"/>
            </w:tcMar>
            <w:vAlign w:val="top"/>
          </w:tcPr>
          <w:p>
            <w:r>
              <w:rPr>
                <w:b w:val="false"/>
                <w:bCs w:val="false"/>
                <w:color w:val="1A1A1A"/>
                <w:sz w:val="14"/>
                <w:szCs w:val="14"/>
              </w:rPr>
              <w:t xml:space="preserve">API &amp; Integration Engineering, Frontend Engineering</w:t>
            </w:r>
          </w:p>
        </w:tc>
      </w:tr>
      <w:tr>
        <w:tc>
          <w:tcPr>
            <w:tcW w:type="dxa" w:w="2621"/>
            <w:tcMar>
              <w:top w:type="dxa" w:w="70"/>
              <w:left w:type="dxa" w:w="110"/>
              <w:bottom w:type="dxa" w:w="70"/>
              <w:right w:type="dxa" w:w="110"/>
            </w:tcMar>
            <w:vAlign w:val="top"/>
          </w:tcPr>
          <w:p>
            <w:r>
              <w:rPr>
                <w:b/>
                <w:bCs/>
                <w:color w:val="1A1A1A"/>
                <w:sz w:val="14"/>
                <w:szCs w:val="14"/>
              </w:rPr>
              <w:t xml:space="preserve">API &amp; Integration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Backend Engineering, Database Engineering</w:t>
            </w:r>
          </w:p>
        </w:tc>
        <w:tc>
          <w:tcPr>
            <w:tcW w:type="dxa" w:w="4032"/>
            <w:tcMar>
              <w:top w:type="dxa" w:w="70"/>
              <w:left w:type="dxa" w:w="110"/>
              <w:bottom w:type="dxa" w:w="70"/>
              <w:right w:type="dxa" w:w="110"/>
            </w:tcMar>
            <w:vAlign w:val="top"/>
          </w:tcPr>
          <w:p>
            <w:r>
              <w:rPr>
                <w:b w:val="false"/>
                <w:bCs w:val="false"/>
                <w:color w:val="1A1A1A"/>
                <w:sz w:val="14"/>
                <w:szCs w:val="14"/>
              </w:rPr>
              <w:t xml:space="preserve">Frontend Engineering, AI &amp; KM Engineering</w:t>
            </w:r>
          </w:p>
        </w:tc>
      </w:tr>
      <w:tr>
        <w:tc>
          <w:tcPr>
            <w:tcW w:type="dxa" w:w="2621"/>
            <w:tcMar>
              <w:top w:type="dxa" w:w="70"/>
              <w:left w:type="dxa" w:w="110"/>
              <w:bottom w:type="dxa" w:w="70"/>
              <w:right w:type="dxa" w:w="110"/>
            </w:tcMar>
            <w:vAlign w:val="top"/>
          </w:tcPr>
          <w:p>
            <w:r>
              <w:rPr>
                <w:b/>
                <w:bCs/>
                <w:color w:val="1A1A1A"/>
                <w:sz w:val="14"/>
                <w:szCs w:val="14"/>
              </w:rPr>
              <w:t xml:space="preserve">Frontend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API &amp; Integration Engineering</w:t>
            </w:r>
          </w:p>
        </w:tc>
        <w:tc>
          <w:tcPr>
            <w:tcW w:type="dxa" w:w="4032"/>
            <w:tcMar>
              <w:top w:type="dxa" w:w="70"/>
              <w:left w:type="dxa" w:w="110"/>
              <w:bottom w:type="dxa" w:w="70"/>
              <w:right w:type="dxa" w:w="110"/>
            </w:tcMar>
            <w:vAlign w:val="top"/>
          </w:tcPr>
          <w:p>
            <w:r>
              <w:rPr>
                <w:b w:val="false"/>
                <w:bCs w:val="false"/>
                <w:color w:val="1A1A1A"/>
                <w:sz w:val="14"/>
                <w:szCs w:val="14"/>
              </w:rPr>
              <w:t xml:space="preserve">Quality Engineering &amp; Testing (UAT)</w:t>
            </w:r>
          </w:p>
        </w:tc>
      </w:tr>
      <w:tr>
        <w:tc>
          <w:tcPr>
            <w:tcW w:type="dxa" w:w="2621"/>
            <w:tcMar>
              <w:top w:type="dxa" w:w="70"/>
              <w:left w:type="dxa" w:w="110"/>
              <w:bottom w:type="dxa" w:w="70"/>
              <w:right w:type="dxa" w:w="110"/>
            </w:tcMar>
            <w:vAlign w:val="top"/>
          </w:tcPr>
          <w:p>
            <w:r>
              <w:rPr>
                <w:b/>
                <w:bCs/>
                <w:color w:val="1A1A1A"/>
                <w:sz w:val="14"/>
                <w:szCs w:val="14"/>
              </w:rPr>
              <w:t xml:space="preserve">Security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  (foundational; informs all domains from the outset)</w:t>
            </w:r>
          </w:p>
        </w:tc>
        <w:tc>
          <w:tcPr>
            <w:tcW w:type="dxa" w:w="4032"/>
            <w:tcMar>
              <w:top w:type="dxa" w:w="70"/>
              <w:left w:type="dxa" w:w="110"/>
              <w:bottom w:type="dxa" w:w="70"/>
              <w:right w:type="dxa" w:w="110"/>
            </w:tcMar>
            <w:vAlign w:val="top"/>
          </w:tcPr>
          <w:p>
            <w:r>
              <w:rPr>
                <w:b w:val="false"/>
                <w:bCs w:val="false"/>
                <w:color w:val="1A1A1A"/>
                <w:sz w:val="14"/>
                <w:szCs w:val="14"/>
              </w:rPr>
              <w:t xml:space="preserve">All domains at their respective quality gates</w:t>
            </w:r>
          </w:p>
        </w:tc>
      </w:tr>
      <w:tr>
        <w:tc>
          <w:tcPr>
            <w:tcW w:type="dxa" w:w="2621"/>
            <w:tcMar>
              <w:top w:type="dxa" w:w="70"/>
              <w:left w:type="dxa" w:w="110"/>
              <w:bottom w:type="dxa" w:w="70"/>
              <w:right w:type="dxa" w:w="110"/>
            </w:tcMar>
            <w:vAlign w:val="top"/>
          </w:tcPr>
          <w:p>
            <w:r>
              <w:rPr>
                <w:b/>
                <w:bCs/>
                <w:color w:val="1A1A1A"/>
                <w:sz w:val="14"/>
                <w:szCs w:val="14"/>
              </w:rPr>
              <w:t xml:space="preserve">AI &amp; Knowledge Management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Database Engineering, API &amp; Integration Engineering</w:t>
            </w:r>
          </w:p>
        </w:tc>
        <w:tc>
          <w:tcPr>
            <w:tcW w:type="dxa" w:w="4032"/>
            <w:tcMar>
              <w:top w:type="dxa" w:w="70"/>
              <w:left w:type="dxa" w:w="110"/>
              <w:bottom w:type="dxa" w:w="70"/>
              <w:right w:type="dxa" w:w="110"/>
            </w:tcMar>
            <w:vAlign w:val="top"/>
          </w:tcPr>
          <w:p>
            <w:r>
              <w:rPr>
                <w:b w:val="false"/>
                <w:bCs w:val="false"/>
                <w:color w:val="1A1A1A"/>
                <w:sz w:val="14"/>
                <w:szCs w:val="14"/>
              </w:rPr>
              <w:t xml:space="preserve">Quality Engineering &amp; Testing (AI validation)</w:t>
            </w:r>
          </w:p>
        </w:tc>
      </w:tr>
      <w:tr>
        <w:tc>
          <w:tcPr>
            <w:tcW w:type="dxa" w:w="2621"/>
            <w:tcMar>
              <w:top w:type="dxa" w:w="70"/>
              <w:left w:type="dxa" w:w="110"/>
              <w:bottom w:type="dxa" w:w="70"/>
              <w:right w:type="dxa" w:w="110"/>
            </w:tcMar>
            <w:vAlign w:val="top"/>
          </w:tcPr>
          <w:p>
            <w:r>
              <w:rPr>
                <w:b/>
                <w:bCs/>
                <w:color w:val="1A1A1A"/>
                <w:sz w:val="14"/>
                <w:szCs w:val="14"/>
              </w:rPr>
              <w:t xml:space="preserve">DevSecOps &amp; Infrastructure Engineering</w:t>
            </w:r>
          </w:p>
        </w:tc>
        <w:tc>
          <w:tcPr>
            <w:tcW w:type="dxa" w:w="3427"/>
            <w:tcMar>
              <w:top w:type="dxa" w:w="70"/>
              <w:left w:type="dxa" w:w="110"/>
              <w:bottom w:type="dxa" w:w="70"/>
              <w:right w:type="dxa" w:w="110"/>
            </w:tcMar>
            <w:vAlign w:val="top"/>
          </w:tcPr>
          <w:p>
            <w:r>
              <w:rPr>
                <w:b w:val="false"/>
                <w:bCs w:val="false"/>
                <w:color w:val="1A1A1A"/>
                <w:sz w:val="14"/>
                <w:szCs w:val="14"/>
              </w:rPr>
              <w:t xml:space="preserve">Security Engineering</w:t>
            </w:r>
          </w:p>
        </w:tc>
        <w:tc>
          <w:tcPr>
            <w:tcW w:type="dxa" w:w="4032"/>
            <w:tcMar>
              <w:top w:type="dxa" w:w="70"/>
              <w:left w:type="dxa" w:w="110"/>
              <w:bottom w:type="dxa" w:w="70"/>
              <w:right w:type="dxa" w:w="110"/>
            </w:tcMar>
            <w:vAlign w:val="top"/>
          </w:tcPr>
          <w:p>
            <w:r>
              <w:rPr>
                <w:b w:val="false"/>
                <w:bCs w:val="false"/>
                <w:color w:val="1A1A1A"/>
                <w:sz w:val="14"/>
                <w:szCs w:val="14"/>
              </w:rPr>
              <w:t xml:space="preserve">All domains (build, test, and release execution)</w:t>
            </w:r>
          </w:p>
        </w:tc>
      </w:tr>
      <w:tr>
        <w:tc>
          <w:tcPr>
            <w:tcW w:type="dxa" w:w="2621"/>
            <w:tcMar>
              <w:top w:type="dxa" w:w="70"/>
              <w:left w:type="dxa" w:w="110"/>
              <w:bottom w:type="dxa" w:w="70"/>
              <w:right w:type="dxa" w:w="110"/>
            </w:tcMar>
            <w:vAlign w:val="top"/>
          </w:tcPr>
          <w:p>
            <w:r>
              <w:rPr>
                <w:b/>
                <w:bCs/>
                <w:color w:val="1A1A1A"/>
                <w:sz w:val="14"/>
                <w:szCs w:val="14"/>
              </w:rPr>
              <w:t xml:space="preserve">Quality Engineering &amp; Testing</w:t>
            </w:r>
          </w:p>
        </w:tc>
        <w:tc>
          <w:tcPr>
            <w:tcW w:type="dxa" w:w="3427"/>
            <w:tcMar>
              <w:top w:type="dxa" w:w="70"/>
              <w:left w:type="dxa" w:w="110"/>
              <w:bottom w:type="dxa" w:w="70"/>
              <w:right w:type="dxa" w:w="110"/>
            </w:tcMar>
            <w:vAlign w:val="top"/>
          </w:tcPr>
          <w:p>
            <w:r>
              <w:rPr>
                <w:b w:val="false"/>
                <w:bCs w:val="false"/>
                <w:color w:val="1A1A1A"/>
                <w:sz w:val="14"/>
                <w:szCs w:val="14"/>
              </w:rPr>
              <w:t xml:space="preserve">All build-producing domains</w:t>
            </w:r>
          </w:p>
        </w:tc>
        <w:tc>
          <w:tcPr>
            <w:tcW w:type="dxa" w:w="4032"/>
            <w:tcMar>
              <w:top w:type="dxa" w:w="70"/>
              <w:left w:type="dxa" w:w="110"/>
              <w:bottom w:type="dxa" w:w="70"/>
              <w:right w:type="dxa" w:w="110"/>
            </w:tcMar>
            <w:vAlign w:val="top"/>
          </w:tcPr>
          <w:p>
            <w:r>
              <w:rPr>
                <w:b w:val="false"/>
                <w:bCs w:val="false"/>
                <w:color w:val="1A1A1A"/>
                <w:sz w:val="14"/>
                <w:szCs w:val="14"/>
              </w:rPr>
              <w:t xml:space="preserve">DevSecOps &amp; Infrastructure Engineering (release gate)</w:t>
            </w:r>
          </w:p>
        </w:tc>
      </w:tr>
      <w:tr>
        <w:tc>
          <w:tcPr>
            <w:tcW w:type="dxa" w:w="2621"/>
            <w:tcMar>
              <w:top w:type="dxa" w:w="70"/>
              <w:left w:type="dxa" w:w="110"/>
              <w:bottom w:type="dxa" w:w="70"/>
              <w:right w:type="dxa" w:w="110"/>
            </w:tcMar>
            <w:vAlign w:val="top"/>
          </w:tcPr>
          <w:p>
            <w:r>
              <w:rPr>
                <w:b/>
                <w:bCs/>
                <w:color w:val="1A1A1A"/>
                <w:sz w:val="14"/>
                <w:szCs w:val="14"/>
              </w:rPr>
              <w:t xml:space="preserve">Documentation &amp; Engineering Governance</w:t>
            </w:r>
          </w:p>
        </w:tc>
        <w:tc>
          <w:tcPr>
            <w:tcW w:type="dxa" w:w="3427"/>
            <w:tcMar>
              <w:top w:type="dxa" w:w="70"/>
              <w:left w:type="dxa" w:w="110"/>
              <w:bottom w:type="dxa" w:w="70"/>
              <w:right w:type="dxa" w:w="110"/>
            </w:tcMar>
            <w:vAlign w:val="top"/>
          </w:tcPr>
          <w:p>
            <w:r>
              <w:rPr>
                <w:b w:val="false"/>
                <w:bCs w:val="false"/>
                <w:color w:val="1A1A1A"/>
                <w:sz w:val="14"/>
                <w:szCs w:val="14"/>
              </w:rPr>
              <w:t xml:space="preserve">All domains (as documentation sources)</w:t>
            </w:r>
          </w:p>
        </w:tc>
        <w:tc>
          <w:tcPr>
            <w:tcW w:type="dxa" w:w="4032"/>
            <w:tcMar>
              <w:top w:type="dxa" w:w="70"/>
              <w:left w:type="dxa" w:w="110"/>
              <w:bottom w:type="dxa" w:w="70"/>
              <w:right w:type="dxa" w:w="110"/>
            </w:tcMar>
            <w:vAlign w:val="top"/>
          </w:tcPr>
          <w:p>
            <w:r>
              <w:rPr>
                <w:b w:val="false"/>
                <w:bCs w:val="false"/>
                <w:color w:val="1A1A1A"/>
                <w:sz w:val="14"/>
                <w:szCs w:val="14"/>
              </w:rPr>
              <w:t xml:space="preserve">Programme-level acceptance milestones (Appendix 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EDF2" w:sz="2"/>
              <w:left w:val="single" w:color="33363C" w:sz="24"/>
              <w:bottom w:val="single" w:color="E9EDF2" w:sz="2"/>
              <w:right w:val="single" w:color="E9EDF2" w:sz="2"/>
            </w:tcBorders>
            <w:shd w:fill="E9EDF2" w:val="clear"/>
            <w:tcMar>
              <w:top w:type="dxa" w:w="120"/>
              <w:left w:type="dxa" w:w="180"/>
              <w:bottom w:type="dxa" w:w="120"/>
              <w:right w:type="dxa" w:w="180"/>
            </w:tcMar>
          </w:tcPr>
          <w:p>
            <w:pPr>
              <w:spacing w:after="60"/>
            </w:pPr>
            <w:r>
              <w:rPr>
                <w:b/>
                <w:bCs/>
                <w:color w:val="33363C"/>
                <w:sz w:val="17"/>
                <w:szCs w:val="17"/>
              </w:rPr>
              <w:t xml:space="preserve">ARCHITECTURE DECISION</w:t>
            </w:r>
          </w:p>
          <w:p>
            <w:pPr>
              <w:spacing w:after="0"/>
            </w:pPr>
            <w:r>
              <w:rPr>
                <w:sz w:val="18"/>
                <w:szCs w:val="18"/>
              </w:rPr>
              <w:t xml:space="preserve">Security Engineering and Documentation &amp; Engineering Governance are treated as cross-cutting domains rather than sequential dependencies: every Work Package carries security and documentation obligations regardless of its primary domain, consistent with Handbook Chapters 14, 17, and 19 (Definition of Done).</w:t>
            </w:r>
          </w:p>
        </w:tc>
      </w:tr>
    </w:tbl>
    <w:p>
      <w:pPr>
        <w:pStyle w:val="Heading1"/>
        <w:pBdr>
          <w:bottom w:val="single" w:color="DAD3C0" w:sz="4" w:space="4"/>
        </w:pBdr>
        <w:spacing w:after="140" w:before="360"/>
      </w:pPr>
      <w:r>
        <w:rPr>
          <w:b/>
          <w:bCs/>
          <w:color w:val="97771F"/>
          <w:sz w:val="26"/>
          <w:szCs w:val="26"/>
        </w:rPr>
        <w:t xml:space="preserve">2.11  </w:t>
      </w:r>
      <w:r>
        <w:rPr>
          <w:b/>
          <w:bCs/>
          <w:color w:val="33363C"/>
          <w:sz w:val="26"/>
          <w:szCs w:val="26"/>
        </w:rPr>
        <w:t xml:space="preserve">Summary and Bridge to Part 3</w:t>
      </w:r>
    </w:p>
    <w:p>
      <w:pPr>
        <w:spacing w:after="150" w:line="276"/>
        <w:jc w:val="both"/>
      </w:pPr>
      <w:r>
        <w:t xml:space="preserve">This Part defined the nine Engineering Domains — Backend, Frontend, Database, API &amp; Integration, Security, AI &amp; Knowledge Management, DevSecOps &amp; Infrastructure, Quality Engineering &amp; Testing, and Documentation &amp; Engineering Governance — each with its scope, business value, components, dependencies, deliverables, risks, standards, and responsible roles, plus the cross-domain dependency structure that governs build sequencing.</w:t>
      </w:r>
    </w:p>
    <w:p>
      <w:pPr>
        <w:spacing w:after="150" w:line="276"/>
        <w:jc w:val="both"/>
      </w:pPr>
      <w:r>
        <w:t xml:space="preserve">Part 3 — Module Decomposition — takes the eighteen functional modules already defined in SRS Parts 3 through 22 and decomposes each into its objective, functional and non-functional scope, major components, APIs, database entities, UI components, security requirements, integration points, AI capabilities, and reporting requirements — mapping every module to the domains defined here.</w:t>
      </w:r>
    </w:p>
    <w:p>
      <w:pPr>
        <w:pStyle w:val="Heading2"/>
        <w:spacing w:after="110" w:before="260"/>
      </w:pPr>
      <w:r>
        <w:rPr>
          <w:b/>
          <w:bCs/>
          <w:color w:val="97771F"/>
          <w:sz w:val="21"/>
          <w:szCs w:val="21"/>
        </w:rPr>
        <w:t xml:space="preserve">2.11.1  </w:t>
      </w:r>
      <w:r>
        <w:rPr>
          <w:b/>
          <w:bCs/>
          <w:color w:val="33363C"/>
          <w:sz w:val="21"/>
          <w:szCs w:val="21"/>
        </w:rPr>
        <w:t xml:space="preserve">Key Takeaways</w:t>
      </w:r>
    </w:p>
    <w:p>
      <w:pPr>
        <w:pStyle w:val="ListParagraph"/>
        <w:numPr>
          <w:ilvl w:val="0"/>
          <w:numId w:val="1"/>
        </w:numPr>
        <w:spacing w:after="90" w:line="264"/>
      </w:pPr>
      <w:r>
        <w:t xml:space="preserve">Nine Engineering Domains map directly to Engineering Handbook Chapters 9–17 — no new organizational structure is introduced.</w:t>
      </w:r>
    </w:p>
    <w:p>
      <w:pPr>
        <w:pStyle w:val="ListParagraph"/>
        <w:numPr>
          <w:ilvl w:val="0"/>
          <w:numId w:val="1"/>
        </w:numPr>
        <w:spacing w:after="90" w:line="264"/>
      </w:pPr>
      <w:r>
        <w:t xml:space="preserve">Security Engineering and Documentation &amp; Engineering Governance are cross-cutting; every Work Package carries obligations to both regardless of primary domain.</w:t>
      </w:r>
    </w:p>
    <w:p>
      <w:pPr>
        <w:pStyle w:val="ListParagraph"/>
        <w:numPr>
          <w:ilvl w:val="0"/>
          <w:numId w:val="1"/>
        </w:numPr>
        <w:spacing w:after="90" w:line="264"/>
      </w:pPr>
      <w:r>
        <w:t xml:space="preserve">Database Engineering and Security Engineering are the earliest domains in the build sequence; Quality Engineering &amp; Testing and DevSecOps sit at the release gate.</w:t>
      </w:r>
    </w:p>
    <w:p>
      <w:pPr>
        <w:pStyle w:val="ListParagraph"/>
        <w:numPr>
          <w:ilvl w:val="0"/>
          <w:numId w:val="1"/>
        </w:numPr>
        <w:spacing w:after="90" w:line="264"/>
      </w:pPr>
      <w:r>
        <w:t xml:space="preserve">Each domain's Responsible Roles table is the basis for Work Package reviewer/approver assignment in MEKB Parts 5–8.</w:t>
      </w:r>
    </w:p>
    <w:p>
      <w:pPr>
        <w:pStyle w:val="Heading2"/>
        <w:spacing w:after="110" w:before="260"/>
      </w:pPr>
      <w:r>
        <w:rPr>
          <w:b/>
          <w:bCs/>
          <w:color w:val="97771F"/>
          <w:sz w:val="21"/>
          <w:szCs w:val="21"/>
        </w:rPr>
        <w:t xml:space="preserve">2.11.2  </w:t>
      </w:r>
      <w:r>
        <w:rPr>
          <w:b/>
          <w:bCs/>
          <w:color w:val="33363C"/>
          <w:sz w:val="21"/>
          <w:szCs w:val="21"/>
        </w:rPr>
        <w:t xml:space="preserve">Related Parts</w:t>
      </w:r>
    </w:p>
    <w:p>
      <w:pPr>
        <w:pStyle w:val="ListParagraph"/>
        <w:numPr>
          <w:ilvl w:val="0"/>
          <w:numId w:val="1"/>
        </w:numPr>
        <w:spacing w:after="90" w:line="264"/>
      </w:pPr>
      <w:r>
        <w:t xml:space="preserve">MEKB Part 1 — Engineering Knowledge Map</w:t>
      </w:r>
    </w:p>
    <w:p>
      <w:pPr>
        <w:pStyle w:val="ListParagraph"/>
        <w:numPr>
          <w:ilvl w:val="0"/>
          <w:numId w:val="1"/>
        </w:numPr>
        <w:spacing w:after="90" w:line="264"/>
      </w:pPr>
      <w:r>
        <w:t xml:space="preserve">MEKB Part 3 — Module Decomposition</w:t>
      </w:r>
    </w:p>
    <w:p>
      <w:pPr>
        <w:pStyle w:val="ListParagraph"/>
        <w:numPr>
          <w:ilvl w:val="0"/>
          <w:numId w:val="1"/>
        </w:numPr>
        <w:spacing w:after="90" w:line="264"/>
      </w:pPr>
      <w:r>
        <w:t xml:space="preserve">MEKB Part 4 — Engineering Work Breakdown Structure</w:t>
      </w:r>
    </w:p>
    <w:p>
      <w:pPr>
        <w:pStyle w:val="ListParagraph"/>
        <w:numPr>
          <w:ilvl w:val="0"/>
          <w:numId w:val="1"/>
        </w:numPr>
        <w:spacing w:after="90" w:line="264"/>
      </w:pPr>
      <w:r>
        <w:t xml:space="preserve">Engineering Handbook Chapters 9–17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2026-07-20T11:35:35.849Z</dcterms:created>
  <dcterms:modified xsi:type="dcterms:W3CDTF">2026-07-20T11:35:35.852Z</dcterms:modified>
</cp:coreProperties>
</file>

<file path=docProps/custom.xml><?xml version="1.0" encoding="utf-8"?>
<Properties xmlns="http://schemas.openxmlformats.org/officeDocument/2006/custom-properties" xmlns:vt="http://schemas.openxmlformats.org/officeDocument/2006/docPropsVTypes"/>
</file>