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97771F"/>
          <w:sz w:val="22"/>
          <w:szCs w:val="22"/>
        </w:rPr>
        <w:t xml:space="preserve">SAPZ MASTER ENGINEERING KNOWLEDGE BASE</w:t>
      </w:r>
    </w:p>
    <w:p>
      <w:pPr>
        <w:spacing w:after="260"/>
        <w:jc w:val="center"/>
      </w:pPr>
      <w:r>
        <w:rPr>
          <w:b/>
          <w:bCs/>
          <w:color w:val="1C1E21"/>
          <w:sz w:val="28"/>
          <w:szCs w:val="28"/>
        </w:rPr>
        <w:t xml:space="preserve">Part 3</w:t>
      </w:r>
    </w:p>
    <w:p>
      <w:pPr>
        <w:pBdr>
          <w:bottom w:val="single" w:color="33363C" w:sz="14" w:space="10"/>
        </w:pBdr>
        <w:spacing w:after="160"/>
        <w:jc w:val="center"/>
      </w:pPr>
      <w:r>
        <w:rPr>
          <w:b/>
          <w:bCs/>
          <w:color w:val="1C1E21"/>
          <w:sz w:val="40"/>
          <w:szCs w:val="40"/>
        </w:rPr>
        <w:t xml:space="preserve">Module Decomposition</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Knowledge Base (MEKB) — Bridging Documentation and Implementation</w:t>
      </w:r>
    </w:p>
    <w:p>
      <w:r>
        <w:br w:type="page"/>
      </w:r>
    </w:p>
    <w:p>
      <w:pPr>
        <w:spacing w:after="40"/>
        <w:jc w:val="left"/>
      </w:pPr>
      <w:r>
        <w:rPr>
          <w:b/>
          <w:bCs/>
          <w:caps/>
          <w:color w:val="97771F"/>
          <w:sz w:val="22"/>
          <w:szCs w:val="22"/>
        </w:rPr>
        <w:t xml:space="preserve">PART 3</w:t>
      </w:r>
    </w:p>
    <w:p>
      <w:pPr>
        <w:pBdr>
          <w:bottom w:val="single" w:color="33363C" w:sz="12" w:space="8"/>
        </w:pBdr>
        <w:spacing w:after="200"/>
        <w:jc w:val="left"/>
      </w:pPr>
      <w:r>
        <w:rPr>
          <w:b/>
          <w:bCs/>
          <w:color w:val="1C1E21"/>
          <w:sz w:val="44"/>
          <w:szCs w:val="44"/>
        </w:rPr>
        <w:t xml:space="preserve">Module Decomposition</w:t>
      </w:r>
    </w:p>
    <w:p>
      <w:pPr>
        <w:spacing w:after="90" w:before="180"/>
      </w:pPr>
      <w:r>
        <w:rPr>
          <w:b/>
          <w:bCs/>
          <w:color w:val="1C1E21"/>
          <w:sz w:val="19"/>
          <w:szCs w:val="19"/>
        </w:rPr>
        <w:t xml:space="preserve">Part Overview</w:t>
      </w:r>
    </w:p>
    <w:p>
      <w:pPr>
        <w:spacing w:after="150" w:line="276"/>
        <w:jc w:val="both"/>
      </w:pPr>
      <w:r>
        <w:t xml:space="preserve">This Part decomposes the platform into its twenty major functional modules, exactly as defined in SRS Parts 3 through 22. For each module, this Part specifies the objective, functional and non-functional scope, major components, APIs, database entities, UI components, security requirements, integration points, AI capabilities, and reporting requirements — condensing the detailed SRS content into an implementation-facing profile that can be handed directly to a Work Package.</w:t>
      </w:r>
    </w:p>
    <w:p>
      <w:pPr>
        <w:spacing w:after="150" w:line="276"/>
        <w:jc w:val="both"/>
      </w:pPr>
      <w:r>
        <w:t xml:space="preserve">No new functional scope is introduced here. Every statement below is a summary of, and cross-reference into, the corresponding SRS Part. Where implementation detail is required beyond what is summarized here, the referenced SRS Part, together with the relevant DDS and AIDS parts, is the authoritative source.</w:t>
      </w:r>
    </w:p>
    <w:p>
      <w:pPr>
        <w:spacing w:after="90" w:before="180"/>
      </w:pPr>
      <w:r>
        <w:rPr>
          <w:b/>
          <w:bCs/>
          <w:color w:val="1C1E21"/>
          <w:sz w:val="19"/>
          <w:szCs w:val="19"/>
        </w:rPr>
        <w:t xml:space="preserve">The Twenty Modules</w:t>
      </w:r>
    </w:p>
    <w:p>
      <w:pPr>
        <w:spacing w:after="90" w:line="264"/>
      </w:pPr>
      <w:r>
        <w:rPr>
          <w:b/>
          <w:bCs/>
          <w:color w:val="33363C"/>
        </w:rPr>
        <w:t xml:space="preserve">1. </w:t>
      </w:r>
      <w:r>
        <w:t xml:space="preserve">Executive Management</w:t>
      </w:r>
    </w:p>
    <w:p>
      <w:pPr>
        <w:spacing w:after="90" w:line="264"/>
      </w:pPr>
      <w:r>
        <w:rPr>
          <w:b/>
          <w:bCs/>
          <w:color w:val="33363C"/>
        </w:rPr>
        <w:t xml:space="preserve">2. </w:t>
      </w:r>
      <w:r>
        <w:t xml:space="preserve">Programme Management</w:t>
      </w:r>
    </w:p>
    <w:p>
      <w:pPr>
        <w:spacing w:after="90" w:line="264"/>
      </w:pPr>
      <w:r>
        <w:rPr>
          <w:b/>
          <w:bCs/>
          <w:color w:val="33363C"/>
        </w:rPr>
        <w:t xml:space="preserve">3. </w:t>
      </w:r>
      <w:r>
        <w:t xml:space="preserve">Projects</w:t>
      </w:r>
    </w:p>
    <w:p>
      <w:pPr>
        <w:spacing w:after="90" w:line="264"/>
      </w:pPr>
      <w:r>
        <w:rPr>
          <w:b/>
          <w:bCs/>
          <w:color w:val="33363C"/>
        </w:rPr>
        <w:t xml:space="preserve">4. </w:t>
      </w:r>
      <w:r>
        <w:t xml:space="preserve">Tasks</w:t>
      </w:r>
    </w:p>
    <w:p>
      <w:pPr>
        <w:spacing w:after="90" w:line="264"/>
      </w:pPr>
      <w:r>
        <w:rPr>
          <w:b/>
          <w:bCs/>
          <w:color w:val="33363C"/>
        </w:rPr>
        <w:t xml:space="preserve">5. </w:t>
      </w:r>
      <w:r>
        <w:t xml:space="preserve">Workflow</w:t>
      </w:r>
    </w:p>
    <w:p>
      <w:pPr>
        <w:spacing w:after="90" w:line="264"/>
      </w:pPr>
      <w:r>
        <w:rPr>
          <w:b/>
          <w:bCs/>
          <w:color w:val="33363C"/>
        </w:rPr>
        <w:t xml:space="preserve">6. </w:t>
      </w:r>
      <w:r>
        <w:t xml:space="preserve">Approvals</w:t>
      </w:r>
    </w:p>
    <w:p>
      <w:pPr>
        <w:spacing w:after="90" w:line="264"/>
      </w:pPr>
      <w:r>
        <w:rPr>
          <w:b/>
          <w:bCs/>
          <w:color w:val="33363C"/>
        </w:rPr>
        <w:t xml:space="preserve">7. </w:t>
      </w:r>
      <w:r>
        <w:t xml:space="preserve">Security (Module-Level)</w:t>
      </w:r>
    </w:p>
    <w:p>
      <w:pPr>
        <w:spacing w:after="90" w:line="264"/>
      </w:pPr>
      <w:r>
        <w:rPr>
          <w:b/>
          <w:bCs/>
          <w:color w:val="33363C"/>
        </w:rPr>
        <w:t xml:space="preserve">8. </w:t>
      </w:r>
      <w:r>
        <w:t xml:space="preserve">Administration</w:t>
      </w:r>
    </w:p>
    <w:p>
      <w:pPr>
        <w:spacing w:after="90" w:line="264"/>
      </w:pPr>
      <w:r>
        <w:rPr>
          <w:b/>
          <w:bCs/>
          <w:color w:val="33363C"/>
        </w:rPr>
        <w:t xml:space="preserve">9. </w:t>
      </w:r>
      <w:r>
        <w:t xml:space="preserve">Documents</w:t>
      </w:r>
    </w:p>
    <w:p>
      <w:pPr>
        <w:spacing w:after="90" w:line="264"/>
      </w:pPr>
      <w:r>
        <w:rPr>
          <w:b/>
          <w:bCs/>
          <w:color w:val="33363C"/>
        </w:rPr>
        <w:t xml:space="preserve">10. </w:t>
      </w:r>
      <w:r>
        <w:t xml:space="preserve">Knowledge Repository</w:t>
      </w:r>
    </w:p>
    <w:p>
      <w:pPr>
        <w:spacing w:after="90" w:line="264"/>
      </w:pPr>
      <w:r>
        <w:rPr>
          <w:b/>
          <w:bCs/>
          <w:color w:val="33363C"/>
        </w:rPr>
        <w:t xml:space="preserve">11. </w:t>
      </w:r>
      <w:r>
        <w:t xml:space="preserve">Media</w:t>
      </w:r>
    </w:p>
    <w:p>
      <w:pPr>
        <w:spacing w:after="90" w:line="264"/>
      </w:pPr>
      <w:r>
        <w:rPr>
          <w:b/>
          <w:bCs/>
          <w:color w:val="33363C"/>
        </w:rPr>
        <w:t xml:space="preserve">12. </w:t>
      </w:r>
      <w:r>
        <w:t xml:space="preserve">Search (Module-Level)</w:t>
      </w:r>
    </w:p>
    <w:p>
      <w:pPr>
        <w:spacing w:after="90" w:line="264"/>
      </w:pPr>
      <w:r>
        <w:rPr>
          <w:b/>
          <w:bCs/>
          <w:color w:val="33363C"/>
        </w:rPr>
        <w:t xml:space="preserve">13. </w:t>
      </w:r>
      <w:r>
        <w:t xml:space="preserve">Reporting</w:t>
      </w:r>
    </w:p>
    <w:p>
      <w:pPr>
        <w:spacing w:after="90" w:line="264"/>
      </w:pPr>
      <w:r>
        <w:rPr>
          <w:b/>
          <w:bCs/>
          <w:color w:val="33363C"/>
        </w:rPr>
        <w:t xml:space="preserve">14. </w:t>
      </w:r>
      <w:r>
        <w:t xml:space="preserve">Analytics</w:t>
      </w:r>
    </w:p>
    <w:p>
      <w:pPr>
        <w:spacing w:after="90" w:line="264"/>
      </w:pPr>
      <w:r>
        <w:rPr>
          <w:b/>
          <w:bCs/>
          <w:color w:val="33363C"/>
        </w:rPr>
        <w:t xml:space="preserve">15. </w:t>
      </w:r>
      <w:r>
        <w:t xml:space="preserve">Notifications (Module-Level)</w:t>
      </w:r>
    </w:p>
    <w:p>
      <w:pPr>
        <w:spacing w:after="90" w:line="264"/>
      </w:pPr>
      <w:r>
        <w:rPr>
          <w:b/>
          <w:bCs/>
          <w:color w:val="33363C"/>
        </w:rPr>
        <w:t xml:space="preserve">16. </w:t>
      </w:r>
      <w:r>
        <w:t xml:space="preserve">Training</w:t>
      </w:r>
    </w:p>
    <w:p>
      <w:pPr>
        <w:spacing w:after="90" w:line="264"/>
      </w:pPr>
      <w:r>
        <w:rPr>
          <w:b/>
          <w:bCs/>
          <w:color w:val="33363C"/>
        </w:rPr>
        <w:t xml:space="preserve">17. </w:t>
      </w:r>
      <w:r>
        <w:t xml:space="preserve">Support</w:t>
      </w:r>
    </w:p>
    <w:p>
      <w:pPr>
        <w:spacing w:after="90" w:line="264"/>
      </w:pPr>
      <w:r>
        <w:rPr>
          <w:b/>
          <w:bCs/>
          <w:color w:val="33363C"/>
        </w:rPr>
        <w:t xml:space="preserve">18. </w:t>
      </w:r>
      <w:r>
        <w:t xml:space="preserve">Help Desk</w:t>
      </w:r>
    </w:p>
    <w:p>
      <w:pPr>
        <w:spacing w:after="90" w:line="264"/>
      </w:pPr>
      <w:r>
        <w:rPr>
          <w:b/>
          <w:bCs/>
          <w:color w:val="33363C"/>
        </w:rPr>
        <w:t xml:space="preserve">19. </w:t>
      </w:r>
      <w:r>
        <w:t xml:space="preserve">Public Portal</w:t>
      </w:r>
    </w:p>
    <w:p>
      <w:pPr>
        <w:spacing w:after="90" w:line="264"/>
      </w:pPr>
      <w:r>
        <w:rPr>
          <w:b/>
          <w:bCs/>
          <w:color w:val="33363C"/>
        </w:rPr>
        <w:t xml:space="preserve">20. </w:t>
      </w:r>
      <w:r>
        <w:t xml:space="preserve">AI Assistant (Phase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3F0E8" w:sz="2"/>
              <w:left w:val="single" w:color="97771F" w:sz="24"/>
              <w:bottom w:val="single" w:color="F3F0E8" w:sz="2"/>
              <w:right w:val="single" w:color="F3F0E8" w:sz="2"/>
            </w:tcBorders>
            <w:shd w:fill="F3F0E8" w:val="clear"/>
            <w:tcMar>
              <w:top w:type="dxa" w:w="120"/>
              <w:left w:type="dxa" w:w="180"/>
              <w:bottom w:type="dxa" w:w="120"/>
              <w:right w:type="dxa" w:w="180"/>
            </w:tcMar>
          </w:tcPr>
          <w:p>
            <w:pPr>
              <w:spacing w:after="60"/>
            </w:pPr>
            <w:r>
              <w:rPr>
                <w:b/>
                <w:bCs/>
                <w:color w:val="97771F"/>
                <w:sz w:val="17"/>
                <w:szCs w:val="17"/>
              </w:rPr>
              <w:t xml:space="preserve">NOTE</w:t>
            </w:r>
          </w:p>
          <w:p>
            <w:pPr>
              <w:spacing w:after="0"/>
            </w:pPr>
            <w:r>
              <w:rPr>
                <w:sz w:val="18"/>
                <w:szCs w:val="18"/>
              </w:rPr>
              <w:t xml:space="preserve">Security, Search, and Notifications are catalogued as individual SRS Parts (9, 14, 17) but function as cross-cutting, module-level services consumed by every other module — consistent with their treatment as cross-cutting domains in Part 2.</w:t>
            </w:r>
          </w:p>
        </w:tc>
      </w:tr>
    </w:tbl>
    <w:p>
      <w:pPr>
        <w:pStyle w:val="Heading1"/>
        <w:pBdr>
          <w:bottom w:val="single" w:color="DAD3C0" w:sz="4" w:space="4"/>
        </w:pBdr>
        <w:spacing w:after="140" w:before="360"/>
      </w:pPr>
      <w:r>
        <w:rPr>
          <w:b/>
          <w:bCs/>
          <w:color w:val="97771F"/>
          <w:sz w:val="26"/>
          <w:szCs w:val="26"/>
        </w:rPr>
        <w:t xml:space="preserve">3.1  </w:t>
      </w:r>
      <w:r>
        <w:rPr>
          <w:b/>
          <w:bCs/>
          <w:color w:val="33363C"/>
          <w:sz w:val="26"/>
          <w:szCs w:val="26"/>
        </w:rPr>
        <w:t xml:space="preserve">Executive Management (SRS Part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Give NPCO executives real-time visibility into programme-wide status, KPIs, and decision support.</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Executive dashboards, KPI scorecards, programme health indicators, decision briefs.</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Sub-second dashboard load; role-based visibility; mobile-responsive (SRS Part 33).</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Executive Dashboard Service, KPI Aggregation Engine, Decision Brief Generator.</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GET /api/v1/executive/dashboard, GET /api/v1/executive/kpis, GET /api/v1/executive/briefs.</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kpi_metrics, executive_briefs, programme_health_snapshots.</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Executive Dashboard screen, KPI Scorecard widget, Decision Brief viewer (SRS Part 24).</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Executive-tier RBAC; audit logging of brief access.</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Programme Management (data source), Analytics (KPI computation).</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Narrative summary generation for decision briefs (Phase 2).</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Executive summary report, programme health trend report.</w:t>
            </w:r>
          </w:p>
        </w:tc>
      </w:tr>
    </w:tbl>
    <w:p>
      <w:pPr>
        <w:spacing w:after="160"/>
      </w:pPr>
    </w:p>
    <w:p>
      <w:pPr>
        <w:pStyle w:val="Heading1"/>
        <w:pBdr>
          <w:bottom w:val="single" w:color="DAD3C0" w:sz="4" w:space="4"/>
        </w:pBdr>
        <w:spacing w:after="140" w:before="360"/>
      </w:pPr>
      <w:r>
        <w:rPr>
          <w:b/>
          <w:bCs/>
          <w:color w:val="97771F"/>
          <w:sz w:val="26"/>
          <w:szCs w:val="26"/>
        </w:rPr>
        <w:t xml:space="preserve">3.2  </w:t>
      </w:r>
      <w:r>
        <w:rPr>
          <w:b/>
          <w:bCs/>
          <w:color w:val="33363C"/>
          <w:sz w:val="26"/>
          <w:szCs w:val="26"/>
        </w:rPr>
        <w:t xml:space="preserve">Programme Management (SRS Part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Manage the SAPZ programme structure — zones, components, budgets — as the top-level organizing entity.</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Programme setup, zone configuration, budget allocation, milestone tracking.</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Data integrity for financial figures; concurrent multi-zone editing.</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Programme Service, Zone Configuration Manager, Budget Allocation Engine.</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/api/v1/programmes, /api/v1/zones, /api/v1/budgets.</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programmes, zones, budget_lines, milestones.</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Programme Setup Wizard, Zone Management screen, Budget Allocation Dashboard.</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Programme Manager RBAC; financial data field-level encryption.</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Projects module (child entities), Reporting module.</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Budget variance anomaly detection (Phase 2).</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Zone-level budget utilization report, milestone status report.</w:t>
            </w:r>
          </w:p>
        </w:tc>
      </w:tr>
    </w:tbl>
    <w:p>
      <w:pPr>
        <w:spacing w:after="160"/>
      </w:pPr>
    </w:p>
    <w:p>
      <w:pPr>
        <w:pStyle w:val="Heading1"/>
        <w:pBdr>
          <w:bottom w:val="single" w:color="DAD3C0" w:sz="4" w:space="4"/>
        </w:pBdr>
        <w:spacing w:after="140" w:before="360"/>
      </w:pPr>
      <w:r>
        <w:rPr>
          <w:b/>
          <w:bCs/>
          <w:color w:val="97771F"/>
          <w:sz w:val="26"/>
          <w:szCs w:val="26"/>
        </w:rPr>
        <w:t xml:space="preserve">3.3  </w:t>
      </w:r>
      <w:r>
        <w:rPr>
          <w:b/>
          <w:bCs/>
          <w:color w:val="33363C"/>
          <w:sz w:val="26"/>
          <w:szCs w:val="26"/>
        </w:rPr>
        <w:t xml:space="preserve">Projects (SRS Part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Manage individual projects within each zone from initiation through closure.</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Project registration, scope, timeline, resource assignment, status tracking.</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Support hundreds of concurrent active projects.</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Project Service, Resource Assignment Engine, Timeline Manager.</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/api/v1/projects, /api/v1/projects/{id}/resources, /api/v1/projects/{id}/timeline.</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projects, project_resources, project_timelines.</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Project Registration form, Project Detail screen, Gantt Timeline view.</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Project-level access control; zone-scoped visibility.</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Programme Management (parent), Tasks module (children), Workflow module.</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Timeline risk prediction (Phase 2).</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Project status report, portfolio summary report.</w:t>
            </w:r>
          </w:p>
        </w:tc>
      </w:tr>
    </w:tbl>
    <w:p>
      <w:pPr>
        <w:spacing w:after="160"/>
      </w:pPr>
    </w:p>
    <w:p>
      <w:pPr>
        <w:pStyle w:val="Heading1"/>
        <w:pBdr>
          <w:bottom w:val="single" w:color="DAD3C0" w:sz="4" w:space="4"/>
        </w:pBdr>
        <w:spacing w:after="140" w:before="360"/>
      </w:pPr>
      <w:r>
        <w:rPr>
          <w:b/>
          <w:bCs/>
          <w:color w:val="97771F"/>
          <w:sz w:val="26"/>
          <w:szCs w:val="26"/>
        </w:rPr>
        <w:t xml:space="preserve">3.4  </w:t>
      </w:r>
      <w:r>
        <w:rPr>
          <w:b/>
          <w:bCs/>
          <w:color w:val="33363C"/>
          <w:sz w:val="26"/>
          <w:szCs w:val="26"/>
        </w:rPr>
        <w:t xml:space="preserve">Tasks (SRS Part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Track granular work items within projects, assigned to individuals or teams.</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Task creation, assignment, dependencies, status updates, time tracking.</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Real-time status synchronization across concurrent users.</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Task Service, Dependency Graph Engine, Task Notification Trigger.</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/api/v1/tasks, /api/v1/tasks/{id}/dependencies.</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tasks, task_dependencies, task_assignments.</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Task Board (Kanban), Task Detail panel, My Tasks view.</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Assignee-level access; task visibility scoped to project team.</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Projects module (parent), Notifications module, Workflow module.</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Task effort estimation suggestions (Phase 2).</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Task completion rate report, overdue task report.</w:t>
            </w:r>
          </w:p>
        </w:tc>
      </w:tr>
    </w:tbl>
    <w:p>
      <w:pPr>
        <w:spacing w:after="160"/>
      </w:pPr>
    </w:p>
    <w:p>
      <w:pPr>
        <w:pStyle w:val="Heading1"/>
        <w:pBdr>
          <w:bottom w:val="single" w:color="DAD3C0" w:sz="4" w:space="4"/>
        </w:pBdr>
        <w:spacing w:after="140" w:before="360"/>
      </w:pPr>
      <w:r>
        <w:rPr>
          <w:b/>
          <w:bCs/>
          <w:color w:val="97771F"/>
          <w:sz w:val="26"/>
          <w:szCs w:val="26"/>
        </w:rPr>
        <w:t xml:space="preserve">3.5  </w:t>
      </w:r>
      <w:r>
        <w:rPr>
          <w:b/>
          <w:bCs/>
          <w:color w:val="33363C"/>
          <w:sz w:val="26"/>
          <w:szCs w:val="26"/>
        </w:rPr>
        <w:t xml:space="preserve">Workflow (SRS Part 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Orchestrate multi-step business processes — approvals, reviews, escalations — across modules.</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Workflow definition, state transitions, escalation rules, SLA tracking.</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Configurable without code changes; auditable state history.</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Workflow Engine, State Transition Validator, Escalation Scheduler.</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/api/v1/workflows, /api/v1/workflows/{id}/transitions.</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workflow_definitions, workflow_instances, workflow_history.</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Workflow Designer (admin), Workflow Status Tracker.</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Workflow definition edit restricted to Administrators.</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Approvals module, Tasks module, Notifications module.</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Bottleneck detection across workflow instances (Phase 2).</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Workflow cycle-time report, SLA compliance report.</w:t>
            </w:r>
          </w:p>
        </w:tc>
      </w:tr>
    </w:tbl>
    <w:p>
      <w:pPr>
        <w:spacing w:after="160"/>
      </w:pPr>
    </w:p>
    <w:p>
      <w:pPr>
        <w:pStyle w:val="Heading1"/>
        <w:pBdr>
          <w:bottom w:val="single" w:color="DAD3C0" w:sz="4" w:space="4"/>
        </w:pBdr>
        <w:spacing w:after="140" w:before="360"/>
      </w:pPr>
      <w:r>
        <w:rPr>
          <w:b/>
          <w:bCs/>
          <w:color w:val="97771F"/>
          <w:sz w:val="26"/>
          <w:szCs w:val="26"/>
        </w:rPr>
        <w:t xml:space="preserve">3.6  </w:t>
      </w:r>
      <w:r>
        <w:rPr>
          <w:b/>
          <w:bCs/>
          <w:color w:val="33363C"/>
          <w:sz w:val="26"/>
          <w:szCs w:val="26"/>
        </w:rPr>
        <w:t xml:space="preserve">Approvals (SRS Part 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Provide a formal, auditable approval mechanism for programme decisions and documents.</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Approval request creation, multi-level approval chains, delegation, rejection with comments.</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Non-repudiation of approval actions.</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Approval Service, Delegation Manager, Approval Chain Resolver.</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/api/v1/approvals, /api/v1/approvals/{id}/decision.</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approval_requests, approval_chains, approval_decisions.</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Approval Inbox, Approval Detail screen, Delegation settings.</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Non-repudiation control on approval actions; full approval audit trail.</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Workflow module, Documents module, Notifications module.</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Approval SLA risk flagging (Phase 2).</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Approval turnaround report, pending approvals report.</w:t>
            </w:r>
          </w:p>
        </w:tc>
      </w:tr>
    </w:tbl>
    <w:p>
      <w:pPr>
        <w:spacing w:after="160"/>
      </w:pPr>
    </w:p>
    <w:p>
      <w:pPr>
        <w:pStyle w:val="Heading1"/>
        <w:pBdr>
          <w:bottom w:val="single" w:color="DAD3C0" w:sz="4" w:space="4"/>
        </w:pBdr>
        <w:spacing w:after="140" w:before="360"/>
      </w:pPr>
      <w:r>
        <w:rPr>
          <w:b/>
          <w:bCs/>
          <w:color w:val="97771F"/>
          <w:sz w:val="26"/>
          <w:szCs w:val="26"/>
        </w:rPr>
        <w:t xml:space="preserve">3.7  </w:t>
      </w:r>
      <w:r>
        <w:rPr>
          <w:b/>
          <w:bCs/>
          <w:color w:val="33363C"/>
          <w:sz w:val="26"/>
          <w:szCs w:val="26"/>
        </w:rPr>
        <w:t xml:space="preserve">Security (Module-Level) (SRS Part 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Provide module-specific security configuration layered on the platform-wide Security Architecture.</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Role and permission management, access control lists, session management UI.</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Consistent with platform-wide Security Requirements (SRS Part 32).</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RBAC Configuration Service, Session Manager, Access Audit Viewer.</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/api/v1/roles, /api/v1/permissions, /api/v1/sessions.</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roles, permissions, role_assignments, sessions.</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Role Management screen, Permission Matrix editor.</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Least-privilege enforcement; multi-factor authentication configuration.</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Administration module; every other module, as enforcement point.</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Anomalous access pattern detection (Phase 2).</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Access review report, role assignment audit report.</w:t>
            </w:r>
          </w:p>
        </w:tc>
      </w:tr>
    </w:tbl>
    <w:p>
      <w:pPr>
        <w:spacing w:after="160"/>
      </w:pPr>
    </w:p>
    <w:p>
      <w:pPr>
        <w:pStyle w:val="Heading1"/>
        <w:pBdr>
          <w:bottom w:val="single" w:color="DAD3C0" w:sz="4" w:space="4"/>
        </w:pBdr>
        <w:spacing w:after="140" w:before="360"/>
      </w:pPr>
      <w:r>
        <w:rPr>
          <w:b/>
          <w:bCs/>
          <w:color w:val="97771F"/>
          <w:sz w:val="26"/>
          <w:szCs w:val="26"/>
        </w:rPr>
        <w:t xml:space="preserve">3.8  </w:t>
      </w:r>
      <w:r>
        <w:rPr>
          <w:b/>
          <w:bCs/>
          <w:color w:val="33363C"/>
          <w:sz w:val="26"/>
          <w:szCs w:val="26"/>
        </w:rPr>
        <w:t xml:space="preserve">Administration (SRS Part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Provide platform administrators with configuration, user management, and system settings capability.</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User provisioning, organizational structure management, system configuration, feature toggles.</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Configuration changes auditable and reversible.</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Admin Console Service, User Provisioning Engine, Configuration Store.</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/api/v1/admin/users, /api/v1/admin/config.</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users, organizational_units, system_configuration.</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Admin Console, User Management screen, System Settings panel.</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Super-admin tier RBAC; configuration change audit log.</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Security module; all modules, as configuration consumers.</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Configuration anomaly detection (Phase 2).</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User activity report, configuration change history report.</w:t>
            </w:r>
          </w:p>
        </w:tc>
      </w:tr>
    </w:tbl>
    <w:p>
      <w:pPr>
        <w:spacing w:after="160"/>
      </w:pPr>
    </w:p>
    <w:p>
      <w:pPr>
        <w:pStyle w:val="Heading1"/>
        <w:pBdr>
          <w:bottom w:val="single" w:color="DAD3C0" w:sz="4" w:space="4"/>
        </w:pBdr>
        <w:spacing w:after="140" w:before="360"/>
      </w:pPr>
      <w:r>
        <w:rPr>
          <w:b/>
          <w:bCs/>
          <w:color w:val="97771F"/>
          <w:sz w:val="26"/>
          <w:szCs w:val="26"/>
        </w:rPr>
        <w:t xml:space="preserve">3.9  </w:t>
      </w:r>
      <w:r>
        <w:rPr>
          <w:b/>
          <w:bCs/>
          <w:color w:val="33363C"/>
          <w:sz w:val="26"/>
          <w:szCs w:val="26"/>
        </w:rPr>
        <w:t xml:space="preserve">Documents (SRS Part 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Manage the lifecycle of formal programme documents from upload through version control and archival.</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Document upload, metadata tagging, version control, check-in/check-out, retention.</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Support large file sizes; mandatory virus scanning on upload.</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Document Service, Version Control Engine, Retention Policy Manager.</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POST /api/v1/documents, GET /api/v1/documents/{id}/versions.</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documents, document_versions, document_metadata.</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Document Library, Upload Document Page, Version History viewer.</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Document-level access control; virus scanning gate; encryption at rest.</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Knowledge Repository module, Approvals module, Media module.</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Auto-classification and tagging suggestions (Phase 2).</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Document inventory report, retention compliance report.</w:t>
            </w:r>
          </w:p>
        </w:tc>
      </w:tr>
    </w:tbl>
    <w:p>
      <w:pPr>
        <w:spacing w:after="160"/>
      </w:pPr>
    </w:p>
    <w:p>
      <w:pPr>
        <w:pStyle w:val="Heading1"/>
        <w:pBdr>
          <w:bottom w:val="single" w:color="DAD3C0" w:sz="4" w:space="4"/>
        </w:pBdr>
        <w:spacing w:after="140" w:before="360"/>
      </w:pPr>
      <w:r>
        <w:rPr>
          <w:b/>
          <w:bCs/>
          <w:color w:val="97771F"/>
          <w:sz w:val="26"/>
          <w:szCs w:val="26"/>
        </w:rPr>
        <w:t xml:space="preserve">3.10  </w:t>
      </w:r>
      <w:r>
        <w:rPr>
          <w:b/>
          <w:bCs/>
          <w:color w:val="33363C"/>
          <w:sz w:val="26"/>
          <w:szCs w:val="26"/>
        </w:rPr>
        <w:t xml:space="preserve">Knowledge Repository (SRS Part 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Organize programme documents and institutional knowledge into a searchable, structured repository.</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Knowledge taxonomy, cross-referencing, curated collections, knowledge article authoring.</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Scales to tens of thousands of documents; supports semantic search.</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Knowledge Repository Service, Taxonomy Manager, Curation Workflow.</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/api/v1/knowledge/articles, /api/v1/knowledge/collections.</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knowledge_articles, taxonomy_terms, knowledge_collections.</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Knowledge Repository browser, Article Editor, Collection curator.</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Classification-based access control — public, internal, restricted.</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Documents module, Search module, AI Assistant module.</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Semantic search, auto-summarization, related-article suggestion.</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Knowledge base coverage report, most-accessed articles report.</w:t>
            </w:r>
          </w:p>
        </w:tc>
      </w:tr>
    </w:tbl>
    <w:p>
      <w:pPr>
        <w:spacing w:after="160"/>
      </w:pPr>
    </w:p>
    <w:p>
      <w:pPr>
        <w:pStyle w:val="Heading1"/>
        <w:pBdr>
          <w:bottom w:val="single" w:color="DAD3C0" w:sz="4" w:space="4"/>
        </w:pBdr>
        <w:spacing w:after="140" w:before="360"/>
      </w:pPr>
      <w:r>
        <w:rPr>
          <w:b/>
          <w:bCs/>
          <w:color w:val="97771F"/>
          <w:sz w:val="26"/>
          <w:szCs w:val="26"/>
        </w:rPr>
        <w:t xml:space="preserve">3.11  </w:t>
      </w:r>
      <w:r>
        <w:rPr>
          <w:b/>
          <w:bCs/>
          <w:color w:val="33363C"/>
          <w:sz w:val="26"/>
          <w:szCs w:val="26"/>
        </w:rPr>
        <w:t xml:space="preserve">Media (SRS Part 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Manage images, video, and audio assets used in programme communication and demonstration.</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Media upload, transcoding, gallery organization, media metadata.</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Support common media formats; CDN-backed delivery.</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Media Service, Transcoding Pipeline, Media Gallery Manager.</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POST /api/v1/media, GET /api/v1/media/{id}.</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media_assets, media_metadata, media_galleries.</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Media Library, Media Upload widget, Gallery viewer.</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Media access control; upload content validation.</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Documents module, Public Portal module.</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Auto-tagging of media content (Phase 2).</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Media storage utilization report.</w:t>
            </w:r>
          </w:p>
        </w:tc>
      </w:tr>
    </w:tbl>
    <w:p>
      <w:pPr>
        <w:spacing w:after="160"/>
      </w:pPr>
    </w:p>
    <w:p>
      <w:pPr>
        <w:pStyle w:val="Heading1"/>
        <w:pBdr>
          <w:bottom w:val="single" w:color="DAD3C0" w:sz="4" w:space="4"/>
        </w:pBdr>
        <w:spacing w:after="140" w:before="360"/>
      </w:pPr>
      <w:r>
        <w:rPr>
          <w:b/>
          <w:bCs/>
          <w:color w:val="97771F"/>
          <w:sz w:val="26"/>
          <w:szCs w:val="26"/>
        </w:rPr>
        <w:t xml:space="preserve">3.12  </w:t>
      </w:r>
      <w:r>
        <w:rPr>
          <w:b/>
          <w:bCs/>
          <w:color w:val="33363C"/>
          <w:sz w:val="26"/>
          <w:szCs w:val="26"/>
        </w:rPr>
        <w:t xml:space="preserve">Search (Module-Level) (SRS Part 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Provide unified, platform-wide search across documents, records, and knowledge articles.</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Full-text search, faceted filtering, saved searches, search-as-you-type.</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Sub-2-second response; relevance ranking (SRS Part 31).</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Search Indexing Service, Query Processor, Relevance Ranking Engine.</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GET /api/v1/search, GET /api/v1/search/suggest.</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search_index (denormalized), saved_searches.</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Global Search bar, Search Results screen, Faceted filter panel.</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Search results scoped to the requesting user's access permissions.</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Documents, Knowledge Repository, Projects, and all searchable modules.</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Semantic / natural-language search (Phase 2, shared with AI Assistant).</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Search usage analytics report, zero-result query report.</w:t>
            </w:r>
          </w:p>
        </w:tc>
      </w:tr>
    </w:tbl>
    <w:p>
      <w:pPr>
        <w:spacing w:after="160"/>
      </w:pPr>
    </w:p>
    <w:p>
      <w:pPr>
        <w:pStyle w:val="Heading1"/>
        <w:pBdr>
          <w:bottom w:val="single" w:color="DAD3C0" w:sz="4" w:space="4"/>
        </w:pBdr>
        <w:spacing w:after="140" w:before="360"/>
      </w:pPr>
      <w:r>
        <w:rPr>
          <w:b/>
          <w:bCs/>
          <w:color w:val="97771F"/>
          <w:sz w:val="26"/>
          <w:szCs w:val="26"/>
        </w:rPr>
        <w:t xml:space="preserve">3.13  </w:t>
      </w:r>
      <w:r>
        <w:rPr>
          <w:b/>
          <w:bCs/>
          <w:color w:val="33363C"/>
          <w:sz w:val="26"/>
          <w:szCs w:val="26"/>
        </w:rPr>
        <w:t xml:space="preserve">Reporting (SRS Part 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Provide standardized and ad-hoc reporting across all programme data.</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Report catalogue execution, scheduled report distribution, export formats.</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Reports complete within the SLA defined for their data volume.</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Report Engine, Report Scheduler, Export Formatter.</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/api/v1/reports, /api/v1/reports/{id}/execute.</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report_definitions, report_executions, report_schedules.</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Report Catalogue, Report Builder (ad-hoc), Scheduled Reports manager.</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Report-level access control aligned to underlying data permissions.</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Every data-producing module; Analytics module.</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Natural-language report query (Phase 2).</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Report Catalogue itself is defined in SRS Part 25.</w:t>
            </w:r>
          </w:p>
        </w:tc>
      </w:tr>
    </w:tbl>
    <w:p>
      <w:pPr>
        <w:spacing w:after="160"/>
      </w:pPr>
    </w:p>
    <w:p>
      <w:pPr>
        <w:pStyle w:val="Heading1"/>
        <w:pBdr>
          <w:bottom w:val="single" w:color="DAD3C0" w:sz="4" w:space="4"/>
        </w:pBdr>
        <w:spacing w:after="140" w:before="360"/>
      </w:pPr>
      <w:r>
        <w:rPr>
          <w:b/>
          <w:bCs/>
          <w:color w:val="97771F"/>
          <w:sz w:val="26"/>
          <w:szCs w:val="26"/>
        </w:rPr>
        <w:t xml:space="preserve">3.14  </w:t>
      </w:r>
      <w:r>
        <w:rPr>
          <w:b/>
          <w:bCs/>
          <w:color w:val="33363C"/>
          <w:sz w:val="26"/>
          <w:szCs w:val="26"/>
        </w:rPr>
        <w:t xml:space="preserve">Analytics (SRS Part 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Provide trend analysis, forecasting, and programme performance insight beyond static reporting.</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Trend dashboards, KPI computation, comparative analysis across zones and projects.</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Near-real-time data refresh.</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Analytics Engine, KPI Computation Service, Trend Visualization Library.</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/api/v1/analytics/trends, /api/v1/analytics/kpis.</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analytics_datamarts, kpi_definitions.</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Analytics Dashboard, Trend Explorer, Comparative Analysis view.</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Analytics access aligned to Executive Management and Programme Management RBAC.</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Executive Management module, Reporting module, Programme Management module.</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Predictive forecasting models (Phase 2).</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Trend analysis report, forecast variance report.</w:t>
            </w:r>
          </w:p>
        </w:tc>
      </w:tr>
    </w:tbl>
    <w:p>
      <w:pPr>
        <w:spacing w:after="160"/>
      </w:pPr>
    </w:p>
    <w:p>
      <w:pPr>
        <w:pStyle w:val="Heading1"/>
        <w:pBdr>
          <w:bottom w:val="single" w:color="DAD3C0" w:sz="4" w:space="4"/>
        </w:pBdr>
        <w:spacing w:after="140" w:before="360"/>
      </w:pPr>
      <w:r>
        <w:rPr>
          <w:b/>
          <w:bCs/>
          <w:color w:val="97771F"/>
          <w:sz w:val="26"/>
          <w:szCs w:val="26"/>
        </w:rPr>
        <w:t xml:space="preserve">3.15  </w:t>
      </w:r>
      <w:r>
        <w:rPr>
          <w:b/>
          <w:bCs/>
          <w:color w:val="33363C"/>
          <w:sz w:val="26"/>
          <w:szCs w:val="26"/>
        </w:rPr>
        <w:t xml:space="preserve">Notifications (Module-Level) (SRS Part 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Deliver timely, channel-appropriate notifications for platform events across all modules.</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Notification triggers, channel preferences (in-app, email, SMS), digest scheduling.</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Delivery within defined SLA; no duplicate notifications.</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Notification Dispatcher, Channel Adapter (email/SMS/in-app), Preference Manager.</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/api/v1/notifications, /api/v1/notifications/preferences.</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notifications, notification_preferences, notification_templates.</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Notification Center, Preference settings screen.</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Notification content scoped to recipient's access permissions.</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Workflow, Approvals, Tasks, and every event-producing module.</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Notification relevance and priority scoring (Phase 2).</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Notification delivery report, engagement rate report.</w:t>
            </w:r>
          </w:p>
        </w:tc>
      </w:tr>
    </w:tbl>
    <w:p>
      <w:pPr>
        <w:spacing w:after="160"/>
      </w:pPr>
    </w:p>
    <w:p>
      <w:pPr>
        <w:pStyle w:val="Heading1"/>
        <w:pBdr>
          <w:bottom w:val="single" w:color="DAD3C0" w:sz="4" w:space="4"/>
        </w:pBdr>
        <w:spacing w:after="140" w:before="360"/>
      </w:pPr>
      <w:r>
        <w:rPr>
          <w:b/>
          <w:bCs/>
          <w:color w:val="97771F"/>
          <w:sz w:val="26"/>
          <w:szCs w:val="26"/>
        </w:rPr>
        <w:t xml:space="preserve">3.16  </w:t>
      </w:r>
      <w:r>
        <w:rPr>
          <w:b/>
          <w:bCs/>
          <w:color w:val="33363C"/>
          <w:sz w:val="26"/>
          <w:szCs w:val="26"/>
        </w:rPr>
        <w:t xml:space="preserve">Training (SRS Part 18)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Deliver and track user training and capacity-building content within the platform.</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Training course catalogue, progress tracking, certification records.</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Support offline-capable content for low-connectivity zones.</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Training Content Service, Progress Tracker, Certification Engine.</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/api/v1/training/courses, /api/v1/training/progress.</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training_courses, training_progress, certifications.</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Training Catalogue, Course Player, Certification Dashboard.</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Training content access governed by role.</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Knowledge Repository module, Administration module (user records).</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Personalized training path recommendation (Phase 2).</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Training completion report, certification status report.</w:t>
            </w:r>
          </w:p>
        </w:tc>
      </w:tr>
    </w:tbl>
    <w:p>
      <w:pPr>
        <w:spacing w:after="160"/>
      </w:pPr>
    </w:p>
    <w:p>
      <w:pPr>
        <w:pStyle w:val="Heading1"/>
        <w:pBdr>
          <w:bottom w:val="single" w:color="DAD3C0" w:sz="4" w:space="4"/>
        </w:pBdr>
        <w:spacing w:after="140" w:before="360"/>
      </w:pPr>
      <w:r>
        <w:rPr>
          <w:b/>
          <w:bCs/>
          <w:color w:val="97771F"/>
          <w:sz w:val="26"/>
          <w:szCs w:val="26"/>
        </w:rPr>
        <w:t xml:space="preserve">3.17  </w:t>
      </w:r>
      <w:r>
        <w:rPr>
          <w:b/>
          <w:bCs/>
          <w:color w:val="33363C"/>
          <w:sz w:val="26"/>
          <w:szCs w:val="26"/>
        </w:rPr>
        <w:t xml:space="preserve">Support (SRS Part 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Provide internal support ticketing for platform users experiencing issues.</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Ticket creation, assignment, escalation, resolution tracking.</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SLA-driven escalation.</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Support Ticket Service, SLA Escalation Engine.</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/api/v1/support/tickets.</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support_tickets, ticket_history.</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Submit Ticket form, Ticket Queue (support staff), My Tickets view.</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Ticket visibility scoped to submitter and assigned support staff.</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Notifications module, Help Desk module.</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Auto-categorization and suggested resolution (Phase 2).</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Ticket volume report, SLA compliance report.</w:t>
            </w:r>
          </w:p>
        </w:tc>
      </w:tr>
    </w:tbl>
    <w:p>
      <w:pPr>
        <w:spacing w:after="160"/>
      </w:pPr>
    </w:p>
    <w:p>
      <w:pPr>
        <w:pStyle w:val="Heading1"/>
        <w:pBdr>
          <w:bottom w:val="single" w:color="DAD3C0" w:sz="4" w:space="4"/>
        </w:pBdr>
        <w:spacing w:after="140" w:before="360"/>
      </w:pPr>
      <w:r>
        <w:rPr>
          <w:b/>
          <w:bCs/>
          <w:color w:val="97771F"/>
          <w:sz w:val="26"/>
          <w:szCs w:val="26"/>
        </w:rPr>
        <w:t xml:space="preserve">3.18  </w:t>
      </w:r>
      <w:r>
        <w:rPr>
          <w:b/>
          <w:bCs/>
          <w:color w:val="33363C"/>
          <w:sz w:val="26"/>
          <w:szCs w:val="26"/>
        </w:rPr>
        <w:t xml:space="preserve">Help Desk (SRS Part 20)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Provide a self-service knowledge layer — FAQs and guides — that reduces support ticket volume.</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FAQ catalogue, guided troubleshooting, help article search.</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Content kept current with each platform release.</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Help Desk Content Service, FAQ Manager.</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/api/v1/helpdesk/articles.</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helpdesk_articles, faq_entries.</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Help Desk portal, FAQ browser, Contextual help widget.</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Public / internal content classification.</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Support module, Knowledge Repository module.</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Chatbot-style guided troubleshooting (Phase 2, shared with AI Assistant).</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Help article effectiveness report (deflection rate).</w:t>
            </w:r>
          </w:p>
        </w:tc>
      </w:tr>
    </w:tbl>
    <w:p>
      <w:pPr>
        <w:spacing w:after="160"/>
      </w:pPr>
    </w:p>
    <w:p>
      <w:pPr>
        <w:pStyle w:val="Heading1"/>
        <w:pBdr>
          <w:bottom w:val="single" w:color="DAD3C0" w:sz="4" w:space="4"/>
        </w:pBdr>
        <w:spacing w:after="140" w:before="360"/>
      </w:pPr>
      <w:r>
        <w:rPr>
          <w:b/>
          <w:bCs/>
          <w:color w:val="97771F"/>
          <w:sz w:val="26"/>
          <w:szCs w:val="26"/>
        </w:rPr>
        <w:t xml:space="preserve">3.19  </w:t>
      </w:r>
      <w:r>
        <w:rPr>
          <w:b/>
          <w:bCs/>
          <w:color w:val="33363C"/>
          <w:sz w:val="26"/>
          <w:szCs w:val="26"/>
        </w:rPr>
        <w:t xml:space="preserve">Public Portal (SRS Part 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Provide external-facing transparency into programme progress for public stakeholders.</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Public programme summaries, published reports, public document library, contact/feedback form.</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High availability; no authentication required for public content; WCAG 2.1 AA accessibility.</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Public Portal Service, Public Content Publisher, Feedback Intake.</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GET /api/v1/public/programmes, POST /api/v1/public/feedback.</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public_content, public_feedback.</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Public Portal homepage, Programme Summary pages, Public Document Library, Feedback form.</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Strict separation from internal data; publish-only workflow gated through Approvals module.</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Programme Management module (source data, via publish workflow), Approvals module, Documents module.</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Not required in Phase 1.</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Public portal traffic report, feedback summary report.</w:t>
            </w:r>
          </w:p>
        </w:tc>
      </w:tr>
    </w:tbl>
    <w:p>
      <w:pPr>
        <w:spacing w:after="160"/>
      </w:pPr>
    </w:p>
    <w:p>
      <w:pPr>
        <w:pStyle w:val="Heading1"/>
        <w:pBdr>
          <w:bottom w:val="single" w:color="DAD3C0" w:sz="4" w:space="4"/>
        </w:pBdr>
        <w:spacing w:after="140" w:before="360"/>
      </w:pPr>
      <w:r>
        <w:rPr>
          <w:b/>
          <w:bCs/>
          <w:color w:val="97771F"/>
          <w:sz w:val="26"/>
          <w:szCs w:val="26"/>
        </w:rPr>
        <w:t xml:space="preserve">3.20  </w:t>
      </w:r>
      <w:r>
        <w:rPr>
          <w:b/>
          <w:bCs/>
          <w:color w:val="33363C"/>
          <w:sz w:val="26"/>
          <w:szCs w:val="26"/>
        </w:rPr>
        <w:t xml:space="preserve">AI Assistant (Phase 2) (SRS Part 22)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Attribute</w:t>
            </w:r>
          </w:p>
        </w:tc>
        <w:tc>
          <w:tcPr>
            <w:tcW w:type="dxa" w:w="7862"/>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3"/>
                <w:szCs w:val="13"/>
              </w:rPr>
              <w:t xml:space="preserve">Objective</w:t>
            </w:r>
          </w:p>
        </w:tc>
        <w:tc>
          <w:tcPr>
            <w:tcW w:type="dxa" w:w="7862"/>
            <w:tcMar>
              <w:top w:type="dxa" w:w="70"/>
              <w:left w:type="dxa" w:w="110"/>
              <w:bottom w:type="dxa" w:w="70"/>
              <w:right w:type="dxa" w:w="110"/>
            </w:tcMar>
            <w:vAlign w:val="top"/>
          </w:tcPr>
          <w:p>
            <w:r>
              <w:rPr>
                <w:b w:val="false"/>
                <w:bCs w:val="false"/>
                <w:color w:val="1A1A1A"/>
                <w:sz w:val="13"/>
                <w:szCs w:val="13"/>
              </w:rPr>
              <w:t xml:space="preserve">Provide a conversational AI interface over the Knowledge Repository and platform data for staff and, where appropriate, public users.</w:t>
            </w:r>
          </w:p>
        </w:tc>
      </w:tr>
      <w:tr>
        <w:tc>
          <w:tcPr>
            <w:tcW w:type="dxa" w:w="2218"/>
            <w:tcMar>
              <w:top w:type="dxa" w:w="70"/>
              <w:left w:type="dxa" w:w="110"/>
              <w:bottom w:type="dxa" w:w="70"/>
              <w:right w:type="dxa" w:w="110"/>
            </w:tcMar>
            <w:vAlign w:val="top"/>
          </w:tcPr>
          <w:p>
            <w:r>
              <w:rPr>
                <w:b/>
                <w:bCs/>
                <w:color w:val="1A1A1A"/>
                <w:sz w:val="13"/>
                <w:szCs w:val="13"/>
              </w:rPr>
              <w:t xml:space="preserve">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Natural-language question answering, guided navigation, document summarization, cross-module query.</w:t>
            </w:r>
          </w:p>
        </w:tc>
      </w:tr>
      <w:tr>
        <w:tc>
          <w:tcPr>
            <w:tcW w:type="dxa" w:w="2218"/>
            <w:tcMar>
              <w:top w:type="dxa" w:w="70"/>
              <w:left w:type="dxa" w:w="110"/>
              <w:bottom w:type="dxa" w:w="70"/>
              <w:right w:type="dxa" w:w="110"/>
            </w:tcMar>
            <w:vAlign w:val="top"/>
          </w:tcPr>
          <w:p>
            <w:r>
              <w:rPr>
                <w:b/>
                <w:bCs/>
                <w:color w:val="1A1A1A"/>
                <w:sz w:val="13"/>
                <w:szCs w:val="13"/>
              </w:rPr>
              <w:t xml:space="preserve">Non-Functional Scope</w:t>
            </w:r>
          </w:p>
        </w:tc>
        <w:tc>
          <w:tcPr>
            <w:tcW w:type="dxa" w:w="7862"/>
            <w:tcMar>
              <w:top w:type="dxa" w:w="70"/>
              <w:left w:type="dxa" w:w="110"/>
              <w:bottom w:type="dxa" w:w="70"/>
              <w:right w:type="dxa" w:w="110"/>
            </w:tcMar>
            <w:vAlign w:val="top"/>
          </w:tcPr>
          <w:p>
            <w:r>
              <w:rPr>
                <w:b w:val="false"/>
                <w:bCs w:val="false"/>
                <w:color w:val="1A1A1A"/>
                <w:sz w:val="13"/>
                <w:szCs w:val="13"/>
              </w:rPr>
              <w:t xml:space="preserve">Response accuracy threshold per TSAS Part 12; mandatory human-review escalation path.</w:t>
            </w:r>
          </w:p>
        </w:tc>
      </w:tr>
      <w:tr>
        <w:tc>
          <w:tcPr>
            <w:tcW w:type="dxa" w:w="2218"/>
            <w:tcMar>
              <w:top w:type="dxa" w:w="70"/>
              <w:left w:type="dxa" w:w="110"/>
              <w:bottom w:type="dxa" w:w="70"/>
              <w:right w:type="dxa" w:w="110"/>
            </w:tcMar>
            <w:vAlign w:val="top"/>
          </w:tcPr>
          <w:p>
            <w:r>
              <w:rPr>
                <w:b/>
                <w:bCs/>
                <w:color w:val="1A1A1A"/>
                <w:sz w:val="13"/>
                <w:szCs w:val="13"/>
              </w:rPr>
              <w:t xml:space="preserve">Major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AI Assistant Conversational Service, Retrieval-Augmented Generation Pipeline, Escalation-to-Human Handler.</w:t>
            </w:r>
          </w:p>
        </w:tc>
      </w:tr>
      <w:tr>
        <w:tc>
          <w:tcPr>
            <w:tcW w:type="dxa" w:w="2218"/>
            <w:tcMar>
              <w:top w:type="dxa" w:w="70"/>
              <w:left w:type="dxa" w:w="110"/>
              <w:bottom w:type="dxa" w:w="70"/>
              <w:right w:type="dxa" w:w="110"/>
            </w:tcMar>
            <w:vAlign w:val="top"/>
          </w:tcPr>
          <w:p>
            <w:r>
              <w:rPr>
                <w:b/>
                <w:bCs/>
                <w:color w:val="1A1A1A"/>
                <w:sz w:val="13"/>
                <w:szCs w:val="13"/>
              </w:rPr>
              <w:t xml:space="preserve">APIs</w:t>
            </w:r>
          </w:p>
        </w:tc>
        <w:tc>
          <w:tcPr>
            <w:tcW w:type="dxa" w:w="7862"/>
            <w:tcMar>
              <w:top w:type="dxa" w:w="70"/>
              <w:left w:type="dxa" w:w="110"/>
              <w:bottom w:type="dxa" w:w="70"/>
              <w:right w:type="dxa" w:w="110"/>
            </w:tcMar>
            <w:vAlign w:val="top"/>
          </w:tcPr>
          <w:p>
            <w:r>
              <w:rPr>
                <w:b w:val="false"/>
                <w:bCs w:val="false"/>
                <w:color w:val="1A1A1A"/>
                <w:sz w:val="13"/>
                <w:szCs w:val="13"/>
              </w:rPr>
              <w:t xml:space="preserve">/api/v1/ai/query, /api/v1/ai/feedback.</w:t>
            </w:r>
          </w:p>
        </w:tc>
      </w:tr>
      <w:tr>
        <w:tc>
          <w:tcPr>
            <w:tcW w:type="dxa" w:w="2218"/>
            <w:tcMar>
              <w:top w:type="dxa" w:w="70"/>
              <w:left w:type="dxa" w:w="110"/>
              <w:bottom w:type="dxa" w:w="70"/>
              <w:right w:type="dxa" w:w="110"/>
            </w:tcMar>
            <w:vAlign w:val="top"/>
          </w:tcPr>
          <w:p>
            <w:r>
              <w:rPr>
                <w:b/>
                <w:bCs/>
                <w:color w:val="1A1A1A"/>
                <w:sz w:val="13"/>
                <w:szCs w:val="13"/>
              </w:rPr>
              <w:t xml:space="preserve">Database Entities</w:t>
            </w:r>
          </w:p>
        </w:tc>
        <w:tc>
          <w:tcPr>
            <w:tcW w:type="dxa" w:w="7862"/>
            <w:tcMar>
              <w:top w:type="dxa" w:w="70"/>
              <w:left w:type="dxa" w:w="110"/>
              <w:bottom w:type="dxa" w:w="70"/>
              <w:right w:type="dxa" w:w="110"/>
            </w:tcMar>
            <w:vAlign w:val="top"/>
          </w:tcPr>
          <w:p>
            <w:r>
              <w:rPr>
                <w:b w:val="false"/>
                <w:bCs w:val="false"/>
                <w:color w:val="1A1A1A"/>
                <w:sz w:val="13"/>
                <w:szCs w:val="13"/>
              </w:rPr>
              <w:t xml:space="preserve">ai_conversation_logs, ai_feedback.</w:t>
            </w:r>
          </w:p>
        </w:tc>
      </w:tr>
      <w:tr>
        <w:tc>
          <w:tcPr>
            <w:tcW w:type="dxa" w:w="2218"/>
            <w:tcMar>
              <w:top w:type="dxa" w:w="70"/>
              <w:left w:type="dxa" w:w="110"/>
              <w:bottom w:type="dxa" w:w="70"/>
              <w:right w:type="dxa" w:w="110"/>
            </w:tcMar>
            <w:vAlign w:val="top"/>
          </w:tcPr>
          <w:p>
            <w:r>
              <w:rPr>
                <w:b/>
                <w:bCs/>
                <w:color w:val="1A1A1A"/>
                <w:sz w:val="13"/>
                <w:szCs w:val="13"/>
              </w:rPr>
              <w:t xml:space="preserve">UI Components</w:t>
            </w:r>
          </w:p>
        </w:tc>
        <w:tc>
          <w:tcPr>
            <w:tcW w:type="dxa" w:w="7862"/>
            <w:tcMar>
              <w:top w:type="dxa" w:w="70"/>
              <w:left w:type="dxa" w:w="110"/>
              <w:bottom w:type="dxa" w:w="70"/>
              <w:right w:type="dxa" w:w="110"/>
            </w:tcMar>
            <w:vAlign w:val="top"/>
          </w:tcPr>
          <w:p>
            <w:r>
              <w:rPr>
                <w:b w:val="false"/>
                <w:bCs w:val="false"/>
                <w:color w:val="1A1A1A"/>
                <w:sz w:val="13"/>
                <w:szCs w:val="13"/>
              </w:rPr>
              <w:t xml:space="preserve">AI Assistant chat widget, contextual and platform-wide.</w:t>
            </w:r>
          </w:p>
        </w:tc>
      </w:tr>
      <w:tr>
        <w:tc>
          <w:tcPr>
            <w:tcW w:type="dxa" w:w="2218"/>
            <w:tcMar>
              <w:top w:type="dxa" w:w="70"/>
              <w:left w:type="dxa" w:w="110"/>
              <w:bottom w:type="dxa" w:w="70"/>
              <w:right w:type="dxa" w:w="110"/>
            </w:tcMar>
            <w:vAlign w:val="top"/>
          </w:tcPr>
          <w:p>
            <w:r>
              <w:rPr>
                <w:b/>
                <w:bCs/>
                <w:color w:val="1A1A1A"/>
                <w:sz w:val="13"/>
                <w:szCs w:val="13"/>
              </w:rPr>
              <w:t xml:space="preserve">Security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Full query and response logging for audit; no exposure of data beyond the user's access permissions.</w:t>
            </w:r>
          </w:p>
        </w:tc>
      </w:tr>
      <w:tr>
        <w:tc>
          <w:tcPr>
            <w:tcW w:type="dxa" w:w="2218"/>
            <w:tcMar>
              <w:top w:type="dxa" w:w="70"/>
              <w:left w:type="dxa" w:w="110"/>
              <w:bottom w:type="dxa" w:w="70"/>
              <w:right w:type="dxa" w:w="110"/>
            </w:tcMar>
            <w:vAlign w:val="top"/>
          </w:tcPr>
          <w:p>
            <w:r>
              <w:rPr>
                <w:b/>
                <w:bCs/>
                <w:color w:val="1A1A1A"/>
                <w:sz w:val="13"/>
                <w:szCs w:val="13"/>
              </w:rPr>
              <w:t xml:space="preserve">Integration Points</w:t>
            </w:r>
          </w:p>
        </w:tc>
        <w:tc>
          <w:tcPr>
            <w:tcW w:type="dxa" w:w="7862"/>
            <w:tcMar>
              <w:top w:type="dxa" w:w="70"/>
              <w:left w:type="dxa" w:w="110"/>
              <w:bottom w:type="dxa" w:w="70"/>
              <w:right w:type="dxa" w:w="110"/>
            </w:tcMar>
            <w:vAlign w:val="top"/>
          </w:tcPr>
          <w:p>
            <w:r>
              <w:rPr>
                <w:b w:val="false"/>
                <w:bCs w:val="false"/>
                <w:color w:val="1A1A1A"/>
                <w:sz w:val="13"/>
                <w:szCs w:val="13"/>
              </w:rPr>
              <w:t xml:space="preserve">Knowledge Repository, Search, and every module as a retrieval source.</w:t>
            </w:r>
          </w:p>
        </w:tc>
      </w:tr>
      <w:tr>
        <w:tc>
          <w:tcPr>
            <w:tcW w:type="dxa" w:w="2218"/>
            <w:tcMar>
              <w:top w:type="dxa" w:w="70"/>
              <w:left w:type="dxa" w:w="110"/>
              <w:bottom w:type="dxa" w:w="70"/>
              <w:right w:type="dxa" w:w="110"/>
            </w:tcMar>
            <w:vAlign w:val="top"/>
          </w:tcPr>
          <w:p>
            <w:r>
              <w:rPr>
                <w:b/>
                <w:bCs/>
                <w:color w:val="1A1A1A"/>
                <w:sz w:val="13"/>
                <w:szCs w:val="13"/>
              </w:rPr>
              <w:t xml:space="preserve">AI Capabilities</w:t>
            </w:r>
          </w:p>
        </w:tc>
        <w:tc>
          <w:tcPr>
            <w:tcW w:type="dxa" w:w="7862"/>
            <w:tcMar>
              <w:top w:type="dxa" w:w="70"/>
              <w:left w:type="dxa" w:w="110"/>
              <w:bottom w:type="dxa" w:w="70"/>
              <w:right w:type="dxa" w:w="110"/>
            </w:tcMar>
            <w:vAlign w:val="top"/>
          </w:tcPr>
          <w:p>
            <w:r>
              <w:rPr>
                <w:b w:val="false"/>
                <w:bCs w:val="false"/>
                <w:color w:val="1A1A1A"/>
                <w:sz w:val="13"/>
                <w:szCs w:val="13"/>
              </w:rPr>
              <w:t xml:space="preserve">Core module capability — retrieval-augmented generation, summarization, guided question answering.</w:t>
            </w:r>
          </w:p>
        </w:tc>
      </w:tr>
      <w:tr>
        <w:tc>
          <w:tcPr>
            <w:tcW w:type="dxa" w:w="2218"/>
            <w:tcMar>
              <w:top w:type="dxa" w:w="70"/>
              <w:left w:type="dxa" w:w="110"/>
              <w:bottom w:type="dxa" w:w="70"/>
              <w:right w:type="dxa" w:w="110"/>
            </w:tcMar>
            <w:vAlign w:val="top"/>
          </w:tcPr>
          <w:p>
            <w:r>
              <w:rPr>
                <w:b/>
                <w:bCs/>
                <w:color w:val="1A1A1A"/>
                <w:sz w:val="13"/>
                <w:szCs w:val="13"/>
              </w:rPr>
              <w:t xml:space="preserve">Reporting Requirements</w:t>
            </w:r>
          </w:p>
        </w:tc>
        <w:tc>
          <w:tcPr>
            <w:tcW w:type="dxa" w:w="7862"/>
            <w:tcMar>
              <w:top w:type="dxa" w:w="70"/>
              <w:left w:type="dxa" w:w="110"/>
              <w:bottom w:type="dxa" w:w="70"/>
              <w:right w:type="dxa" w:w="110"/>
            </w:tcMar>
            <w:vAlign w:val="top"/>
          </w:tcPr>
          <w:p>
            <w:r>
              <w:rPr>
                <w:b w:val="false"/>
                <w:bCs w:val="false"/>
                <w:color w:val="1A1A1A"/>
                <w:sz w:val="13"/>
                <w:szCs w:val="13"/>
              </w:rPr>
              <w:t xml:space="preserve">AI Assistant usage report, query accuracy and feedback report.</w:t>
            </w:r>
          </w:p>
        </w:tc>
      </w:tr>
    </w:tbl>
    <w:p>
      <w:pPr>
        <w:spacing w:after="160"/>
      </w:pPr>
    </w:p>
    <w:p>
      <w:pPr>
        <w:pStyle w:val="Heading1"/>
        <w:pBdr>
          <w:bottom w:val="single" w:color="DAD3C0" w:sz="4" w:space="4"/>
        </w:pBdr>
        <w:spacing w:after="140" w:before="360"/>
      </w:pPr>
      <w:r>
        <w:rPr>
          <w:b/>
          <w:bCs/>
          <w:color w:val="97771F"/>
          <w:sz w:val="26"/>
          <w:szCs w:val="26"/>
        </w:rPr>
        <w:t xml:space="preserve">3.21  </w:t>
      </w:r>
      <w:r>
        <w:rPr>
          <w:b/>
          <w:bCs/>
          <w:color w:val="33363C"/>
          <w:sz w:val="26"/>
          <w:szCs w:val="26"/>
        </w:rPr>
        <w:t xml:space="preserve">Module-to-Domain Cross-Reference</w:t>
      </w:r>
    </w:p>
    <w:tbl>
      <w:tblPr>
        <w:tblW w:type="dxa" w:w="10080"/>
        <w:tblBorders>
          <w:top w:val="single" w:color="DAD3C0" w:sz="4"/>
          <w:left w:val="single" w:color="DAD3C0" w:sz="4"/>
          <w:bottom w:val="single" w:color="DAD3C0" w:sz="4"/>
          <w:right w:val="single" w:color="DAD3C0" w:sz="4"/>
          <w:insideH w:val="single" w:color="DAD3C0" w:sz="2"/>
          <w:insideV w:val="single" w:color="DAD3C0" w:sz="2"/>
        </w:tblBorders>
      </w:tblPr>
      <w:tblGrid>
        <w:gridCol w:w="2621"/>
        <w:gridCol w:w="7459"/>
      </w:tblGrid>
      <w:tr>
        <w:tc>
          <w:tcPr>
            <w:tcW w:type="dxa" w:w="2621"/>
            <w:shd w:fill="F3F0E8" w:val="clear"/>
            <w:tcMar>
              <w:top w:type="dxa" w:w="80"/>
              <w:left w:type="dxa" w:w="120"/>
              <w:bottom w:type="dxa" w:w="80"/>
              <w:right w:type="dxa" w:w="120"/>
            </w:tcMar>
            <w:vAlign w:val="top"/>
          </w:tcPr>
          <w:p>
            <w:r>
              <w:rPr>
                <w:b/>
                <w:bCs/>
                <w:color w:val="33363C"/>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Map each of the twenty modules to its primary and secondary Engineering Domains from Part 2.</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Lets a Work Package be assigned unambiguously to the right domain owner for review and approval.</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 module's primary domain owns its service logic; secondary domains own supporting concerns such as UI, search, or security.</w:t>
            </w:r>
          </w:p>
        </w:tc>
      </w:tr>
      <w:tr>
        <w:tc>
          <w:tcPr>
            <w:tcW w:type="dxa" w:w="2621"/>
            <w:shd w:fill="F3F0E8" w:val="clear"/>
            <w:tcMar>
              <w:top w:type="dxa" w:w="80"/>
              <w:left w:type="dxa" w:w="120"/>
              <w:bottom w:type="dxa" w:w="80"/>
              <w:right w:type="dxa" w:w="120"/>
            </w:tcMar>
            <w:vAlign w:val="top"/>
          </w:tcPr>
          <w:p>
            <w:r>
              <w:rPr>
                <w:b/>
                <w:bCs/>
                <w:color w:val="33363C"/>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module traceable to exactly one primary domain and a defined set of secondary domains.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3024"/>
        <w:gridCol w:w="4234"/>
      </w:tblGrid>
      <w:tr>
        <w:trPr>
          <w:tblHeader/>
        </w:trPr>
        <w:tc>
          <w:tcPr>
            <w:tcW w:type="dxa" w:w="2822"/>
            <w:shd w:fill="33363C" w:val="clear"/>
            <w:tcMar>
              <w:top w:type="dxa" w:w="70"/>
              <w:left w:type="dxa" w:w="110"/>
              <w:bottom w:type="dxa" w:w="70"/>
              <w:right w:type="dxa" w:w="110"/>
            </w:tcMar>
            <w:vAlign w:val="top"/>
          </w:tcPr>
          <w:p>
            <w:r>
              <w:rPr>
                <w:b/>
                <w:bCs/>
                <w:color w:val="FFFFFF"/>
                <w:sz w:val="17"/>
                <w:szCs w:val="17"/>
              </w:rPr>
              <w:t xml:space="preserve">Module</w:t>
            </w:r>
          </w:p>
        </w:tc>
        <w:tc>
          <w:tcPr>
            <w:tcW w:type="dxa" w:w="3024"/>
            <w:shd w:fill="33363C" w:val="clear"/>
            <w:tcMar>
              <w:top w:type="dxa" w:w="70"/>
              <w:left w:type="dxa" w:w="110"/>
              <w:bottom w:type="dxa" w:w="70"/>
              <w:right w:type="dxa" w:w="110"/>
            </w:tcMar>
            <w:vAlign w:val="top"/>
          </w:tcPr>
          <w:p>
            <w:r>
              <w:rPr>
                <w:b/>
                <w:bCs/>
                <w:color w:val="FFFFFF"/>
                <w:sz w:val="17"/>
                <w:szCs w:val="17"/>
              </w:rPr>
              <w:t xml:space="preserve">Primary Domain</w:t>
            </w:r>
          </w:p>
        </w:tc>
        <w:tc>
          <w:tcPr>
            <w:tcW w:type="dxa" w:w="4234"/>
            <w:shd w:fill="33363C" w:val="clear"/>
            <w:tcMar>
              <w:top w:type="dxa" w:w="70"/>
              <w:left w:type="dxa" w:w="110"/>
              <w:bottom w:type="dxa" w:w="70"/>
              <w:right w:type="dxa" w:w="110"/>
            </w:tcMar>
            <w:vAlign w:val="top"/>
          </w:tcPr>
          <w:p>
            <w:r>
              <w:rPr>
                <w:b/>
                <w:bCs/>
                <w:color w:val="FFFFFF"/>
                <w:sz w:val="17"/>
                <w:szCs w:val="17"/>
              </w:rPr>
              <w:t xml:space="preserve">Secondary Domains</w:t>
            </w:r>
          </w:p>
        </w:tc>
      </w:tr>
      <w:tr>
        <w:tc>
          <w:tcPr>
            <w:tcW w:type="dxa" w:w="2822"/>
            <w:tcMar>
              <w:top w:type="dxa" w:w="70"/>
              <w:left w:type="dxa" w:w="110"/>
              <w:bottom w:type="dxa" w:w="70"/>
              <w:right w:type="dxa" w:w="110"/>
            </w:tcMar>
            <w:vAlign w:val="top"/>
          </w:tcPr>
          <w:p>
            <w:r>
              <w:rPr>
                <w:b/>
                <w:bCs/>
                <w:color w:val="1A1A1A"/>
                <w:sz w:val="13"/>
                <w:szCs w:val="13"/>
              </w:rPr>
              <w:t xml:space="preserve">Executive Management</w:t>
            </w:r>
          </w:p>
        </w:tc>
        <w:tc>
          <w:tcPr>
            <w:tcW w:type="dxa" w:w="3024"/>
            <w:tcMar>
              <w:top w:type="dxa" w:w="70"/>
              <w:left w:type="dxa" w:w="110"/>
              <w:bottom w:type="dxa" w:w="70"/>
              <w:right w:type="dxa" w:w="110"/>
            </w:tcMar>
            <w:vAlign w:val="top"/>
          </w:tcPr>
          <w:p>
            <w:r>
              <w:rPr>
                <w:b w:val="false"/>
                <w:bCs w:val="false"/>
                <w:color w:val="1A1A1A"/>
                <w:sz w:val="13"/>
                <w:szCs w:val="13"/>
              </w:rPr>
              <w:t xml:space="preserve">Backend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Frontend, Analytics (Domain 2.6 cross-ref)</w:t>
            </w:r>
          </w:p>
        </w:tc>
      </w:tr>
      <w:tr>
        <w:tc>
          <w:tcPr>
            <w:tcW w:type="dxa" w:w="2822"/>
            <w:tcMar>
              <w:top w:type="dxa" w:w="70"/>
              <w:left w:type="dxa" w:w="110"/>
              <w:bottom w:type="dxa" w:w="70"/>
              <w:right w:type="dxa" w:w="110"/>
            </w:tcMar>
            <w:vAlign w:val="top"/>
          </w:tcPr>
          <w:p>
            <w:r>
              <w:rPr>
                <w:b/>
                <w:bCs/>
                <w:color w:val="1A1A1A"/>
                <w:sz w:val="13"/>
                <w:szCs w:val="13"/>
              </w:rPr>
              <w:t xml:space="preserve">Programme Management</w:t>
            </w:r>
          </w:p>
        </w:tc>
        <w:tc>
          <w:tcPr>
            <w:tcW w:type="dxa" w:w="3024"/>
            <w:tcMar>
              <w:top w:type="dxa" w:w="70"/>
              <w:left w:type="dxa" w:w="110"/>
              <w:bottom w:type="dxa" w:w="70"/>
              <w:right w:type="dxa" w:w="110"/>
            </w:tcMar>
            <w:vAlign w:val="top"/>
          </w:tcPr>
          <w:p>
            <w:r>
              <w:rPr>
                <w:b w:val="false"/>
                <w:bCs w:val="false"/>
                <w:color w:val="1A1A1A"/>
                <w:sz w:val="13"/>
                <w:szCs w:val="13"/>
              </w:rPr>
              <w:t xml:space="preserve">Backend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Database Engineering, Frontend Engineering</w:t>
            </w:r>
          </w:p>
        </w:tc>
      </w:tr>
      <w:tr>
        <w:tc>
          <w:tcPr>
            <w:tcW w:type="dxa" w:w="2822"/>
            <w:tcMar>
              <w:top w:type="dxa" w:w="70"/>
              <w:left w:type="dxa" w:w="110"/>
              <w:bottom w:type="dxa" w:w="70"/>
              <w:right w:type="dxa" w:w="110"/>
            </w:tcMar>
            <w:vAlign w:val="top"/>
          </w:tcPr>
          <w:p>
            <w:r>
              <w:rPr>
                <w:b/>
                <w:bCs/>
                <w:color w:val="1A1A1A"/>
                <w:sz w:val="13"/>
                <w:szCs w:val="13"/>
              </w:rPr>
              <w:t xml:space="preserve">Projects</w:t>
            </w:r>
          </w:p>
        </w:tc>
        <w:tc>
          <w:tcPr>
            <w:tcW w:type="dxa" w:w="3024"/>
            <w:tcMar>
              <w:top w:type="dxa" w:w="70"/>
              <w:left w:type="dxa" w:w="110"/>
              <w:bottom w:type="dxa" w:w="70"/>
              <w:right w:type="dxa" w:w="110"/>
            </w:tcMar>
            <w:vAlign w:val="top"/>
          </w:tcPr>
          <w:p>
            <w:r>
              <w:rPr>
                <w:b w:val="false"/>
                <w:bCs w:val="false"/>
                <w:color w:val="1A1A1A"/>
                <w:sz w:val="13"/>
                <w:szCs w:val="13"/>
              </w:rPr>
              <w:t xml:space="preserve">Backend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Database Engineering, Frontend Engineering</w:t>
            </w:r>
          </w:p>
        </w:tc>
      </w:tr>
      <w:tr>
        <w:tc>
          <w:tcPr>
            <w:tcW w:type="dxa" w:w="2822"/>
            <w:tcMar>
              <w:top w:type="dxa" w:w="70"/>
              <w:left w:type="dxa" w:w="110"/>
              <w:bottom w:type="dxa" w:w="70"/>
              <w:right w:type="dxa" w:w="110"/>
            </w:tcMar>
            <w:vAlign w:val="top"/>
          </w:tcPr>
          <w:p>
            <w:r>
              <w:rPr>
                <w:b/>
                <w:bCs/>
                <w:color w:val="1A1A1A"/>
                <w:sz w:val="13"/>
                <w:szCs w:val="13"/>
              </w:rPr>
              <w:t xml:space="preserve">Tasks</w:t>
            </w:r>
          </w:p>
        </w:tc>
        <w:tc>
          <w:tcPr>
            <w:tcW w:type="dxa" w:w="3024"/>
            <w:tcMar>
              <w:top w:type="dxa" w:w="70"/>
              <w:left w:type="dxa" w:w="110"/>
              <w:bottom w:type="dxa" w:w="70"/>
              <w:right w:type="dxa" w:w="110"/>
            </w:tcMar>
            <w:vAlign w:val="top"/>
          </w:tcPr>
          <w:p>
            <w:r>
              <w:rPr>
                <w:b w:val="false"/>
                <w:bCs w:val="false"/>
                <w:color w:val="1A1A1A"/>
                <w:sz w:val="13"/>
                <w:szCs w:val="13"/>
              </w:rPr>
              <w:t xml:space="preserve">Backend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Frontend Engineering</w:t>
            </w:r>
          </w:p>
        </w:tc>
      </w:tr>
      <w:tr>
        <w:tc>
          <w:tcPr>
            <w:tcW w:type="dxa" w:w="2822"/>
            <w:tcMar>
              <w:top w:type="dxa" w:w="70"/>
              <w:left w:type="dxa" w:w="110"/>
              <w:bottom w:type="dxa" w:w="70"/>
              <w:right w:type="dxa" w:w="110"/>
            </w:tcMar>
            <w:vAlign w:val="top"/>
          </w:tcPr>
          <w:p>
            <w:r>
              <w:rPr>
                <w:b/>
                <w:bCs/>
                <w:color w:val="1A1A1A"/>
                <w:sz w:val="13"/>
                <w:szCs w:val="13"/>
              </w:rPr>
              <w:t xml:space="preserve">Workflow</w:t>
            </w:r>
          </w:p>
        </w:tc>
        <w:tc>
          <w:tcPr>
            <w:tcW w:type="dxa" w:w="3024"/>
            <w:tcMar>
              <w:top w:type="dxa" w:w="70"/>
              <w:left w:type="dxa" w:w="110"/>
              <w:bottom w:type="dxa" w:w="70"/>
              <w:right w:type="dxa" w:w="110"/>
            </w:tcMar>
            <w:vAlign w:val="top"/>
          </w:tcPr>
          <w:p>
            <w:r>
              <w:rPr>
                <w:b w:val="false"/>
                <w:bCs w:val="false"/>
                <w:color w:val="1A1A1A"/>
                <w:sz w:val="13"/>
                <w:szCs w:val="13"/>
              </w:rPr>
              <w:t xml:space="preserve">Backend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API &amp; Integration Engineering</w:t>
            </w:r>
          </w:p>
        </w:tc>
      </w:tr>
      <w:tr>
        <w:tc>
          <w:tcPr>
            <w:tcW w:type="dxa" w:w="2822"/>
            <w:tcMar>
              <w:top w:type="dxa" w:w="70"/>
              <w:left w:type="dxa" w:w="110"/>
              <w:bottom w:type="dxa" w:w="70"/>
              <w:right w:type="dxa" w:w="110"/>
            </w:tcMar>
            <w:vAlign w:val="top"/>
          </w:tcPr>
          <w:p>
            <w:r>
              <w:rPr>
                <w:b/>
                <w:bCs/>
                <w:color w:val="1A1A1A"/>
                <w:sz w:val="13"/>
                <w:szCs w:val="13"/>
              </w:rPr>
              <w:t xml:space="preserve">Approvals</w:t>
            </w:r>
          </w:p>
        </w:tc>
        <w:tc>
          <w:tcPr>
            <w:tcW w:type="dxa" w:w="3024"/>
            <w:tcMar>
              <w:top w:type="dxa" w:w="70"/>
              <w:left w:type="dxa" w:w="110"/>
              <w:bottom w:type="dxa" w:w="70"/>
              <w:right w:type="dxa" w:w="110"/>
            </w:tcMar>
            <w:vAlign w:val="top"/>
          </w:tcPr>
          <w:p>
            <w:r>
              <w:rPr>
                <w:b w:val="false"/>
                <w:bCs w:val="false"/>
                <w:color w:val="1A1A1A"/>
                <w:sz w:val="13"/>
                <w:szCs w:val="13"/>
              </w:rPr>
              <w:t xml:space="preserve">Backend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Security Engineering</w:t>
            </w:r>
          </w:p>
        </w:tc>
      </w:tr>
      <w:tr>
        <w:tc>
          <w:tcPr>
            <w:tcW w:type="dxa" w:w="2822"/>
            <w:tcMar>
              <w:top w:type="dxa" w:w="70"/>
              <w:left w:type="dxa" w:w="110"/>
              <w:bottom w:type="dxa" w:w="70"/>
              <w:right w:type="dxa" w:w="110"/>
            </w:tcMar>
            <w:vAlign w:val="top"/>
          </w:tcPr>
          <w:p>
            <w:r>
              <w:rPr>
                <w:b/>
                <w:bCs/>
                <w:color w:val="1A1A1A"/>
                <w:sz w:val="13"/>
                <w:szCs w:val="13"/>
              </w:rPr>
              <w:t xml:space="preserve">Security (Module-Level)</w:t>
            </w:r>
          </w:p>
        </w:tc>
        <w:tc>
          <w:tcPr>
            <w:tcW w:type="dxa" w:w="3024"/>
            <w:tcMar>
              <w:top w:type="dxa" w:w="70"/>
              <w:left w:type="dxa" w:w="110"/>
              <w:bottom w:type="dxa" w:w="70"/>
              <w:right w:type="dxa" w:w="110"/>
            </w:tcMar>
            <w:vAlign w:val="top"/>
          </w:tcPr>
          <w:p>
            <w:r>
              <w:rPr>
                <w:b w:val="false"/>
                <w:bCs w:val="false"/>
                <w:color w:val="1A1A1A"/>
                <w:sz w:val="13"/>
                <w:szCs w:val="13"/>
              </w:rPr>
              <w:t xml:space="preserve">Security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Backend Engineering</w:t>
            </w:r>
          </w:p>
        </w:tc>
      </w:tr>
      <w:tr>
        <w:tc>
          <w:tcPr>
            <w:tcW w:type="dxa" w:w="2822"/>
            <w:tcMar>
              <w:top w:type="dxa" w:w="70"/>
              <w:left w:type="dxa" w:w="110"/>
              <w:bottom w:type="dxa" w:w="70"/>
              <w:right w:type="dxa" w:w="110"/>
            </w:tcMar>
            <w:vAlign w:val="top"/>
          </w:tcPr>
          <w:p>
            <w:r>
              <w:rPr>
                <w:b/>
                <w:bCs/>
                <w:color w:val="1A1A1A"/>
                <w:sz w:val="13"/>
                <w:szCs w:val="13"/>
              </w:rPr>
              <w:t xml:space="preserve">Administration</w:t>
            </w:r>
          </w:p>
        </w:tc>
        <w:tc>
          <w:tcPr>
            <w:tcW w:type="dxa" w:w="3024"/>
            <w:tcMar>
              <w:top w:type="dxa" w:w="70"/>
              <w:left w:type="dxa" w:w="110"/>
              <w:bottom w:type="dxa" w:w="70"/>
              <w:right w:type="dxa" w:w="110"/>
            </w:tcMar>
            <w:vAlign w:val="top"/>
          </w:tcPr>
          <w:p>
            <w:r>
              <w:rPr>
                <w:b w:val="false"/>
                <w:bCs w:val="false"/>
                <w:color w:val="1A1A1A"/>
                <w:sz w:val="13"/>
                <w:szCs w:val="13"/>
              </w:rPr>
              <w:t xml:space="preserve">Backend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Security Engineering, Frontend Engineering</w:t>
            </w:r>
          </w:p>
        </w:tc>
      </w:tr>
      <w:tr>
        <w:tc>
          <w:tcPr>
            <w:tcW w:type="dxa" w:w="2822"/>
            <w:tcMar>
              <w:top w:type="dxa" w:w="70"/>
              <w:left w:type="dxa" w:w="110"/>
              <w:bottom w:type="dxa" w:w="70"/>
              <w:right w:type="dxa" w:w="110"/>
            </w:tcMar>
            <w:vAlign w:val="top"/>
          </w:tcPr>
          <w:p>
            <w:r>
              <w:rPr>
                <w:b/>
                <w:bCs/>
                <w:color w:val="1A1A1A"/>
                <w:sz w:val="13"/>
                <w:szCs w:val="13"/>
              </w:rPr>
              <w:t xml:space="preserve">Documents</w:t>
            </w:r>
          </w:p>
        </w:tc>
        <w:tc>
          <w:tcPr>
            <w:tcW w:type="dxa" w:w="3024"/>
            <w:tcMar>
              <w:top w:type="dxa" w:w="70"/>
              <w:left w:type="dxa" w:w="110"/>
              <w:bottom w:type="dxa" w:w="70"/>
              <w:right w:type="dxa" w:w="110"/>
            </w:tcMar>
            <w:vAlign w:val="top"/>
          </w:tcPr>
          <w:p>
            <w:r>
              <w:rPr>
                <w:b w:val="false"/>
                <w:bCs w:val="false"/>
                <w:color w:val="1A1A1A"/>
                <w:sz w:val="13"/>
                <w:szCs w:val="13"/>
              </w:rPr>
              <w:t xml:space="preserve">Backend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Database Engineering, Security Engineering</w:t>
            </w:r>
          </w:p>
        </w:tc>
      </w:tr>
      <w:tr>
        <w:tc>
          <w:tcPr>
            <w:tcW w:type="dxa" w:w="2822"/>
            <w:tcMar>
              <w:top w:type="dxa" w:w="70"/>
              <w:left w:type="dxa" w:w="110"/>
              <w:bottom w:type="dxa" w:w="70"/>
              <w:right w:type="dxa" w:w="110"/>
            </w:tcMar>
            <w:vAlign w:val="top"/>
          </w:tcPr>
          <w:p>
            <w:r>
              <w:rPr>
                <w:b/>
                <w:bCs/>
                <w:color w:val="1A1A1A"/>
                <w:sz w:val="13"/>
                <w:szCs w:val="13"/>
              </w:rPr>
              <w:t xml:space="preserve">Knowledge Repository</w:t>
            </w:r>
          </w:p>
        </w:tc>
        <w:tc>
          <w:tcPr>
            <w:tcW w:type="dxa" w:w="3024"/>
            <w:tcMar>
              <w:top w:type="dxa" w:w="70"/>
              <w:left w:type="dxa" w:w="110"/>
              <w:bottom w:type="dxa" w:w="70"/>
              <w:right w:type="dxa" w:w="110"/>
            </w:tcMar>
            <w:vAlign w:val="top"/>
          </w:tcPr>
          <w:p>
            <w:r>
              <w:rPr>
                <w:b w:val="false"/>
                <w:bCs w:val="false"/>
                <w:color w:val="1A1A1A"/>
                <w:sz w:val="13"/>
                <w:szCs w:val="13"/>
              </w:rPr>
              <w:t xml:space="preserve">AI &amp; Knowledge Management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Database Engineering, Backend Engineering</w:t>
            </w:r>
          </w:p>
        </w:tc>
      </w:tr>
      <w:tr>
        <w:tc>
          <w:tcPr>
            <w:tcW w:type="dxa" w:w="2822"/>
            <w:tcMar>
              <w:top w:type="dxa" w:w="70"/>
              <w:left w:type="dxa" w:w="110"/>
              <w:bottom w:type="dxa" w:w="70"/>
              <w:right w:type="dxa" w:w="110"/>
            </w:tcMar>
            <w:vAlign w:val="top"/>
          </w:tcPr>
          <w:p>
            <w:r>
              <w:rPr>
                <w:b/>
                <w:bCs/>
                <w:color w:val="1A1A1A"/>
                <w:sz w:val="13"/>
                <w:szCs w:val="13"/>
              </w:rPr>
              <w:t xml:space="preserve">Media</w:t>
            </w:r>
          </w:p>
        </w:tc>
        <w:tc>
          <w:tcPr>
            <w:tcW w:type="dxa" w:w="3024"/>
            <w:tcMar>
              <w:top w:type="dxa" w:w="70"/>
              <w:left w:type="dxa" w:w="110"/>
              <w:bottom w:type="dxa" w:w="70"/>
              <w:right w:type="dxa" w:w="110"/>
            </w:tcMar>
            <w:vAlign w:val="top"/>
          </w:tcPr>
          <w:p>
            <w:r>
              <w:rPr>
                <w:b w:val="false"/>
                <w:bCs w:val="false"/>
                <w:color w:val="1A1A1A"/>
                <w:sz w:val="13"/>
                <w:szCs w:val="13"/>
              </w:rPr>
              <w:t xml:space="preserve">Backend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DevSecOps &amp; Infrastructure Engineering</w:t>
            </w:r>
          </w:p>
        </w:tc>
      </w:tr>
      <w:tr>
        <w:tc>
          <w:tcPr>
            <w:tcW w:type="dxa" w:w="2822"/>
            <w:tcMar>
              <w:top w:type="dxa" w:w="70"/>
              <w:left w:type="dxa" w:w="110"/>
              <w:bottom w:type="dxa" w:w="70"/>
              <w:right w:type="dxa" w:w="110"/>
            </w:tcMar>
            <w:vAlign w:val="top"/>
          </w:tcPr>
          <w:p>
            <w:r>
              <w:rPr>
                <w:b/>
                <w:bCs/>
                <w:color w:val="1A1A1A"/>
                <w:sz w:val="13"/>
                <w:szCs w:val="13"/>
              </w:rPr>
              <w:t xml:space="preserve">Search (Module-Level)</w:t>
            </w:r>
          </w:p>
        </w:tc>
        <w:tc>
          <w:tcPr>
            <w:tcW w:type="dxa" w:w="3024"/>
            <w:tcMar>
              <w:top w:type="dxa" w:w="70"/>
              <w:left w:type="dxa" w:w="110"/>
              <w:bottom w:type="dxa" w:w="70"/>
              <w:right w:type="dxa" w:w="110"/>
            </w:tcMar>
            <w:vAlign w:val="top"/>
          </w:tcPr>
          <w:p>
            <w:r>
              <w:rPr>
                <w:b w:val="false"/>
                <w:bCs w:val="false"/>
                <w:color w:val="1A1A1A"/>
                <w:sz w:val="13"/>
                <w:szCs w:val="13"/>
              </w:rPr>
              <w:t xml:space="preserve">AI &amp; Knowledge Management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Database Engineering, Backend Engineering</w:t>
            </w:r>
          </w:p>
        </w:tc>
      </w:tr>
      <w:tr>
        <w:tc>
          <w:tcPr>
            <w:tcW w:type="dxa" w:w="2822"/>
            <w:tcMar>
              <w:top w:type="dxa" w:w="70"/>
              <w:left w:type="dxa" w:w="110"/>
              <w:bottom w:type="dxa" w:w="70"/>
              <w:right w:type="dxa" w:w="110"/>
            </w:tcMar>
            <w:vAlign w:val="top"/>
          </w:tcPr>
          <w:p>
            <w:r>
              <w:rPr>
                <w:b/>
                <w:bCs/>
                <w:color w:val="1A1A1A"/>
                <w:sz w:val="13"/>
                <w:szCs w:val="13"/>
              </w:rPr>
              <w:t xml:space="preserve">Reporting</w:t>
            </w:r>
          </w:p>
        </w:tc>
        <w:tc>
          <w:tcPr>
            <w:tcW w:type="dxa" w:w="3024"/>
            <w:tcMar>
              <w:top w:type="dxa" w:w="70"/>
              <w:left w:type="dxa" w:w="110"/>
              <w:bottom w:type="dxa" w:w="70"/>
              <w:right w:type="dxa" w:w="110"/>
            </w:tcMar>
            <w:vAlign w:val="top"/>
          </w:tcPr>
          <w:p>
            <w:r>
              <w:rPr>
                <w:b w:val="false"/>
                <w:bCs w:val="false"/>
                <w:color w:val="1A1A1A"/>
                <w:sz w:val="13"/>
                <w:szCs w:val="13"/>
              </w:rPr>
              <w:t xml:space="preserve">Backend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Frontend Engineering</w:t>
            </w:r>
          </w:p>
        </w:tc>
      </w:tr>
      <w:tr>
        <w:tc>
          <w:tcPr>
            <w:tcW w:type="dxa" w:w="2822"/>
            <w:tcMar>
              <w:top w:type="dxa" w:w="70"/>
              <w:left w:type="dxa" w:w="110"/>
              <w:bottom w:type="dxa" w:w="70"/>
              <w:right w:type="dxa" w:w="110"/>
            </w:tcMar>
            <w:vAlign w:val="top"/>
          </w:tcPr>
          <w:p>
            <w:r>
              <w:rPr>
                <w:b/>
                <w:bCs/>
                <w:color w:val="1A1A1A"/>
                <w:sz w:val="13"/>
                <w:szCs w:val="13"/>
              </w:rPr>
              <w:t xml:space="preserve">Analytics</w:t>
            </w:r>
          </w:p>
        </w:tc>
        <w:tc>
          <w:tcPr>
            <w:tcW w:type="dxa" w:w="3024"/>
            <w:tcMar>
              <w:top w:type="dxa" w:w="70"/>
              <w:left w:type="dxa" w:w="110"/>
              <w:bottom w:type="dxa" w:w="70"/>
              <w:right w:type="dxa" w:w="110"/>
            </w:tcMar>
            <w:vAlign w:val="top"/>
          </w:tcPr>
          <w:p>
            <w:r>
              <w:rPr>
                <w:b w:val="false"/>
                <w:bCs w:val="false"/>
                <w:color w:val="1A1A1A"/>
                <w:sz w:val="13"/>
                <w:szCs w:val="13"/>
              </w:rPr>
              <w:t xml:space="preserve">Backend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AI &amp; Knowledge Management Engineering</w:t>
            </w:r>
          </w:p>
        </w:tc>
      </w:tr>
      <w:tr>
        <w:tc>
          <w:tcPr>
            <w:tcW w:type="dxa" w:w="2822"/>
            <w:tcMar>
              <w:top w:type="dxa" w:w="70"/>
              <w:left w:type="dxa" w:w="110"/>
              <w:bottom w:type="dxa" w:w="70"/>
              <w:right w:type="dxa" w:w="110"/>
            </w:tcMar>
            <w:vAlign w:val="top"/>
          </w:tcPr>
          <w:p>
            <w:r>
              <w:rPr>
                <w:b/>
                <w:bCs/>
                <w:color w:val="1A1A1A"/>
                <w:sz w:val="13"/>
                <w:szCs w:val="13"/>
              </w:rPr>
              <w:t xml:space="preserve">Notifications (Module-Level)</w:t>
            </w:r>
          </w:p>
        </w:tc>
        <w:tc>
          <w:tcPr>
            <w:tcW w:type="dxa" w:w="3024"/>
            <w:tcMar>
              <w:top w:type="dxa" w:w="70"/>
              <w:left w:type="dxa" w:w="110"/>
              <w:bottom w:type="dxa" w:w="70"/>
              <w:right w:type="dxa" w:w="110"/>
            </w:tcMar>
            <w:vAlign w:val="top"/>
          </w:tcPr>
          <w:p>
            <w:r>
              <w:rPr>
                <w:b w:val="false"/>
                <w:bCs w:val="false"/>
                <w:color w:val="1A1A1A"/>
                <w:sz w:val="13"/>
                <w:szCs w:val="13"/>
              </w:rPr>
              <w:t xml:space="preserve">Backend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API &amp; Integration Engineering</w:t>
            </w:r>
          </w:p>
        </w:tc>
      </w:tr>
      <w:tr>
        <w:tc>
          <w:tcPr>
            <w:tcW w:type="dxa" w:w="2822"/>
            <w:tcMar>
              <w:top w:type="dxa" w:w="70"/>
              <w:left w:type="dxa" w:w="110"/>
              <w:bottom w:type="dxa" w:w="70"/>
              <w:right w:type="dxa" w:w="110"/>
            </w:tcMar>
            <w:vAlign w:val="top"/>
          </w:tcPr>
          <w:p>
            <w:r>
              <w:rPr>
                <w:b/>
                <w:bCs/>
                <w:color w:val="1A1A1A"/>
                <w:sz w:val="13"/>
                <w:szCs w:val="13"/>
              </w:rPr>
              <w:t xml:space="preserve">Training</w:t>
            </w:r>
          </w:p>
        </w:tc>
        <w:tc>
          <w:tcPr>
            <w:tcW w:type="dxa" w:w="3024"/>
            <w:tcMar>
              <w:top w:type="dxa" w:w="70"/>
              <w:left w:type="dxa" w:w="110"/>
              <w:bottom w:type="dxa" w:w="70"/>
              <w:right w:type="dxa" w:w="110"/>
            </w:tcMar>
            <w:vAlign w:val="top"/>
          </w:tcPr>
          <w:p>
            <w:r>
              <w:rPr>
                <w:b w:val="false"/>
                <w:bCs w:val="false"/>
                <w:color w:val="1A1A1A"/>
                <w:sz w:val="13"/>
                <w:szCs w:val="13"/>
              </w:rPr>
              <w:t xml:space="preserve">Frontend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Backend Engineering</w:t>
            </w:r>
          </w:p>
        </w:tc>
      </w:tr>
      <w:tr>
        <w:tc>
          <w:tcPr>
            <w:tcW w:type="dxa" w:w="2822"/>
            <w:tcMar>
              <w:top w:type="dxa" w:w="70"/>
              <w:left w:type="dxa" w:w="110"/>
              <w:bottom w:type="dxa" w:w="70"/>
              <w:right w:type="dxa" w:w="110"/>
            </w:tcMar>
            <w:vAlign w:val="top"/>
          </w:tcPr>
          <w:p>
            <w:r>
              <w:rPr>
                <w:b/>
                <w:bCs/>
                <w:color w:val="1A1A1A"/>
                <w:sz w:val="13"/>
                <w:szCs w:val="13"/>
              </w:rPr>
              <w:t xml:space="preserve">Support</w:t>
            </w:r>
          </w:p>
        </w:tc>
        <w:tc>
          <w:tcPr>
            <w:tcW w:type="dxa" w:w="3024"/>
            <w:tcMar>
              <w:top w:type="dxa" w:w="70"/>
              <w:left w:type="dxa" w:w="110"/>
              <w:bottom w:type="dxa" w:w="70"/>
              <w:right w:type="dxa" w:w="110"/>
            </w:tcMar>
            <w:vAlign w:val="top"/>
          </w:tcPr>
          <w:p>
            <w:r>
              <w:rPr>
                <w:b w:val="false"/>
                <w:bCs w:val="false"/>
                <w:color w:val="1A1A1A"/>
                <w:sz w:val="13"/>
                <w:szCs w:val="13"/>
              </w:rPr>
              <w:t xml:space="preserve">Backend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Frontend Engineering</w:t>
            </w:r>
          </w:p>
        </w:tc>
      </w:tr>
      <w:tr>
        <w:tc>
          <w:tcPr>
            <w:tcW w:type="dxa" w:w="2822"/>
            <w:tcMar>
              <w:top w:type="dxa" w:w="70"/>
              <w:left w:type="dxa" w:w="110"/>
              <w:bottom w:type="dxa" w:w="70"/>
              <w:right w:type="dxa" w:w="110"/>
            </w:tcMar>
            <w:vAlign w:val="top"/>
          </w:tcPr>
          <w:p>
            <w:r>
              <w:rPr>
                <w:b/>
                <w:bCs/>
                <w:color w:val="1A1A1A"/>
                <w:sz w:val="13"/>
                <w:szCs w:val="13"/>
              </w:rPr>
              <w:t xml:space="preserve">Help Desk</w:t>
            </w:r>
          </w:p>
        </w:tc>
        <w:tc>
          <w:tcPr>
            <w:tcW w:type="dxa" w:w="3024"/>
            <w:tcMar>
              <w:top w:type="dxa" w:w="70"/>
              <w:left w:type="dxa" w:w="110"/>
              <w:bottom w:type="dxa" w:w="70"/>
              <w:right w:type="dxa" w:w="110"/>
            </w:tcMar>
            <w:vAlign w:val="top"/>
          </w:tcPr>
          <w:p>
            <w:r>
              <w:rPr>
                <w:b w:val="false"/>
                <w:bCs w:val="false"/>
                <w:color w:val="1A1A1A"/>
                <w:sz w:val="13"/>
                <w:szCs w:val="13"/>
              </w:rPr>
              <w:t xml:space="preserve">Frontend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AI &amp; Knowledge Management Engineering</w:t>
            </w:r>
          </w:p>
        </w:tc>
      </w:tr>
      <w:tr>
        <w:tc>
          <w:tcPr>
            <w:tcW w:type="dxa" w:w="2822"/>
            <w:tcMar>
              <w:top w:type="dxa" w:w="70"/>
              <w:left w:type="dxa" w:w="110"/>
              <w:bottom w:type="dxa" w:w="70"/>
              <w:right w:type="dxa" w:w="110"/>
            </w:tcMar>
            <w:vAlign w:val="top"/>
          </w:tcPr>
          <w:p>
            <w:r>
              <w:rPr>
                <w:b/>
                <w:bCs/>
                <w:color w:val="1A1A1A"/>
                <w:sz w:val="13"/>
                <w:szCs w:val="13"/>
              </w:rPr>
              <w:t xml:space="preserve">Public Portal</w:t>
            </w:r>
          </w:p>
        </w:tc>
        <w:tc>
          <w:tcPr>
            <w:tcW w:type="dxa" w:w="3024"/>
            <w:tcMar>
              <w:top w:type="dxa" w:w="70"/>
              <w:left w:type="dxa" w:w="110"/>
              <w:bottom w:type="dxa" w:w="70"/>
              <w:right w:type="dxa" w:w="110"/>
            </w:tcMar>
            <w:vAlign w:val="top"/>
          </w:tcPr>
          <w:p>
            <w:r>
              <w:rPr>
                <w:b w:val="false"/>
                <w:bCs w:val="false"/>
                <w:color w:val="1A1A1A"/>
                <w:sz w:val="13"/>
                <w:szCs w:val="13"/>
              </w:rPr>
              <w:t xml:space="preserve">Frontend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Backend Engineering, Security Engineering</w:t>
            </w:r>
          </w:p>
        </w:tc>
      </w:tr>
      <w:tr>
        <w:tc>
          <w:tcPr>
            <w:tcW w:type="dxa" w:w="2822"/>
            <w:tcMar>
              <w:top w:type="dxa" w:w="70"/>
              <w:left w:type="dxa" w:w="110"/>
              <w:bottom w:type="dxa" w:w="70"/>
              <w:right w:type="dxa" w:w="110"/>
            </w:tcMar>
            <w:vAlign w:val="top"/>
          </w:tcPr>
          <w:p>
            <w:r>
              <w:rPr>
                <w:b/>
                <w:bCs/>
                <w:color w:val="1A1A1A"/>
                <w:sz w:val="13"/>
                <w:szCs w:val="13"/>
              </w:rPr>
              <w:t xml:space="preserve">AI Assistant (Phase 2)</w:t>
            </w:r>
          </w:p>
        </w:tc>
        <w:tc>
          <w:tcPr>
            <w:tcW w:type="dxa" w:w="3024"/>
            <w:tcMar>
              <w:top w:type="dxa" w:w="70"/>
              <w:left w:type="dxa" w:w="110"/>
              <w:bottom w:type="dxa" w:w="70"/>
              <w:right w:type="dxa" w:w="110"/>
            </w:tcMar>
            <w:vAlign w:val="top"/>
          </w:tcPr>
          <w:p>
            <w:r>
              <w:rPr>
                <w:b w:val="false"/>
                <w:bCs w:val="false"/>
                <w:color w:val="1A1A1A"/>
                <w:sz w:val="13"/>
                <w:szCs w:val="13"/>
              </w:rPr>
              <w:t xml:space="preserve">AI &amp; Knowledge Management Engineering</w:t>
            </w:r>
          </w:p>
        </w:tc>
        <w:tc>
          <w:tcPr>
            <w:tcW w:type="dxa" w:w="4234"/>
            <w:tcMar>
              <w:top w:type="dxa" w:w="70"/>
              <w:left w:type="dxa" w:w="110"/>
              <w:bottom w:type="dxa" w:w="70"/>
              <w:right w:type="dxa" w:w="110"/>
            </w:tcMar>
            <w:vAlign w:val="top"/>
          </w:tcPr>
          <w:p>
            <w:r>
              <w:rPr>
                <w:b w:val="false"/>
                <w:bCs w:val="false"/>
                <w:color w:val="1A1A1A"/>
                <w:sz w:val="13"/>
                <w:szCs w:val="13"/>
              </w:rPr>
              <w:t xml:space="preserve">Security Engineering, API &amp; Integration Engineering</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3F0E8" w:sz="2"/>
              <w:left w:val="single" w:color="97771F" w:sz="24"/>
              <w:bottom w:val="single" w:color="F3F0E8" w:sz="2"/>
              <w:right w:val="single" w:color="F3F0E8" w:sz="2"/>
            </w:tcBorders>
            <w:shd w:fill="F3F0E8" w:val="clear"/>
            <w:tcMar>
              <w:top w:type="dxa" w:w="120"/>
              <w:left w:type="dxa" w:w="180"/>
              <w:bottom w:type="dxa" w:w="120"/>
              <w:right w:type="dxa" w:w="180"/>
            </w:tcMar>
          </w:tcPr>
          <w:p>
            <w:pPr>
              <w:spacing w:after="60"/>
            </w:pPr>
            <w:r>
              <w:rPr>
                <w:b/>
                <w:bCs/>
                <w:color w:val="97771F"/>
                <w:sz w:val="17"/>
                <w:szCs w:val="17"/>
              </w:rPr>
              <w:t xml:space="preserve">IMPLEMENTATION NOTE</w:t>
            </w:r>
          </w:p>
          <w:p>
            <w:pPr>
              <w:spacing w:after="0"/>
            </w:pPr>
            <w:r>
              <w:rPr>
                <w:sz w:val="18"/>
                <w:szCs w:val="18"/>
              </w:rPr>
              <w:t xml:space="preserve">Every module, regardless of primary domain, carries obligations to Database Engineering (schema), API &amp; Integration Engineering (endpoint contracts), Quality Engineering &amp; Testing (test coverage), and Documentation &amp; Engineering Governance (traceability updates), consistent with the cross-cutting treatment established in Part 2, Section 2.10.</w:t>
            </w:r>
          </w:p>
        </w:tc>
      </w:tr>
    </w:tbl>
    <w:p>
      <w:pPr>
        <w:pStyle w:val="Heading1"/>
        <w:pBdr>
          <w:bottom w:val="single" w:color="DAD3C0" w:sz="4" w:space="4"/>
        </w:pBdr>
        <w:spacing w:after="140" w:before="360"/>
      </w:pPr>
      <w:r>
        <w:rPr>
          <w:b/>
          <w:bCs/>
          <w:color w:val="97771F"/>
          <w:sz w:val="26"/>
          <w:szCs w:val="26"/>
        </w:rPr>
        <w:t xml:space="preserve">3.22  </w:t>
      </w:r>
      <w:r>
        <w:rPr>
          <w:b/>
          <w:bCs/>
          <w:color w:val="33363C"/>
          <w:sz w:val="26"/>
          <w:szCs w:val="26"/>
        </w:rPr>
        <w:t xml:space="preserve">Summary and Bridge to Part 4</w:t>
      </w:r>
    </w:p>
    <w:p>
      <w:pPr>
        <w:spacing w:after="150" w:line="276"/>
        <w:jc w:val="both"/>
      </w:pPr>
      <w:r>
        <w:t xml:space="preserve">This Part decomposed the platform into its twenty functional modules, each profiled against eleven implementation-facing attributes and cross-referenced to its owning Engineering Domain. Together with Parts 1 and 2, this establishes the complete 'what' and 'who' of the platform's engineering scope.</w:t>
      </w:r>
    </w:p>
    <w:p>
      <w:pPr>
        <w:spacing w:after="150" w:line="276"/>
        <w:jc w:val="both"/>
      </w:pPr>
      <w:r>
        <w:t xml:space="preserve">Part 4 — Engineering Work Breakdown Structure — organizes this same scope into a hierarchical WBS (Programme &gt; Domain &gt; Module &gt; Feature &gt; Component &gt; Task), in both outline and tabular form, providing the direct input into the twenty to twenty-five Engineering Work Packages defined in Parts 5 through 8.</w:t>
      </w:r>
    </w:p>
    <w:p>
      <w:pPr>
        <w:pStyle w:val="Heading2"/>
        <w:spacing w:after="110" w:before="260"/>
      </w:pPr>
      <w:r>
        <w:rPr>
          <w:b/>
          <w:bCs/>
          <w:color w:val="97771F"/>
          <w:sz w:val="21"/>
          <w:szCs w:val="21"/>
        </w:rPr>
        <w:t xml:space="preserve">3.22.1  </w:t>
      </w:r>
      <w:r>
        <w:rPr>
          <w:b/>
          <w:bCs/>
          <w:color w:val="33363C"/>
          <w:sz w:val="21"/>
          <w:szCs w:val="21"/>
        </w:rPr>
        <w:t xml:space="preserve">Key Takeaways</w:t>
      </w:r>
    </w:p>
    <w:p>
      <w:pPr>
        <w:pStyle w:val="ListParagraph"/>
        <w:numPr>
          <w:ilvl w:val="0"/>
          <w:numId w:val="1"/>
        </w:numPr>
        <w:spacing w:after="90" w:line="264"/>
      </w:pPr>
      <w:r>
        <w:t xml:space="preserve">Twenty modules, drawn directly from SRS Parts 3–22, define the complete functional scope of the platform.</w:t>
      </w:r>
    </w:p>
    <w:p>
      <w:pPr>
        <w:pStyle w:val="ListParagraph"/>
        <w:numPr>
          <w:ilvl w:val="0"/>
          <w:numId w:val="1"/>
        </w:numPr>
        <w:spacing w:after="90" w:line="264"/>
      </w:pPr>
      <w:r>
        <w:t xml:space="preserve">Security, Search, and Notifications are catalogued as individual modules but function as cross-cutting services consumed platform-wide.</w:t>
      </w:r>
    </w:p>
    <w:p>
      <w:pPr>
        <w:pStyle w:val="ListParagraph"/>
        <w:numPr>
          <w:ilvl w:val="0"/>
          <w:numId w:val="1"/>
        </w:numPr>
        <w:spacing w:after="90" w:line="264"/>
      </w:pPr>
      <w:r>
        <w:t xml:space="preserve">Every module has a defined primary domain owner and a set of secondary domains, resolving any ambiguity in Work Package assignment.</w:t>
      </w:r>
    </w:p>
    <w:p>
      <w:pPr>
        <w:pStyle w:val="ListParagraph"/>
        <w:numPr>
          <w:ilvl w:val="0"/>
          <w:numId w:val="1"/>
        </w:numPr>
        <w:spacing w:after="90" w:line="264"/>
      </w:pPr>
      <w:r>
        <w:t xml:space="preserve">AI capability is concentrated in the Knowledge Repository, Search, and AI Assistant modules, consistent with the AI &amp; Knowledge Management Strategy.</w:t>
      </w:r>
    </w:p>
    <w:p>
      <w:pPr>
        <w:pStyle w:val="Heading2"/>
        <w:spacing w:after="110" w:before="260"/>
      </w:pPr>
      <w:r>
        <w:rPr>
          <w:b/>
          <w:bCs/>
          <w:color w:val="97771F"/>
          <w:sz w:val="21"/>
          <w:szCs w:val="21"/>
        </w:rPr>
        <w:t xml:space="preserve">3.22.2  </w:t>
      </w:r>
      <w:r>
        <w:rPr>
          <w:b/>
          <w:bCs/>
          <w:color w:val="33363C"/>
          <w:sz w:val="21"/>
          <w:szCs w:val="21"/>
        </w:rPr>
        <w:t xml:space="preserve">Related Parts</w:t>
      </w:r>
    </w:p>
    <w:p>
      <w:pPr>
        <w:pStyle w:val="ListParagraph"/>
        <w:numPr>
          <w:ilvl w:val="0"/>
          <w:numId w:val="1"/>
        </w:numPr>
        <w:spacing w:after="90" w:line="264"/>
      </w:pPr>
      <w:r>
        <w:t xml:space="preserve">MEKB Part 2 — Engineering Domains</w:t>
      </w:r>
    </w:p>
    <w:p>
      <w:pPr>
        <w:pStyle w:val="ListParagraph"/>
        <w:numPr>
          <w:ilvl w:val="0"/>
          <w:numId w:val="1"/>
        </w:numPr>
        <w:spacing w:after="90" w:line="264"/>
      </w:pPr>
      <w:r>
        <w:t xml:space="preserve">MEKB Part 4 — Engineering Work Breakdown Structure</w:t>
      </w:r>
    </w:p>
    <w:p>
      <w:pPr>
        <w:pStyle w:val="ListParagraph"/>
        <w:numPr>
          <w:ilvl w:val="0"/>
          <w:numId w:val="1"/>
        </w:numPr>
        <w:spacing w:after="90" w:line="264"/>
      </w:pPr>
      <w:r>
        <w:t xml:space="preserve">MEKB Part 5–8 — Engineering Work Packages</w:t>
      </w:r>
    </w:p>
    <w:p>
      <w:pPr>
        <w:pStyle w:val="ListParagraph"/>
        <w:numPr>
          <w:ilvl w:val="0"/>
          <w:numId w:val="1"/>
        </w:numPr>
        <w:spacing w:after="90" w:line="264"/>
      </w:pPr>
      <w:r>
        <w:t xml:space="preserve">SRS Parts 3–22 (Functional Requirements), Parts 23–27 (Cross-Cutting Catalogue)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33363C"/>
      <w:sz w:val="26"/>
      <w:szCs w:val="26"/>
    </w:rPr>
  </w:style>
  <w:style w:type="paragraph" w:styleId="Heading2">
    <w:name w:val="Heading 2"/>
    <w:basedOn w:val="Normal"/>
    <w:next w:val="Normal"/>
    <w:qFormat/>
    <w:pPr>
      <w:spacing w:after="110" w:before="240"/>
    </w:pPr>
    <w:rPr>
      <w:rFonts w:ascii="Calibri" w:cs="Calibri" w:eastAsia="Calibri" w:hAnsi="Calibri"/>
      <w:b/>
      <w:bCs/>
      <w:color w:val="33363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2026-07-20T11:46:03.891Z</dcterms:created>
  <dcterms:modified xsi:type="dcterms:W3CDTF">2026-07-20T11:46:03.891Z</dcterms:modified>
</cp:coreProperties>
</file>

<file path=docProps/custom.xml><?xml version="1.0" encoding="utf-8"?>
<Properties xmlns="http://schemas.openxmlformats.org/officeDocument/2006/custom-properties" xmlns:vt="http://schemas.openxmlformats.org/officeDocument/2006/docPropsVTypes"/>
</file>