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97771F"/>
          <w:sz w:val="22"/>
          <w:szCs w:val="22"/>
        </w:rPr>
        <w:t xml:space="preserve">SAPZ MASTER ENGINEERING KNOWLEDGE BASE</w:t>
      </w:r>
    </w:p>
    <w:p>
      <w:pPr>
        <w:spacing w:after="260"/>
        <w:jc w:val="center"/>
      </w:pPr>
      <w:r>
        <w:rPr>
          <w:b/>
          <w:bCs/>
          <w:color w:val="1C1E21"/>
          <w:sz w:val="28"/>
          <w:szCs w:val="28"/>
        </w:rPr>
        <w:t xml:space="preserve">Part 5</w:t>
      </w:r>
    </w:p>
    <w:p>
      <w:pPr>
        <w:pBdr>
          <w:bottom w:val="single" w:color="33363C" w:sz="14" w:space="10"/>
        </w:pBdr>
        <w:spacing w:after="160"/>
        <w:jc w:val="center"/>
      </w:pPr>
      <w:r>
        <w:rPr>
          <w:b/>
          <w:bCs/>
          <w:color w:val="1C1E21"/>
          <w:sz w:val="40"/>
          <w:szCs w:val="40"/>
        </w:rPr>
        <w:t xml:space="preserve">Engineering Work Packages 01–05</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Knowledge Base (MEKB) — Bridging Documentation and Implementation</w:t>
      </w:r>
    </w:p>
    <w:p>
      <w:r>
        <w:br w:type="page"/>
      </w:r>
    </w:p>
    <w:p>
      <w:pPr>
        <w:spacing w:after="40"/>
        <w:jc w:val="left"/>
      </w:pPr>
      <w:r>
        <w:rPr>
          <w:b/>
          <w:bCs/>
          <w:caps/>
          <w:color w:val="97771F"/>
          <w:sz w:val="22"/>
          <w:szCs w:val="22"/>
        </w:rPr>
        <w:t xml:space="preserve">PART 5</w:t>
      </w:r>
    </w:p>
    <w:p>
      <w:pPr>
        <w:pBdr>
          <w:bottom w:val="single" w:color="33363C" w:sz="12" w:space="8"/>
        </w:pBdr>
        <w:spacing w:after="200"/>
        <w:jc w:val="left"/>
      </w:pPr>
      <w:r>
        <w:rPr>
          <w:b/>
          <w:bCs/>
          <w:color w:val="1C1E21"/>
          <w:sz w:val="44"/>
          <w:szCs w:val="44"/>
        </w:rPr>
        <w:t xml:space="preserve">Engineering Work Packages 01–05</w:t>
      </w:r>
    </w:p>
    <w:p>
      <w:pPr>
        <w:spacing w:after="90" w:before="180"/>
      </w:pPr>
      <w:r>
        <w:rPr>
          <w:b/>
          <w:bCs/>
          <w:color w:val="1C1E21"/>
          <w:sz w:val="19"/>
          <w:szCs w:val="19"/>
        </w:rPr>
        <w:t xml:space="preserve">Part Overview</w:t>
      </w:r>
    </w:p>
    <w:p>
      <w:pPr>
        <w:spacing w:after="150" w:line="276"/>
        <w:jc w:val="both"/>
      </w:pPr>
      <w:r>
        <w:t xml:space="preserve">This Part specifies the first five Engineering Work Packages — WP-01 through WP-05 — the platform's foundational database, API, DevSecOps, administration, and security capability, per the WBS allocation established in Part 4, Section 4.6. Each Work Package is written to be independently implementable by Antigravity: self-contained, fully traceable to its governing documents, and bounded by an explicit Definition of Ready and Definition of Done.</w:t>
      </w:r>
    </w:p>
    <w:p>
      <w:pPr>
        <w:spacing w:after="150" w:line="276"/>
        <w:jc w:val="both"/>
      </w:pPr>
      <w:r>
        <w:t xml:space="preserve">These five Work Packages are foundational — every one of the remaining twenty Work Packages in Parts 6 through 8 depends on WP-01, WP-02, and WP-03 being complete, and most depend on WP-04 and WP-05 for authenticated, access-controlled operation.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DEAF2" w:sz="2"/>
              <w:left w:val="single" w:color="5B4E75" w:sz="24"/>
              <w:bottom w:val="single" w:color="EDEAF2" w:sz="2"/>
              <w:right w:val="single" w:color="EDEAF2" w:sz="2"/>
            </w:tcBorders>
            <w:shd w:fill="EDEAF2" w:val="clear"/>
            <w:tcMar>
              <w:top w:type="dxa" w:w="120"/>
              <w:left w:type="dxa" w:w="180"/>
              <w:bottom w:type="dxa" w:w="120"/>
              <w:right w:type="dxa" w:w="180"/>
            </w:tcMar>
          </w:tcPr>
          <w:p>
            <w:pPr>
              <w:spacing w:after="60"/>
            </w:pPr>
            <w:r>
              <w:rPr>
                <w:b/>
                <w:bCs/>
                <w:color w:val="5B4E75"/>
                <w:sz w:val="17"/>
                <w:szCs w:val="17"/>
              </w:rPr>
              <w:t xml:space="preserve">GOVERNANCE NOTE</w:t>
            </w:r>
          </w:p>
          <w:p>
            <w:pPr>
              <w:spacing w:after="0"/>
            </w:pPr>
            <w:r>
              <w:rPr>
                <w:sz w:val="18"/>
                <w:szCs w:val="18"/>
              </w:rPr>
              <w:t xml:space="preserve">Work Package scope, numbering, and sequencing are fixed as of Part 4 and are not altered here. Any field below that appears to introduce new scope beyond what is defined in the referenced governing documents is a documentation defect and shall be raised as a Change Request, not silently implemented.</w:t>
            </w:r>
          </w:p>
        </w:tc>
      </w:tr>
    </w:tbl>
    <w:p>
      <w:pPr>
        <w:pStyle w:val="Heading1"/>
        <w:pBdr>
          <w:bottom w:val="single" w:color="DAD3C0" w:sz="4" w:space="4"/>
        </w:pBdr>
        <w:spacing w:after="140" w:before="360"/>
      </w:pPr>
      <w:r>
        <w:rPr>
          <w:b/>
          <w:bCs/>
          <w:color w:val="97771F"/>
          <w:sz w:val="26"/>
          <w:szCs w:val="26"/>
        </w:rPr>
        <w:t xml:space="preserve">5.1  </w:t>
      </w:r>
      <w:r>
        <w:rPr>
          <w:b/>
          <w:bCs/>
          <w:color w:val="33363C"/>
          <w:sz w:val="26"/>
          <w:szCs w:val="26"/>
        </w:rPr>
        <w:t xml:space="preserve">WP-01 — Platform Database Foundation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2"/>
                <w:szCs w:val="12"/>
              </w:rPr>
              <w:t xml:space="preserve">Objective</w:t>
            </w:r>
          </w:p>
        </w:tc>
        <w:tc>
          <w:tcPr>
            <w:tcW w:type="dxa" w:w="8064"/>
            <w:tcMar>
              <w:top w:type="dxa" w:w="70"/>
              <w:left w:type="dxa" w:w="110"/>
              <w:bottom w:type="dxa" w:w="70"/>
              <w:right w:type="dxa" w:w="110"/>
            </w:tcMar>
            <w:vAlign w:val="top"/>
          </w:tcPr>
          <w:p>
            <w:r>
              <w:rPr>
                <w:b w:val="false"/>
                <w:bCs w:val="false"/>
                <w:color w:val="1A1A1A"/>
                <w:sz w:val="12"/>
                <w:szCs w:val="12"/>
              </w:rPr>
              <w:t xml:space="preserve">Stand up the platform's complete physical database schema, migration framework, indexing strategy, and audit/data-governance foundation before any module-specific Work Package begins.</w:t>
            </w:r>
          </w:p>
        </w:tc>
      </w:tr>
      <w:tr>
        <w:tc>
          <w:tcPr>
            <w:tcW w:type="dxa" w:w="2016"/>
            <w:tcMar>
              <w:top w:type="dxa" w:w="70"/>
              <w:left w:type="dxa" w:w="110"/>
              <w:bottom w:type="dxa" w:w="70"/>
              <w:right w:type="dxa" w:w="110"/>
            </w:tcMar>
            <w:vAlign w:val="top"/>
          </w:tcPr>
          <w:p>
            <w:r>
              <w:rPr>
                <w:b/>
                <w:bCs/>
                <w:color w:val="1A1A1A"/>
                <w:sz w:val="12"/>
                <w:szCs w:val="12"/>
              </w:rPr>
              <w:t xml:space="preserve">Business Context</w:t>
            </w:r>
          </w:p>
        </w:tc>
        <w:tc>
          <w:tcPr>
            <w:tcW w:type="dxa" w:w="8064"/>
            <w:tcMar>
              <w:top w:type="dxa" w:w="70"/>
              <w:left w:type="dxa" w:w="110"/>
              <w:bottom w:type="dxa" w:w="70"/>
              <w:right w:type="dxa" w:w="110"/>
            </w:tcMar>
            <w:vAlign w:val="top"/>
          </w:tcPr>
          <w:p>
            <w:r>
              <w:rPr>
                <w:b w:val="false"/>
                <w:bCs w:val="false"/>
                <w:color w:val="1A1A1A"/>
                <w:sz w:val="12"/>
                <w:szCs w:val="12"/>
              </w:rPr>
              <w:t xml:space="preserve">Every one of the twenty functional modules depends on a stable, correctly indexed, audited database layer. Sequencing this work first eliminates rework across all downstream Work Packages.</w:t>
            </w:r>
          </w:p>
        </w:tc>
      </w:tr>
      <w:tr>
        <w:tc>
          <w:tcPr>
            <w:tcW w:type="dxa" w:w="2016"/>
            <w:tcMar>
              <w:top w:type="dxa" w:w="70"/>
              <w:left w:type="dxa" w:w="110"/>
              <w:bottom w:type="dxa" w:w="70"/>
              <w:right w:type="dxa" w:w="110"/>
            </w:tcMar>
            <w:vAlign w:val="top"/>
          </w:tcPr>
          <w:p>
            <w:r>
              <w:rPr>
                <w:b/>
                <w:bCs/>
                <w:color w:val="1A1A1A"/>
                <w:sz w:val="12"/>
                <w:szCs w:val="12"/>
              </w:rPr>
              <w:t xml:space="preserve">Scope</w:t>
            </w:r>
          </w:p>
        </w:tc>
        <w:tc>
          <w:tcPr>
            <w:tcW w:type="dxa" w:w="8064"/>
            <w:tcMar>
              <w:top w:type="dxa" w:w="70"/>
              <w:left w:type="dxa" w:w="110"/>
              <w:bottom w:type="dxa" w:w="70"/>
              <w:right w:type="dxa" w:w="110"/>
            </w:tcMar>
            <w:vAlign w:val="top"/>
          </w:tcPr>
          <w:p>
            <w:r>
              <w:rPr>
                <w:b w:val="false"/>
                <w:bCs w:val="false"/>
                <w:color w:val="1A1A1A"/>
                <w:sz w:val="12"/>
                <w:szCs w:val="12"/>
              </w:rPr>
              <w:t xml:space="preserve">Full physical schema implementation per DDS Parts 3–4; migration framework and versioning; baseline indexing per DDS Part 8; constraint enforcement per DDS Part 9; audit logging framework per DDS Part 10; master/lookup data seeding per DDS Part 6–7.</w:t>
            </w:r>
          </w:p>
        </w:tc>
      </w:tr>
      <w:tr>
        <w:tc>
          <w:tcPr>
            <w:tcW w:type="dxa" w:w="2016"/>
            <w:tcMar>
              <w:top w:type="dxa" w:w="70"/>
              <w:left w:type="dxa" w:w="110"/>
              <w:bottom w:type="dxa" w:w="70"/>
              <w:right w:type="dxa" w:w="110"/>
            </w:tcMar>
            <w:vAlign w:val="top"/>
          </w:tcPr>
          <w:p>
            <w:r>
              <w:rPr>
                <w:b/>
                <w:bCs/>
                <w:color w:val="1A1A1A"/>
                <w:sz w:val="12"/>
                <w:szCs w:val="12"/>
              </w:rPr>
              <w:t xml:space="preserve">Out of Scope</w:t>
            </w:r>
          </w:p>
        </w:tc>
        <w:tc>
          <w:tcPr>
            <w:tcW w:type="dxa" w:w="8064"/>
            <w:tcMar>
              <w:top w:type="dxa" w:w="70"/>
              <w:left w:type="dxa" w:w="110"/>
              <w:bottom w:type="dxa" w:w="70"/>
              <w:right w:type="dxa" w:w="110"/>
            </w:tcMar>
            <w:vAlign w:val="top"/>
          </w:tcPr>
          <w:p>
            <w:r>
              <w:rPr>
                <w:b w:val="false"/>
                <w:bCs w:val="false"/>
                <w:color w:val="1A1A1A"/>
                <w:sz w:val="12"/>
                <w:szCs w:val="12"/>
              </w:rPr>
              <w:t xml:space="preserve">Module-specific entity refinement beyond the DDS baseline (delivered within each module's own Work Package); reporting data marts (WP-17); AI/search indexing (WP-13, WP-15).</w:t>
            </w:r>
          </w:p>
        </w:tc>
      </w:tr>
      <w:tr>
        <w:tc>
          <w:tcPr>
            <w:tcW w:type="dxa" w:w="2016"/>
            <w:tcMar>
              <w:top w:type="dxa" w:w="70"/>
              <w:left w:type="dxa" w:w="110"/>
              <w:bottom w:type="dxa" w:w="70"/>
              <w:right w:type="dxa" w:w="110"/>
            </w:tcMar>
            <w:vAlign w:val="top"/>
          </w:tcPr>
          <w:p>
            <w:r>
              <w:rPr>
                <w:b/>
                <w:bCs/>
                <w:color w:val="1A1A1A"/>
                <w:sz w:val="12"/>
                <w:szCs w:val="12"/>
              </w:rPr>
              <w:t xml:space="preserve">Inputs</w:t>
            </w:r>
          </w:p>
        </w:tc>
        <w:tc>
          <w:tcPr>
            <w:tcW w:type="dxa" w:w="8064"/>
            <w:tcMar>
              <w:top w:type="dxa" w:w="70"/>
              <w:left w:type="dxa" w:w="110"/>
              <w:bottom w:type="dxa" w:w="70"/>
              <w:right w:type="dxa" w:w="110"/>
            </w:tcMar>
            <w:vAlign w:val="top"/>
          </w:tcPr>
          <w:p>
            <w:r>
              <w:rPr>
                <w:b w:val="false"/>
                <w:bCs w:val="false"/>
                <w:color w:val="1A1A1A"/>
                <w:sz w:val="12"/>
                <w:szCs w:val="12"/>
              </w:rPr>
              <w:t xml:space="preserve">DDS Parts 1–11, Data Dictionary (DDS Part 4), Enterprise Solution Architecture Section 06.</w:t>
            </w:r>
          </w:p>
        </w:tc>
      </w:tr>
      <w:tr>
        <w:tc>
          <w:tcPr>
            <w:tcW w:type="dxa" w:w="2016"/>
            <w:tcMar>
              <w:top w:type="dxa" w:w="70"/>
              <w:left w:type="dxa" w:w="110"/>
              <w:bottom w:type="dxa" w:w="70"/>
              <w:right w:type="dxa" w:w="110"/>
            </w:tcMar>
            <w:vAlign w:val="top"/>
          </w:tcPr>
          <w:p>
            <w:r>
              <w:rPr>
                <w:b/>
                <w:bCs/>
                <w:color w:val="1A1A1A"/>
                <w:sz w:val="12"/>
                <w:szCs w:val="12"/>
              </w:rPr>
              <w:t xml:space="preserve">Outputs</w:t>
            </w:r>
          </w:p>
        </w:tc>
        <w:tc>
          <w:tcPr>
            <w:tcW w:type="dxa" w:w="8064"/>
            <w:tcMar>
              <w:top w:type="dxa" w:w="70"/>
              <w:left w:type="dxa" w:w="110"/>
              <w:bottom w:type="dxa" w:w="70"/>
              <w:right w:type="dxa" w:w="110"/>
            </w:tcMar>
            <w:vAlign w:val="top"/>
          </w:tcPr>
          <w:p>
            <w:r>
              <w:rPr>
                <w:b w:val="false"/>
                <w:bCs w:val="false"/>
                <w:color w:val="1A1A1A"/>
                <w:sz w:val="12"/>
                <w:szCs w:val="12"/>
              </w:rPr>
              <w:t xml:space="preserve">A deployed, migrated, indexed, audited database instance in the development environment, ready for all subsequent Work Packages.</w:t>
            </w:r>
          </w:p>
        </w:tc>
      </w:tr>
      <w:tr>
        <w:tc>
          <w:tcPr>
            <w:tcW w:type="dxa" w:w="2016"/>
            <w:tcMar>
              <w:top w:type="dxa" w:w="70"/>
              <w:left w:type="dxa" w:w="110"/>
              <w:bottom w:type="dxa" w:w="70"/>
              <w:right w:type="dxa" w:w="110"/>
            </w:tcMar>
            <w:vAlign w:val="top"/>
          </w:tcPr>
          <w:p>
            <w:r>
              <w:rPr>
                <w:b/>
                <w:bCs/>
                <w:color w:val="1A1A1A"/>
                <w:sz w:val="12"/>
                <w:szCs w:val="12"/>
              </w:rPr>
              <w:t xml:space="preserve">Dependencies</w:t>
            </w:r>
          </w:p>
        </w:tc>
        <w:tc>
          <w:tcPr>
            <w:tcW w:type="dxa" w:w="8064"/>
            <w:tcMar>
              <w:top w:type="dxa" w:w="70"/>
              <w:left w:type="dxa" w:w="110"/>
              <w:bottom w:type="dxa" w:w="70"/>
              <w:right w:type="dxa" w:w="110"/>
            </w:tcMar>
            <w:vAlign w:val="top"/>
          </w:tcPr>
          <w:p>
            <w:r>
              <w:rPr>
                <w:b w:val="false"/>
                <w:bCs w:val="false"/>
                <w:color w:val="1A1A1A"/>
                <w:sz w:val="12"/>
                <w:szCs w:val="12"/>
              </w:rPr>
              <w:t xml:space="preserve">None — first Work Package in the sequence. Blocks WP-04 through WP-23.</w:t>
            </w:r>
          </w:p>
        </w:tc>
      </w:tr>
    </w:tbl>
    <w:p>
      <w:pPr>
        <w:spacing w:after="160"/>
      </w:pPr>
    </w:p>
    <w:p>
      <w:pPr>
        <w:spacing w:after="90" w:before="180"/>
      </w:pPr>
      <w:r>
        <w:rPr>
          <w:b/>
          <w:bCs/>
          <w:color w:val="1C1E21"/>
          <w:sz w:val="19"/>
          <w:szCs w:val="19"/>
        </w:rPr>
        <w:t xml:space="preserve">User Stories</w:t>
      </w:r>
    </w:p>
    <w:p>
      <w:pPr>
        <w:pStyle w:val="ListParagraph"/>
        <w:numPr>
          <w:ilvl w:val="0"/>
          <w:numId w:val="1"/>
        </w:numPr>
        <w:spacing w:after="90" w:line="264"/>
      </w:pPr>
      <w:r>
        <w:t xml:space="preserve">US-001: As a Backend Engineer, I want a stable database schema so that I can build service logic against fixed table structures.</w:t>
      </w:r>
    </w:p>
    <w:p>
      <w:pPr>
        <w:pStyle w:val="ListParagraph"/>
        <w:numPr>
          <w:ilvl w:val="0"/>
          <w:numId w:val="1"/>
        </w:numPr>
        <w:spacing w:after="90" w:line="264"/>
      </w:pPr>
      <w:r>
        <w:t xml:space="preserve">US-002: As a Data Architect, I want a migration framework so that schema changes are versioned and reversible.</w:t>
      </w:r>
    </w:p>
    <w:p>
      <w:pPr>
        <w:pStyle w:val="ListParagraph"/>
        <w:numPr>
          <w:ilvl w:val="0"/>
          <w:numId w:val="1"/>
        </w:numPr>
        <w:spacing w:after="90" w:line="264"/>
      </w:pPr>
      <w:r>
        <w:t xml:space="preserve">US-003: As a Compliance Officer, I want every data change audited so that the platform can withstand an IFAD audit.</w:t>
      </w:r>
    </w:p>
    <w:p>
      <w:pPr>
        <w:spacing w:after="90" w:before="180"/>
      </w:pPr>
      <w:r>
        <w:rPr>
          <w:b/>
          <w:bCs/>
          <w:color w:val="1C1E21"/>
          <w:sz w:val="19"/>
          <w:szCs w:val="19"/>
        </w:rPr>
        <w:t xml:space="preserve">Functional Requirements</w:t>
      </w:r>
    </w:p>
    <w:p>
      <w:pPr>
        <w:pStyle w:val="ListParagraph"/>
        <w:numPr>
          <w:ilvl w:val="0"/>
          <w:numId w:val="1"/>
        </w:numPr>
        <w:spacing w:after="90" w:line="264"/>
      </w:pPr>
      <w:r>
        <w:t xml:space="preserve">FR-DB-01: Implement all entities defined in DDS Part 3 (Entity Catalogue).</w:t>
      </w:r>
    </w:p>
    <w:p>
      <w:pPr>
        <w:pStyle w:val="ListParagraph"/>
        <w:numPr>
          <w:ilvl w:val="0"/>
          <w:numId w:val="1"/>
        </w:numPr>
        <w:spacing w:after="90" w:line="264"/>
      </w:pPr>
      <w:r>
        <w:t xml:space="preserve">FR-DB-02: Implement all field-level constraints defined in DDS Part 9.</w:t>
      </w:r>
    </w:p>
    <w:p>
      <w:pPr>
        <w:pStyle w:val="ListParagraph"/>
        <w:numPr>
          <w:ilvl w:val="0"/>
          <w:numId w:val="1"/>
        </w:numPr>
        <w:spacing w:after="90" w:line="264"/>
      </w:pPr>
      <w:r>
        <w:t xml:space="preserve">FR-DB-03: Implement audit logging for create, update, and delete operations on all entities, per DDS Part 10.</w:t>
      </w:r>
    </w:p>
    <w:p>
      <w:pPr>
        <w:pStyle w:val="ListParagraph"/>
        <w:numPr>
          <w:ilvl w:val="0"/>
          <w:numId w:val="1"/>
        </w:numPr>
        <w:spacing w:after="90" w:line="264"/>
      </w:pPr>
      <w:r>
        <w:t xml:space="preserve">FR-DB-04: Seed all master and lookup data defined in DDS Part 6 and Part 7.</w:t>
      </w:r>
    </w:p>
    <w:p>
      <w:pPr>
        <w:spacing w:after="90" w:before="180"/>
      </w:pPr>
      <w:r>
        <w:rPr>
          <w:b/>
          <w:bCs/>
          <w:color w:val="1C1E21"/>
          <w:sz w:val="19"/>
          <w:szCs w:val="19"/>
        </w:rPr>
        <w:t xml:space="preserve">Non-Functional Requirements</w:t>
      </w:r>
    </w:p>
    <w:p>
      <w:pPr>
        <w:pStyle w:val="ListParagraph"/>
        <w:numPr>
          <w:ilvl w:val="0"/>
          <w:numId w:val="1"/>
        </w:numPr>
        <w:spacing w:after="90" w:line="264"/>
      </w:pPr>
      <w:r>
        <w:t xml:space="preserve">NFR-DB-01: All indexed queries return within the performance thresholds defined in DDS Part 16.</w:t>
      </w:r>
    </w:p>
    <w:p>
      <w:pPr>
        <w:pStyle w:val="ListParagraph"/>
        <w:numPr>
          <w:ilvl w:val="0"/>
          <w:numId w:val="1"/>
        </w:numPr>
        <w:spacing w:after="90" w:line="264"/>
      </w:pPr>
      <w:r>
        <w:t xml:space="preserve">NFR-DB-02: Migrations execute with zero data loss and are fully reversible.</w:t>
      </w:r>
    </w:p>
    <w:p>
      <w:pPr>
        <w:pStyle w:val="ListParagraph"/>
        <w:numPr>
          <w:ilvl w:val="0"/>
          <w:numId w:val="1"/>
        </w:numPr>
        <w:spacing w:after="90" w:line="264"/>
      </w:pPr>
      <w:r>
        <w:t xml:space="preserve">NFR-DB-03: Backup and recovery procedures validated per DDS Part 15.</w:t>
      </w:r>
    </w:p>
    <w:p>
      <w:pPr>
        <w:spacing w:after="90" w:before="180"/>
      </w:pPr>
      <w:r>
        <w:rPr>
          <w:b/>
          <w:bCs/>
          <w:color w:val="1C1E21"/>
          <w:sz w:val="19"/>
          <w:szCs w:val="19"/>
        </w:rPr>
        <w:t xml:space="preserve">Database Entities</w:t>
      </w:r>
    </w:p>
    <w:p>
      <w:pPr>
        <w:spacing w:after="150" w:line="276"/>
        <w:jc w:val="both"/>
      </w:pPr>
      <w:r>
        <w:t xml:space="preserve">All entities defined in DDS Part 3 (Entity Catalogue) — the full schema baseline consumed by every subsequent Work Package.</w:t>
      </w:r>
    </w:p>
    <w:p>
      <w:pPr>
        <w:spacing w:after="90" w:before="180"/>
      </w:pPr>
      <w:r>
        <w:rPr>
          <w:b/>
          <w:bCs/>
          <w:color w:val="1C1E21"/>
          <w:sz w:val="19"/>
          <w:szCs w:val="19"/>
        </w:rPr>
        <w:t xml:space="preserve">API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33363C" w:val="clear"/>
            <w:tcMar>
              <w:top w:type="dxa" w:w="70"/>
              <w:left w:type="dxa" w:w="110"/>
              <w:bottom w:type="dxa" w:w="70"/>
              <w:right w:type="dxa" w:w="110"/>
            </w:tcMar>
            <w:vAlign w:val="top"/>
          </w:tcPr>
          <w:p>
            <w:r>
              <w:rPr>
                <w:b/>
                <w:bCs/>
                <w:color w:val="FFFFFF"/>
                <w:sz w:val="17"/>
                <w:szCs w:val="17"/>
              </w:rPr>
              <w:t xml:space="preserve">Method / Path</w:t>
            </w:r>
          </w:p>
        </w:tc>
        <w:tc>
          <w:tcPr>
            <w:tcW w:type="dxa" w:w="5846"/>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4234"/>
            <w:tcMar>
              <w:top w:type="dxa" w:w="70"/>
              <w:left w:type="dxa" w:w="110"/>
              <w:bottom w:type="dxa" w:w="70"/>
              <w:right w:type="dxa" w:w="110"/>
            </w:tcMar>
            <w:vAlign w:val="top"/>
          </w:tcPr>
          <w:p>
            <w:r>
              <w:rPr>
                <w:b/>
                <w:bCs/>
                <w:color w:val="1A1A1A"/>
                <w:sz w:val="12"/>
                <w:szCs w:val="12"/>
              </w:rPr>
              <w:t xml:space="preserve">None</w:t>
            </w:r>
          </w:p>
        </w:tc>
        <w:tc>
          <w:tcPr>
            <w:tcW w:type="dxa" w:w="5846"/>
            <w:tcMar>
              <w:top w:type="dxa" w:w="70"/>
              <w:left w:type="dxa" w:w="110"/>
              <w:bottom w:type="dxa" w:w="70"/>
              <w:right w:type="dxa" w:w="110"/>
            </w:tcMar>
            <w:vAlign w:val="top"/>
          </w:tcPr>
          <w:p>
            <w:r>
              <w:rPr>
                <w:b w:val="false"/>
                <w:bCs w:val="false"/>
                <w:color w:val="1A1A1A"/>
                <w:sz w:val="12"/>
                <w:szCs w:val="12"/>
              </w:rPr>
              <w:t xml:space="preserve">Database layer only; consumed internally by all Backend Engineering services from WP-04 onward.</w:t>
            </w:r>
          </w:p>
        </w:tc>
      </w:tr>
    </w:tbl>
    <w:p>
      <w:pPr>
        <w:spacing w:after="160"/>
      </w:pPr>
    </w:p>
    <w:p>
      <w:pPr>
        <w:spacing w:after="90" w:before="180"/>
      </w:pPr>
      <w:r>
        <w:rPr>
          <w:b/>
          <w:bCs/>
          <w:color w:val="1C1E21"/>
          <w:sz w:val="19"/>
          <w:szCs w:val="19"/>
        </w:rPr>
        <w:t xml:space="preserve">UI Screens</w:t>
      </w:r>
    </w:p>
    <w:p>
      <w:pPr>
        <w:pStyle w:val="ListParagraph"/>
        <w:numPr>
          <w:ilvl w:val="0"/>
          <w:numId w:val="1"/>
        </w:numPr>
        <w:spacing w:after="90" w:line="264"/>
      </w:pPr>
      <w:r>
        <w:t xml:space="preserve">None — infrastructure Work Package.</w:t>
      </w:r>
    </w:p>
    <w:p>
      <w:pPr>
        <w:spacing w:after="90" w:before="180"/>
      </w:pPr>
      <w:r>
        <w:rPr>
          <w:b/>
          <w:bCs/>
          <w:color w:val="1C1E21"/>
          <w:sz w:val="19"/>
          <w:szCs w:val="19"/>
        </w:rPr>
        <w:t xml:space="preserve">Security Controls</w:t>
      </w:r>
    </w:p>
    <w:p>
      <w:pPr>
        <w:pStyle w:val="ListParagraph"/>
        <w:numPr>
          <w:ilvl w:val="0"/>
          <w:numId w:val="1"/>
        </w:numPr>
        <w:spacing w:after="90" w:line="264"/>
      </w:pPr>
      <w:r>
        <w:t xml:space="preserve">Encryption at rest for all sensitive fields per DDS Part 11.</w:t>
      </w:r>
    </w:p>
    <w:p>
      <w:pPr>
        <w:pStyle w:val="ListParagraph"/>
        <w:numPr>
          <w:ilvl w:val="0"/>
          <w:numId w:val="1"/>
        </w:numPr>
        <w:spacing w:after="90" w:line="264"/>
      </w:pPr>
      <w:r>
        <w:t xml:space="preserve">Row-level security scaffolding for future module-level access control (completed in WP-05).</w:t>
      </w:r>
    </w:p>
    <w:p>
      <w:pPr>
        <w:pStyle w:val="ListParagraph"/>
        <w:numPr>
          <w:ilvl w:val="0"/>
          <w:numId w:val="1"/>
        </w:numPr>
        <w:spacing w:after="90" w:line="264"/>
      </w:pPr>
      <w:r>
        <w:t xml:space="preserve">Database credential management via the DevSecOps secrets vault (WP-03).</w:t>
      </w:r>
    </w:p>
    <w:p>
      <w:pPr>
        <w:spacing w:after="90" w:before="180"/>
      </w:pPr>
      <w:r>
        <w:rPr>
          <w:b/>
          <w:bCs/>
          <w:color w:val="1C1E21"/>
          <w:sz w:val="19"/>
          <w:szCs w:val="19"/>
        </w:rPr>
        <w:t xml:space="preserve">Acceptance Criteria</w:t>
      </w:r>
    </w:p>
    <w:p>
      <w:pPr>
        <w:spacing w:after="90" w:line="264"/>
      </w:pPr>
      <w:r>
        <w:rPr>
          <w:b/>
          <w:bCs/>
          <w:color w:val="33363C"/>
        </w:rPr>
        <w:t xml:space="preserve">1. </w:t>
      </w:r>
      <w:r>
        <w:t xml:space="preserve">All DDS Part 3 entities exist in the target schema with correct types and constraints.</w:t>
      </w:r>
    </w:p>
    <w:p>
      <w:pPr>
        <w:spacing w:after="90" w:line="264"/>
      </w:pPr>
      <w:r>
        <w:rPr>
          <w:b/>
          <w:bCs/>
          <w:color w:val="33363C"/>
        </w:rPr>
        <w:t xml:space="preserve">2. </w:t>
      </w:r>
      <w:r>
        <w:t xml:space="preserve">Migration framework successfully applies and rolls back a test migration.</w:t>
      </w:r>
    </w:p>
    <w:p>
      <w:pPr>
        <w:spacing w:after="90" w:line="264"/>
      </w:pPr>
      <w:r>
        <w:rPr>
          <w:b/>
          <w:bCs/>
          <w:color w:val="33363C"/>
        </w:rPr>
        <w:t xml:space="preserve">3. </w:t>
      </w:r>
      <w:r>
        <w:t xml:space="preserve">Audit log captures 100% of create/update/delete operations in a test suite.</w:t>
      </w:r>
    </w:p>
    <w:p>
      <w:pPr>
        <w:spacing w:after="90" w:line="264"/>
      </w:pPr>
      <w:r>
        <w:rPr>
          <w:b/>
          <w:bCs/>
          <w:color w:val="33363C"/>
        </w:rPr>
        <w:t xml:space="preserve">4. </w:t>
      </w:r>
      <w:r>
        <w:t xml:space="preserve">All master/lookup data seeded and validated against DDS Part 6/7.</w:t>
      </w:r>
    </w:p>
    <w:p>
      <w:pPr>
        <w:spacing w:after="90" w:before="180"/>
      </w:pPr>
      <w:r>
        <w:rPr>
          <w:b/>
          <w:bCs/>
          <w:color w:val="1C1E21"/>
          <w:sz w:val="19"/>
          <w:szCs w:val="19"/>
        </w:rPr>
        <w:t xml:space="preserve">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613"/>
        <w:gridCol w:w="6854"/>
      </w:tblGrid>
      <w:tr>
        <w:trPr>
          <w:tblHeader/>
        </w:trPr>
        <w:tc>
          <w:tcPr>
            <w:tcW w:type="dxa" w:w="1613"/>
            <w:shd w:fill="33363C" w:val="clear"/>
            <w:tcMar>
              <w:top w:type="dxa" w:w="70"/>
              <w:left w:type="dxa" w:w="110"/>
              <w:bottom w:type="dxa" w:w="70"/>
              <w:right w:type="dxa" w:w="110"/>
            </w:tcMar>
            <w:vAlign w:val="top"/>
          </w:tcPr>
          <w:p>
            <w:r>
              <w:rPr>
                <w:b/>
                <w:bCs/>
                <w:color w:val="FFFFFF"/>
                <w:sz w:val="17"/>
                <w:szCs w:val="17"/>
              </w:rPr>
              <w:t xml:space="preserve">Test ID</w:t>
            </w:r>
          </w:p>
        </w:tc>
        <w:tc>
          <w:tcPr>
            <w:tcW w:type="dxa" w:w="1613"/>
            <w:shd w:fill="33363C" w:val="clear"/>
            <w:tcMar>
              <w:top w:type="dxa" w:w="70"/>
              <w:left w:type="dxa" w:w="110"/>
              <w:bottom w:type="dxa" w:w="70"/>
              <w:right w:type="dxa" w:w="110"/>
            </w:tcMar>
            <w:vAlign w:val="top"/>
          </w:tcPr>
          <w:p>
            <w:r>
              <w:rPr>
                <w:b/>
                <w:bCs/>
                <w:color w:val="FFFFFF"/>
                <w:sz w:val="17"/>
                <w:szCs w:val="17"/>
              </w:rPr>
              <w:t xml:space="preserve">Type</w:t>
            </w:r>
          </w:p>
        </w:tc>
        <w:tc>
          <w:tcPr>
            <w:tcW w:type="dxa" w:w="6854"/>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1613"/>
            <w:tcMar>
              <w:top w:type="dxa" w:w="70"/>
              <w:left w:type="dxa" w:w="110"/>
              <w:bottom w:type="dxa" w:w="70"/>
              <w:right w:type="dxa" w:w="110"/>
            </w:tcMar>
            <w:vAlign w:val="top"/>
          </w:tcPr>
          <w:p>
            <w:r>
              <w:rPr>
                <w:b/>
                <w:bCs/>
                <w:color w:val="1A1A1A"/>
                <w:sz w:val="12"/>
                <w:szCs w:val="12"/>
              </w:rPr>
              <w:t xml:space="preserve">UT-DB-01</w:t>
            </w:r>
          </w:p>
        </w:tc>
        <w:tc>
          <w:tcPr>
            <w:tcW w:type="dxa" w:w="1613"/>
            <w:tcMar>
              <w:top w:type="dxa" w:w="70"/>
              <w:left w:type="dxa" w:w="110"/>
              <w:bottom w:type="dxa" w:w="70"/>
              <w:right w:type="dxa" w:w="110"/>
            </w:tcMar>
            <w:vAlign w:val="top"/>
          </w:tcPr>
          <w:p>
            <w:r>
              <w:rPr>
                <w:b w:val="false"/>
                <w:bCs w:val="false"/>
                <w:color w:val="1A1A1A"/>
                <w:sz w:val="12"/>
                <w:szCs w:val="12"/>
              </w:rPr>
              <w:t xml:space="preserve">Unit</w:t>
            </w:r>
          </w:p>
        </w:tc>
        <w:tc>
          <w:tcPr>
            <w:tcW w:type="dxa" w:w="6854"/>
            <w:tcMar>
              <w:top w:type="dxa" w:w="70"/>
              <w:left w:type="dxa" w:w="110"/>
              <w:bottom w:type="dxa" w:w="70"/>
              <w:right w:type="dxa" w:w="110"/>
            </w:tcMar>
            <w:vAlign w:val="top"/>
          </w:tcPr>
          <w:p>
            <w:r>
              <w:rPr>
                <w:b w:val="false"/>
                <w:bCs w:val="false"/>
                <w:color w:val="1A1A1A"/>
                <w:sz w:val="12"/>
                <w:szCs w:val="12"/>
              </w:rPr>
              <w:t xml:space="preserve">Constraint enforcement rejects invalid data.</w:t>
            </w:r>
          </w:p>
        </w:tc>
      </w:tr>
      <w:tr>
        <w:tc>
          <w:tcPr>
            <w:tcW w:type="dxa" w:w="1613"/>
            <w:tcMar>
              <w:top w:type="dxa" w:w="70"/>
              <w:left w:type="dxa" w:w="110"/>
              <w:bottom w:type="dxa" w:w="70"/>
              <w:right w:type="dxa" w:w="110"/>
            </w:tcMar>
            <w:vAlign w:val="top"/>
          </w:tcPr>
          <w:p>
            <w:r>
              <w:rPr>
                <w:b/>
                <w:bCs/>
                <w:color w:val="1A1A1A"/>
                <w:sz w:val="12"/>
                <w:szCs w:val="12"/>
              </w:rPr>
              <w:t xml:space="preserve">IT-DB-01</w:t>
            </w:r>
          </w:p>
        </w:tc>
        <w:tc>
          <w:tcPr>
            <w:tcW w:type="dxa" w:w="1613"/>
            <w:tcMar>
              <w:top w:type="dxa" w:w="70"/>
              <w:left w:type="dxa" w:w="110"/>
              <w:bottom w:type="dxa" w:w="70"/>
              <w:right w:type="dxa" w:w="110"/>
            </w:tcMar>
            <w:vAlign w:val="top"/>
          </w:tcPr>
          <w:p>
            <w:r>
              <w:rPr>
                <w:b w:val="false"/>
                <w:bCs w:val="false"/>
                <w:color w:val="1A1A1A"/>
                <w:sz w:val="12"/>
                <w:szCs w:val="12"/>
              </w:rPr>
              <w:t xml:space="preserve">Integration</w:t>
            </w:r>
          </w:p>
        </w:tc>
        <w:tc>
          <w:tcPr>
            <w:tcW w:type="dxa" w:w="6854"/>
            <w:tcMar>
              <w:top w:type="dxa" w:w="70"/>
              <w:left w:type="dxa" w:w="110"/>
              <w:bottom w:type="dxa" w:w="70"/>
              <w:right w:type="dxa" w:w="110"/>
            </w:tcMar>
            <w:vAlign w:val="top"/>
          </w:tcPr>
          <w:p>
            <w:r>
              <w:rPr>
                <w:b w:val="false"/>
                <w:bCs w:val="false"/>
                <w:color w:val="1A1A1A"/>
                <w:sz w:val="12"/>
                <w:szCs w:val="12"/>
              </w:rPr>
              <w:t xml:space="preserve">Migration up/down cycle preserves data integrity.</w:t>
            </w:r>
          </w:p>
        </w:tc>
      </w:tr>
      <w:tr>
        <w:tc>
          <w:tcPr>
            <w:tcW w:type="dxa" w:w="1613"/>
            <w:tcMar>
              <w:top w:type="dxa" w:w="70"/>
              <w:left w:type="dxa" w:w="110"/>
              <w:bottom w:type="dxa" w:w="70"/>
              <w:right w:type="dxa" w:w="110"/>
            </w:tcMar>
            <w:vAlign w:val="top"/>
          </w:tcPr>
          <w:p>
            <w:r>
              <w:rPr>
                <w:b/>
                <w:bCs/>
                <w:color w:val="1A1A1A"/>
                <w:sz w:val="12"/>
                <w:szCs w:val="12"/>
              </w:rPr>
              <w:t xml:space="preserve">ST-DB-01</w:t>
            </w:r>
          </w:p>
        </w:tc>
        <w:tc>
          <w:tcPr>
            <w:tcW w:type="dxa" w:w="1613"/>
            <w:tcMar>
              <w:top w:type="dxa" w:w="70"/>
              <w:left w:type="dxa" w:w="110"/>
              <w:bottom w:type="dxa" w:w="70"/>
              <w:right w:type="dxa" w:w="110"/>
            </w:tcMar>
            <w:vAlign w:val="top"/>
          </w:tcPr>
          <w:p>
            <w:r>
              <w:rPr>
                <w:b w:val="false"/>
                <w:bCs w:val="false"/>
                <w:color w:val="1A1A1A"/>
                <w:sz w:val="12"/>
                <w:szCs w:val="12"/>
              </w:rPr>
              <w:t xml:space="preserve">Security</w:t>
            </w:r>
          </w:p>
        </w:tc>
        <w:tc>
          <w:tcPr>
            <w:tcW w:type="dxa" w:w="6854"/>
            <w:tcMar>
              <w:top w:type="dxa" w:w="70"/>
              <w:left w:type="dxa" w:w="110"/>
              <w:bottom w:type="dxa" w:w="70"/>
              <w:right w:type="dxa" w:w="110"/>
            </w:tcMar>
            <w:vAlign w:val="top"/>
          </w:tcPr>
          <w:p>
            <w:r>
              <w:rPr>
                <w:b w:val="false"/>
                <w:bCs w:val="false"/>
                <w:color w:val="1A1A1A"/>
                <w:sz w:val="12"/>
                <w:szCs w:val="12"/>
              </w:rPr>
              <w:t xml:space="preserve">Encrypted fields are not readable in plaintext at rest.</w:t>
            </w:r>
          </w:p>
        </w:tc>
      </w:tr>
      <w:tr>
        <w:tc>
          <w:tcPr>
            <w:tcW w:type="dxa" w:w="1613"/>
            <w:tcMar>
              <w:top w:type="dxa" w:w="70"/>
              <w:left w:type="dxa" w:w="110"/>
              <w:bottom w:type="dxa" w:w="70"/>
              <w:right w:type="dxa" w:w="110"/>
            </w:tcMar>
            <w:vAlign w:val="top"/>
          </w:tcPr>
          <w:p>
            <w:r>
              <w:rPr>
                <w:b/>
                <w:bCs/>
                <w:color w:val="1A1A1A"/>
                <w:sz w:val="12"/>
                <w:szCs w:val="12"/>
              </w:rPr>
              <w:t xml:space="preserve">PT-DB-01</w:t>
            </w:r>
          </w:p>
        </w:tc>
        <w:tc>
          <w:tcPr>
            <w:tcW w:type="dxa" w:w="1613"/>
            <w:tcMar>
              <w:top w:type="dxa" w:w="70"/>
              <w:left w:type="dxa" w:w="110"/>
              <w:bottom w:type="dxa" w:w="70"/>
              <w:right w:type="dxa" w:w="110"/>
            </w:tcMar>
            <w:vAlign w:val="top"/>
          </w:tcPr>
          <w:p>
            <w:r>
              <w:rPr>
                <w:b w:val="false"/>
                <w:bCs w:val="false"/>
                <w:color w:val="1A1A1A"/>
                <w:sz w:val="12"/>
                <w:szCs w:val="12"/>
              </w:rPr>
              <w:t xml:space="preserve">Performance</w:t>
            </w:r>
          </w:p>
        </w:tc>
        <w:tc>
          <w:tcPr>
            <w:tcW w:type="dxa" w:w="6854"/>
            <w:tcMar>
              <w:top w:type="dxa" w:w="70"/>
              <w:left w:type="dxa" w:w="110"/>
              <w:bottom w:type="dxa" w:w="70"/>
              <w:right w:type="dxa" w:w="110"/>
            </w:tcMar>
            <w:vAlign w:val="top"/>
          </w:tcPr>
          <w:p>
            <w:r>
              <w:rPr>
                <w:b w:val="false"/>
                <w:bCs w:val="false"/>
                <w:color w:val="1A1A1A"/>
                <w:sz w:val="12"/>
                <w:szCs w:val="12"/>
              </w:rPr>
              <w:t xml:space="preserve">Baseline query set meets DDS Part 16 thresholds.</w:t>
            </w:r>
          </w:p>
        </w:tc>
      </w:tr>
    </w:tbl>
    <w:p>
      <w:pPr>
        <w:spacing w:after="160"/>
      </w:pPr>
    </w:p>
    <w:p>
      <w:pPr>
        <w:spacing w:after="90" w:before="180"/>
      </w:pPr>
      <w:r>
        <w:rPr>
          <w:b/>
          <w:bCs/>
          <w:color w:val="1C1E21"/>
          <w:sz w:val="19"/>
          <w:szCs w:val="19"/>
        </w:rPr>
        <w:t xml:space="preserve">Documentation Updates</w:t>
      </w:r>
    </w:p>
    <w:p>
      <w:pPr>
        <w:pStyle w:val="ListParagraph"/>
        <w:numPr>
          <w:ilvl w:val="0"/>
          <w:numId w:val="1"/>
        </w:numPr>
        <w:spacing w:after="90" w:line="264"/>
      </w:pPr>
      <w:r>
        <w:t xml:space="preserve">DDS Part 1 (Executive Database Overview) status updated to ‘Implemented’.</w:t>
      </w:r>
    </w:p>
    <w:p>
      <w:pPr>
        <w:pStyle w:val="ListParagraph"/>
        <w:numPr>
          <w:ilvl w:val="0"/>
          <w:numId w:val="1"/>
        </w:numPr>
        <w:spacing w:after="90" w:line="264"/>
      </w:pPr>
      <w:r>
        <w:t xml:space="preserve">Repository /docs/database/ populated per Appendix O, Section O.9.</w:t>
      </w:r>
    </w:p>
    <w:p>
      <w:pPr>
        <w:spacing w:after="90" w:before="180"/>
      </w:pPr>
      <w:r>
        <w:rPr>
          <w:b/>
          <w:bCs/>
          <w:color w:val="1C1E21"/>
          <w:sz w:val="19"/>
          <w:szCs w:val="19"/>
        </w:rPr>
        <w:t xml:space="preserve">Related ADRs</w:t>
      </w:r>
    </w:p>
    <w:p>
      <w:pPr>
        <w:pStyle w:val="ListParagraph"/>
        <w:numPr>
          <w:ilvl w:val="0"/>
          <w:numId w:val="1"/>
        </w:numPr>
        <w:spacing w:after="90" w:line="264"/>
      </w:pPr>
      <w:r>
        <w:t xml:space="preserve">ADR-0001: Database Platform Selection.</w:t>
      </w:r>
    </w:p>
    <w:p>
      <w:pPr>
        <w:pStyle w:val="ListParagraph"/>
        <w:numPr>
          <w:ilvl w:val="0"/>
          <w:numId w:val="1"/>
        </w:numPr>
        <w:spacing w:after="90" w:line="264"/>
      </w:pPr>
      <w:r>
        <w:t xml:space="preserve">ADR-0002: Migration Framework Selection.</w:t>
      </w:r>
    </w:p>
    <w:p>
      <w:pPr>
        <w:spacing w:after="90" w:before="180"/>
      </w:pPr>
      <w:r>
        <w:rPr>
          <w:b/>
          <w:bCs/>
          <w:color w:val="1C1E21"/>
          <w:sz w:val="19"/>
          <w:szCs w:val="19"/>
        </w:rPr>
        <w:t xml:space="preserve">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435"/>
        <w:gridCol w:w="4435"/>
      </w:tblGrid>
      <w:tr>
        <w:trPr>
          <w:tblHeader/>
        </w:trPr>
        <w:tc>
          <w:tcPr>
            <w:tcW w:type="dxa" w:w="1210"/>
            <w:shd w:fill="33363C" w:val="clear"/>
            <w:tcMar>
              <w:top w:type="dxa" w:w="70"/>
              <w:left w:type="dxa" w:w="110"/>
              <w:bottom w:type="dxa" w:w="70"/>
              <w:right w:type="dxa" w:w="110"/>
            </w:tcMar>
            <w:vAlign w:val="top"/>
          </w:tcPr>
          <w:p>
            <w:r>
              <w:rPr>
                <w:b/>
                <w:bCs/>
                <w:color w:val="FFFFFF"/>
                <w:sz w:val="17"/>
                <w:szCs w:val="17"/>
              </w:rPr>
              <w:t xml:space="preserve">Risk ID</w:t>
            </w:r>
          </w:p>
        </w:tc>
        <w:tc>
          <w:tcPr>
            <w:tcW w:type="dxa" w:w="4435"/>
            <w:shd w:fill="33363C" w:val="clear"/>
            <w:tcMar>
              <w:top w:type="dxa" w:w="70"/>
              <w:left w:type="dxa" w:w="110"/>
              <w:bottom w:type="dxa" w:w="70"/>
              <w:right w:type="dxa" w:w="110"/>
            </w:tcMar>
            <w:vAlign w:val="top"/>
          </w:tcPr>
          <w:p>
            <w:r>
              <w:rPr>
                <w:b/>
                <w:bCs/>
                <w:color w:val="FFFFFF"/>
                <w:sz w:val="17"/>
                <w:szCs w:val="17"/>
              </w:rPr>
              <w:t xml:space="preserve">Description</w:t>
            </w:r>
          </w:p>
        </w:tc>
        <w:tc>
          <w:tcPr>
            <w:tcW w:type="dxa" w:w="4435"/>
            <w:shd w:fill="33363C" w:val="clear"/>
            <w:tcMar>
              <w:top w:type="dxa" w:w="70"/>
              <w:left w:type="dxa" w:w="110"/>
              <w:bottom w:type="dxa" w:w="70"/>
              <w:right w:type="dxa" w:w="110"/>
            </w:tcMar>
            <w:vAlign w:val="top"/>
          </w:tcPr>
          <w:p>
            <w:r>
              <w:rPr>
                <w:b/>
                <w:bCs/>
                <w:color w:val="FFFFFF"/>
                <w:sz w:val="17"/>
                <w:szCs w:val="17"/>
              </w:rPr>
              <w:t xml:space="preserve">Mitigation</w:t>
            </w:r>
          </w:p>
        </w:tc>
      </w:tr>
      <w:tr>
        <w:tc>
          <w:tcPr>
            <w:tcW w:type="dxa" w:w="1210"/>
            <w:tcMar>
              <w:top w:type="dxa" w:w="70"/>
              <w:left w:type="dxa" w:w="110"/>
              <w:bottom w:type="dxa" w:w="70"/>
              <w:right w:type="dxa" w:w="110"/>
            </w:tcMar>
            <w:vAlign w:val="top"/>
          </w:tcPr>
          <w:p>
            <w:r>
              <w:rPr>
                <w:b/>
                <w:bCs/>
                <w:color w:val="1A1A1A"/>
                <w:sz w:val="12"/>
                <w:szCs w:val="12"/>
              </w:rPr>
              <w:t xml:space="preserve">R-DB-01</w:t>
            </w:r>
          </w:p>
        </w:tc>
        <w:tc>
          <w:tcPr>
            <w:tcW w:type="dxa" w:w="4435"/>
            <w:tcMar>
              <w:top w:type="dxa" w:w="70"/>
              <w:left w:type="dxa" w:w="110"/>
              <w:bottom w:type="dxa" w:w="70"/>
              <w:right w:type="dxa" w:w="110"/>
            </w:tcMar>
            <w:vAlign w:val="top"/>
          </w:tcPr>
          <w:p>
            <w:r>
              <w:rPr>
                <w:b w:val="false"/>
                <w:bCs w:val="false"/>
                <w:color w:val="1A1A1A"/>
                <w:sz w:val="12"/>
                <w:szCs w:val="12"/>
              </w:rPr>
              <w:t xml:space="preserve">Schema rework if module-level requirements surface gaps in DDS.</w:t>
            </w:r>
          </w:p>
        </w:tc>
        <w:tc>
          <w:tcPr>
            <w:tcW w:type="dxa" w:w="4435"/>
            <w:tcMar>
              <w:top w:type="dxa" w:w="70"/>
              <w:left w:type="dxa" w:w="110"/>
              <w:bottom w:type="dxa" w:w="70"/>
              <w:right w:type="dxa" w:w="110"/>
            </w:tcMar>
            <w:vAlign w:val="top"/>
          </w:tcPr>
          <w:p>
            <w:r>
              <w:rPr>
                <w:b w:val="false"/>
                <w:bCs w:val="false"/>
                <w:color w:val="1A1A1A"/>
                <w:sz w:val="12"/>
                <w:szCs w:val="12"/>
              </w:rPr>
              <w:t xml:space="preserve">Module Work Package review gate required before implementation begins.</w:t>
            </w:r>
          </w:p>
        </w:tc>
      </w:tr>
    </w:tbl>
    <w:p>
      <w:pPr>
        <w:spacing w:after="160"/>
      </w:pPr>
    </w:p>
    <w:p>
      <w:pPr>
        <w:spacing w:after="90" w:before="180"/>
      </w:pPr>
      <w:r>
        <w:rPr>
          <w:b/>
          <w:bCs/>
          <w:color w:val="1C1E21"/>
          <w:sz w:val="19"/>
          <w:szCs w:val="19"/>
        </w:rPr>
        <w:t xml:space="preserve">Deliverables</w:t>
      </w:r>
    </w:p>
    <w:p>
      <w:pPr>
        <w:pStyle w:val="ListParagraph"/>
        <w:numPr>
          <w:ilvl w:val="0"/>
          <w:numId w:val="1"/>
        </w:numPr>
        <w:spacing w:after="90" w:line="264"/>
      </w:pPr>
      <w:r>
        <w:t xml:space="preserve">DEL-ENG-001: Deployed Database Schema.</w:t>
      </w:r>
    </w:p>
    <w:p>
      <w:pPr>
        <w:pStyle w:val="ListParagraph"/>
        <w:numPr>
          <w:ilvl w:val="0"/>
          <w:numId w:val="1"/>
        </w:numPr>
        <w:spacing w:after="90" w:line="264"/>
      </w:pPr>
      <w:r>
        <w:t xml:space="preserve">DEL-ENG-002: Migration Framework.</w:t>
      </w:r>
    </w:p>
    <w:p>
      <w:pPr>
        <w:pStyle w:val="ListParagraph"/>
        <w:numPr>
          <w:ilvl w:val="0"/>
          <w:numId w:val="1"/>
        </w:numPr>
        <w:spacing w:after="90" w:line="264"/>
      </w:pPr>
      <w:r>
        <w:t xml:space="preserve">DEL-ENG-003: Audit Logging Framework.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Gate</w:t>
            </w:r>
          </w:p>
        </w:tc>
        <w:tc>
          <w:tcPr>
            <w:tcW w:type="dxa" w:w="7862"/>
            <w:shd w:fill="33363C" w:val="clear"/>
            <w:tcMar>
              <w:top w:type="dxa" w:w="70"/>
              <w:left w:type="dxa" w:w="110"/>
              <w:bottom w:type="dxa" w:w="70"/>
              <w:right w:type="dxa" w:w="110"/>
            </w:tcMar>
            <w:vAlign w:val="top"/>
          </w:tcPr>
          <w:p>
            <w:r>
              <w:rPr>
                <w:b/>
                <w:bCs/>
                <w:color w:val="FFFFFF"/>
                <w:sz w:val="17"/>
                <w:szCs w:val="17"/>
              </w:rPr>
              <w:t xml:space="preserve">Criteria</w:t>
            </w:r>
          </w:p>
        </w:tc>
      </w:tr>
      <w:tr>
        <w:tc>
          <w:tcPr>
            <w:tcW w:type="dxa" w:w="2218"/>
            <w:tcMar>
              <w:top w:type="dxa" w:w="70"/>
              <w:left w:type="dxa" w:w="110"/>
              <w:bottom w:type="dxa" w:w="70"/>
              <w:right w:type="dxa" w:w="110"/>
            </w:tcMar>
            <w:vAlign w:val="top"/>
          </w:tcPr>
          <w:p>
            <w:r>
              <w:rPr>
                <w:b/>
                <w:bCs/>
                <w:color w:val="1A1A1A"/>
                <w:sz w:val="12"/>
                <w:szCs w:val="12"/>
              </w:rPr>
              <w:t xml:space="preserve">Definition of Ready</w:t>
            </w:r>
          </w:p>
        </w:tc>
        <w:tc>
          <w:tcPr>
            <w:tcW w:type="dxa" w:w="7862"/>
            <w:tcMar>
              <w:top w:type="dxa" w:w="70"/>
              <w:left w:type="dxa" w:w="110"/>
              <w:bottom w:type="dxa" w:w="70"/>
              <w:right w:type="dxa" w:w="110"/>
            </w:tcMar>
            <w:vAlign w:val="top"/>
          </w:tcPr>
          <w:p>
            <w:r>
              <w:rPr>
                <w:b w:val="false"/>
                <w:bCs w:val="false"/>
                <w:color w:val="1A1A1A"/>
                <w:sz w:val="12"/>
                <w:szCs w:val="12"/>
              </w:rPr>
              <w:t xml:space="preserve">DDS Parts 1–11 approved and baselined; development environment provisioned (WP-03 in progress or complete).</w:t>
            </w:r>
          </w:p>
        </w:tc>
      </w:tr>
      <w:tr>
        <w:tc>
          <w:tcPr>
            <w:tcW w:type="dxa" w:w="2218"/>
            <w:tcMar>
              <w:top w:type="dxa" w:w="70"/>
              <w:left w:type="dxa" w:w="110"/>
              <w:bottom w:type="dxa" w:w="70"/>
              <w:right w:type="dxa" w:w="110"/>
            </w:tcMar>
            <w:vAlign w:val="top"/>
          </w:tcPr>
          <w:p>
            <w:r>
              <w:rPr>
                <w:b/>
                <w:bCs/>
                <w:color w:val="1A1A1A"/>
                <w:sz w:val="12"/>
                <w:szCs w:val="12"/>
              </w:rPr>
              <w:t xml:space="preserve">Definition of Done</w:t>
            </w:r>
          </w:p>
        </w:tc>
        <w:tc>
          <w:tcPr>
            <w:tcW w:type="dxa" w:w="7862"/>
            <w:tcMar>
              <w:top w:type="dxa" w:w="70"/>
              <w:left w:type="dxa" w:w="110"/>
              <w:bottom w:type="dxa" w:w="70"/>
              <w:right w:type="dxa" w:w="110"/>
            </w:tcMar>
            <w:vAlign w:val="top"/>
          </w:tcPr>
          <w:p>
            <w:r>
              <w:rPr>
                <w:b w:val="false"/>
                <w:bCs w:val="false"/>
                <w:color w:val="1A1A1A"/>
                <w:sz w:val="12"/>
                <w:szCs w:val="12"/>
              </w:rPr>
              <w:t xml:space="preserve">All acceptance criteria met; test cases passing; ADRs recorded; documentation updated; Technical Lead and Data Architect sign-off per Appendix O, Section O.6.</w:t>
            </w:r>
          </w:p>
        </w:tc>
      </w:tr>
    </w:tbl>
    <w:p>
      <w:pPr>
        <w:spacing w:after="160"/>
      </w:pPr>
    </w:p>
    <w:p>
      <w:pPr>
        <w:pStyle w:val="Heading1"/>
        <w:pBdr>
          <w:bottom w:val="single" w:color="DAD3C0" w:sz="4" w:space="4"/>
        </w:pBdr>
        <w:spacing w:after="140" w:before="360"/>
      </w:pPr>
      <w:r>
        <w:rPr>
          <w:b/>
          <w:bCs/>
          <w:color w:val="97771F"/>
          <w:sz w:val="26"/>
          <w:szCs w:val="26"/>
        </w:rPr>
        <w:t xml:space="preserve">5.2  </w:t>
      </w:r>
      <w:r>
        <w:rPr>
          <w:b/>
          <w:bCs/>
          <w:color w:val="33363C"/>
          <w:sz w:val="26"/>
          <w:szCs w:val="26"/>
        </w:rPr>
        <w:t xml:space="preserve">WP-02 — API &amp; Integration Platform Foundation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2"/>
                <w:szCs w:val="12"/>
              </w:rPr>
              <w:t xml:space="preserve">Objective</w:t>
            </w:r>
          </w:p>
        </w:tc>
        <w:tc>
          <w:tcPr>
            <w:tcW w:type="dxa" w:w="8064"/>
            <w:tcMar>
              <w:top w:type="dxa" w:w="70"/>
              <w:left w:type="dxa" w:w="110"/>
              <w:bottom w:type="dxa" w:w="70"/>
              <w:right w:type="dxa" w:w="110"/>
            </w:tcMar>
            <w:vAlign w:val="top"/>
          </w:tcPr>
          <w:p>
            <w:r>
              <w:rPr>
                <w:b w:val="false"/>
                <w:bCs w:val="false"/>
                <w:color w:val="1A1A1A"/>
                <w:sz w:val="12"/>
                <w:szCs w:val="12"/>
              </w:rPr>
              <w:t xml:space="preserve">Stand up the platform's API gateway, OpenAPI contract framework, authentication/authorization scaffolding at the API layer, and external integration adapters before module-specific API development begins.</w:t>
            </w:r>
          </w:p>
        </w:tc>
      </w:tr>
      <w:tr>
        <w:tc>
          <w:tcPr>
            <w:tcW w:type="dxa" w:w="2016"/>
            <w:tcMar>
              <w:top w:type="dxa" w:w="70"/>
              <w:left w:type="dxa" w:w="110"/>
              <w:bottom w:type="dxa" w:w="70"/>
              <w:right w:type="dxa" w:w="110"/>
            </w:tcMar>
            <w:vAlign w:val="top"/>
          </w:tcPr>
          <w:p>
            <w:r>
              <w:rPr>
                <w:b/>
                <w:bCs/>
                <w:color w:val="1A1A1A"/>
                <w:sz w:val="12"/>
                <w:szCs w:val="12"/>
              </w:rPr>
              <w:t xml:space="preserve">Business Context</w:t>
            </w:r>
          </w:p>
        </w:tc>
        <w:tc>
          <w:tcPr>
            <w:tcW w:type="dxa" w:w="8064"/>
            <w:tcMar>
              <w:top w:type="dxa" w:w="70"/>
              <w:left w:type="dxa" w:w="110"/>
              <w:bottom w:type="dxa" w:w="70"/>
              <w:right w:type="dxa" w:w="110"/>
            </w:tcMar>
            <w:vAlign w:val="top"/>
          </w:tcPr>
          <w:p>
            <w:r>
              <w:rPr>
                <w:b w:val="false"/>
                <w:bCs w:val="false"/>
                <w:color w:val="1A1A1A"/>
                <w:sz w:val="12"/>
                <w:szCs w:val="12"/>
              </w:rPr>
              <w:t xml:space="preserve">All twenty modules expose functionality through a consistent API layer. Establishing gateway, versioning, and contract standards first prevents inconsistent endpoint design across modules.</w:t>
            </w:r>
          </w:p>
        </w:tc>
      </w:tr>
      <w:tr>
        <w:tc>
          <w:tcPr>
            <w:tcW w:type="dxa" w:w="2016"/>
            <w:tcMar>
              <w:top w:type="dxa" w:w="70"/>
              <w:left w:type="dxa" w:w="110"/>
              <w:bottom w:type="dxa" w:w="70"/>
              <w:right w:type="dxa" w:w="110"/>
            </w:tcMar>
            <w:vAlign w:val="top"/>
          </w:tcPr>
          <w:p>
            <w:r>
              <w:rPr>
                <w:b/>
                <w:bCs/>
                <w:color w:val="1A1A1A"/>
                <w:sz w:val="12"/>
                <w:szCs w:val="12"/>
              </w:rPr>
              <w:t xml:space="preserve">Scope</w:t>
            </w:r>
          </w:p>
        </w:tc>
        <w:tc>
          <w:tcPr>
            <w:tcW w:type="dxa" w:w="8064"/>
            <w:tcMar>
              <w:top w:type="dxa" w:w="70"/>
              <w:left w:type="dxa" w:w="110"/>
              <w:bottom w:type="dxa" w:w="70"/>
              <w:right w:type="dxa" w:w="110"/>
            </w:tcMar>
            <w:vAlign w:val="top"/>
          </w:tcPr>
          <w:p>
            <w:r>
              <w:rPr>
                <w:b w:val="false"/>
                <w:bCs w:val="false"/>
                <w:color w:val="1A1A1A"/>
                <w:sz w:val="12"/>
                <w:szCs w:val="12"/>
              </w:rPr>
              <w:t xml:space="preserve">API Gateway configuration; OpenAPI 3.1 contract framework per AIDS Part 17; base authentication/authorization middleware per AIDS Part 5; error handling framework per AIDS Part 7; webhook dispatch framework per AIDS Part 8; external integration adapter scaffolding per AIDS Part 9.</w:t>
            </w:r>
          </w:p>
        </w:tc>
      </w:tr>
      <w:tr>
        <w:tc>
          <w:tcPr>
            <w:tcW w:type="dxa" w:w="2016"/>
            <w:tcMar>
              <w:top w:type="dxa" w:w="70"/>
              <w:left w:type="dxa" w:w="110"/>
              <w:bottom w:type="dxa" w:w="70"/>
              <w:right w:type="dxa" w:w="110"/>
            </w:tcMar>
            <w:vAlign w:val="top"/>
          </w:tcPr>
          <w:p>
            <w:r>
              <w:rPr>
                <w:b/>
                <w:bCs/>
                <w:color w:val="1A1A1A"/>
                <w:sz w:val="12"/>
                <w:szCs w:val="12"/>
              </w:rPr>
              <w:t xml:space="preserve">Out of Scope</w:t>
            </w:r>
          </w:p>
        </w:tc>
        <w:tc>
          <w:tcPr>
            <w:tcW w:type="dxa" w:w="8064"/>
            <w:tcMar>
              <w:top w:type="dxa" w:w="70"/>
              <w:left w:type="dxa" w:w="110"/>
              <w:bottom w:type="dxa" w:w="70"/>
              <w:right w:type="dxa" w:w="110"/>
            </w:tcMar>
            <w:vAlign w:val="top"/>
          </w:tcPr>
          <w:p>
            <w:r>
              <w:rPr>
                <w:b w:val="false"/>
                <w:bCs w:val="false"/>
                <w:color w:val="1A1A1A"/>
                <w:sz w:val="12"/>
                <w:szCs w:val="12"/>
              </w:rPr>
              <w:t xml:space="preserve">Module-specific endpoint implementation (delivered within each module's Work Package); AI/search-specific APIs (WP-13, WP-15, WP-23).</w:t>
            </w:r>
          </w:p>
        </w:tc>
      </w:tr>
      <w:tr>
        <w:tc>
          <w:tcPr>
            <w:tcW w:type="dxa" w:w="2016"/>
            <w:tcMar>
              <w:top w:type="dxa" w:w="70"/>
              <w:left w:type="dxa" w:w="110"/>
              <w:bottom w:type="dxa" w:w="70"/>
              <w:right w:type="dxa" w:w="110"/>
            </w:tcMar>
            <w:vAlign w:val="top"/>
          </w:tcPr>
          <w:p>
            <w:r>
              <w:rPr>
                <w:b/>
                <w:bCs/>
                <w:color w:val="1A1A1A"/>
                <w:sz w:val="12"/>
                <w:szCs w:val="12"/>
              </w:rPr>
              <w:t xml:space="preserve">Inputs</w:t>
            </w:r>
          </w:p>
        </w:tc>
        <w:tc>
          <w:tcPr>
            <w:tcW w:type="dxa" w:w="8064"/>
            <w:tcMar>
              <w:top w:type="dxa" w:w="70"/>
              <w:left w:type="dxa" w:w="110"/>
              <w:bottom w:type="dxa" w:w="70"/>
              <w:right w:type="dxa" w:w="110"/>
            </w:tcMar>
            <w:vAlign w:val="top"/>
          </w:tcPr>
          <w:p>
            <w:r>
              <w:rPr>
                <w:b w:val="false"/>
                <w:bCs w:val="false"/>
                <w:color w:val="1A1A1A"/>
                <w:sz w:val="12"/>
                <w:szCs w:val="12"/>
              </w:rPr>
              <w:t xml:space="preserve">AIDS Parts 1–19, SRS Parts 28–29.</w:t>
            </w:r>
          </w:p>
        </w:tc>
      </w:tr>
      <w:tr>
        <w:tc>
          <w:tcPr>
            <w:tcW w:type="dxa" w:w="2016"/>
            <w:tcMar>
              <w:top w:type="dxa" w:w="70"/>
              <w:left w:type="dxa" w:w="110"/>
              <w:bottom w:type="dxa" w:w="70"/>
              <w:right w:type="dxa" w:w="110"/>
            </w:tcMar>
            <w:vAlign w:val="top"/>
          </w:tcPr>
          <w:p>
            <w:r>
              <w:rPr>
                <w:b/>
                <w:bCs/>
                <w:color w:val="1A1A1A"/>
                <w:sz w:val="12"/>
                <w:szCs w:val="12"/>
              </w:rPr>
              <w:t xml:space="preserve">Outputs</w:t>
            </w:r>
          </w:p>
        </w:tc>
        <w:tc>
          <w:tcPr>
            <w:tcW w:type="dxa" w:w="8064"/>
            <w:tcMar>
              <w:top w:type="dxa" w:w="70"/>
              <w:left w:type="dxa" w:w="110"/>
              <w:bottom w:type="dxa" w:w="70"/>
              <w:right w:type="dxa" w:w="110"/>
            </w:tcMar>
            <w:vAlign w:val="top"/>
          </w:tcPr>
          <w:p>
            <w:r>
              <w:rPr>
                <w:b w:val="false"/>
                <w:bCs w:val="false"/>
                <w:color w:val="1A1A1A"/>
                <w:sz w:val="12"/>
                <w:szCs w:val="12"/>
              </w:rPr>
              <w:t xml:space="preserve">A running API gateway with authentication middleware, versioning strategy, and a published base OpenAPI specification, ready for module endpoints to be registered.</w:t>
            </w:r>
          </w:p>
        </w:tc>
      </w:tr>
      <w:tr>
        <w:tc>
          <w:tcPr>
            <w:tcW w:type="dxa" w:w="2016"/>
            <w:tcMar>
              <w:top w:type="dxa" w:w="70"/>
              <w:left w:type="dxa" w:w="110"/>
              <w:bottom w:type="dxa" w:w="70"/>
              <w:right w:type="dxa" w:w="110"/>
            </w:tcMar>
            <w:vAlign w:val="top"/>
          </w:tcPr>
          <w:p>
            <w:r>
              <w:rPr>
                <w:b/>
                <w:bCs/>
                <w:color w:val="1A1A1A"/>
                <w:sz w:val="12"/>
                <w:szCs w:val="12"/>
              </w:rPr>
              <w:t xml:space="preserve">Dependencies</w:t>
            </w:r>
          </w:p>
        </w:tc>
        <w:tc>
          <w:tcPr>
            <w:tcW w:type="dxa" w:w="8064"/>
            <w:tcMar>
              <w:top w:type="dxa" w:w="70"/>
              <w:left w:type="dxa" w:w="110"/>
              <w:bottom w:type="dxa" w:w="70"/>
              <w:right w:type="dxa" w:w="110"/>
            </w:tcMar>
            <w:vAlign w:val="top"/>
          </w:tcPr>
          <w:p>
            <w:r>
              <w:rPr>
                <w:b w:val="false"/>
                <w:bCs w:val="false"/>
                <w:color w:val="1A1A1A"/>
                <w:sz w:val="12"/>
                <w:szCs w:val="12"/>
              </w:rPr>
              <w:t xml:space="preserve">WP-01 (Database Foundation, for entity-aligned contracts). Blocks WP-04 through WP-23.</w:t>
            </w:r>
          </w:p>
        </w:tc>
      </w:tr>
    </w:tbl>
    <w:p>
      <w:pPr>
        <w:spacing w:after="160"/>
      </w:pPr>
    </w:p>
    <w:p>
      <w:pPr>
        <w:spacing w:after="90" w:before="180"/>
      </w:pPr>
      <w:r>
        <w:rPr>
          <w:b/>
          <w:bCs/>
          <w:color w:val="1C1E21"/>
          <w:sz w:val="19"/>
          <w:szCs w:val="19"/>
        </w:rPr>
        <w:t xml:space="preserve">User Stories</w:t>
      </w:r>
    </w:p>
    <w:p>
      <w:pPr>
        <w:pStyle w:val="ListParagraph"/>
        <w:numPr>
          <w:ilvl w:val="0"/>
          <w:numId w:val="1"/>
        </w:numPr>
        <w:spacing w:after="90" w:line="264"/>
      </w:pPr>
      <w:r>
        <w:t xml:space="preserve">US-004: As a Backend Engineer, I want a consistent API gateway so that every module's endpoints follow the same authentication and versioning pattern.</w:t>
      </w:r>
    </w:p>
    <w:p>
      <w:pPr>
        <w:pStyle w:val="ListParagraph"/>
        <w:numPr>
          <w:ilvl w:val="0"/>
          <w:numId w:val="1"/>
        </w:numPr>
        <w:spacing w:after="90" w:line="264"/>
      </w:pPr>
      <w:r>
        <w:t xml:space="preserve">US-005: As an external integration partner, I want a published OpenAPI specification so that I can build against a stable contract.</w:t>
      </w:r>
    </w:p>
    <w:p>
      <w:pPr>
        <w:pStyle w:val="ListParagraph"/>
        <w:numPr>
          <w:ilvl w:val="0"/>
          <w:numId w:val="1"/>
        </w:numPr>
        <w:spacing w:after="90" w:line="264"/>
      </w:pPr>
      <w:r>
        <w:t xml:space="preserve">US-006: As a Security Architect, I want centralized authentication middleware so that authorization logic is not duplicated per module.</w:t>
      </w:r>
    </w:p>
    <w:p>
      <w:pPr>
        <w:spacing w:after="90" w:before="180"/>
      </w:pPr>
      <w:r>
        <w:rPr>
          <w:b/>
          <w:bCs/>
          <w:color w:val="1C1E21"/>
          <w:sz w:val="19"/>
          <w:szCs w:val="19"/>
        </w:rPr>
        <w:t xml:space="preserve">Functional Requirements</w:t>
      </w:r>
    </w:p>
    <w:p>
      <w:pPr>
        <w:pStyle w:val="ListParagraph"/>
        <w:numPr>
          <w:ilvl w:val="0"/>
          <w:numId w:val="1"/>
        </w:numPr>
        <w:spacing w:after="90" w:line="264"/>
      </w:pPr>
      <w:r>
        <w:t xml:space="preserve">FR-API-01: Implement API Gateway routing and versioning strategy per AIDS Part 2.</w:t>
      </w:r>
    </w:p>
    <w:p>
      <w:pPr>
        <w:pStyle w:val="ListParagraph"/>
        <w:numPr>
          <w:ilvl w:val="0"/>
          <w:numId w:val="1"/>
        </w:numPr>
        <w:spacing w:after="90" w:line="264"/>
      </w:pPr>
      <w:r>
        <w:t xml:space="preserve">FR-API-02: Implement OAuth 2.0 / JWT authentication middleware per AIDS Part 5.</w:t>
      </w:r>
    </w:p>
    <w:p>
      <w:pPr>
        <w:pStyle w:val="ListParagraph"/>
        <w:numPr>
          <w:ilvl w:val="0"/>
          <w:numId w:val="1"/>
        </w:numPr>
        <w:spacing w:after="90" w:line="264"/>
      </w:pPr>
      <w:r>
        <w:t xml:space="preserve">FR-API-03: Implement standardized error response format per AIDS Part 7.</w:t>
      </w:r>
    </w:p>
    <w:p>
      <w:pPr>
        <w:pStyle w:val="ListParagraph"/>
        <w:numPr>
          <w:ilvl w:val="0"/>
          <w:numId w:val="1"/>
        </w:numPr>
        <w:spacing w:after="90" w:line="264"/>
      </w:pPr>
      <w:r>
        <w:t xml:space="preserve">FR-API-04: Implement webhook dispatch framework per AIDS Part 8.</w:t>
      </w:r>
    </w:p>
    <w:p>
      <w:pPr>
        <w:spacing w:after="90" w:before="180"/>
      </w:pPr>
      <w:r>
        <w:rPr>
          <w:b/>
          <w:bCs/>
          <w:color w:val="1C1E21"/>
          <w:sz w:val="19"/>
          <w:szCs w:val="19"/>
        </w:rPr>
        <w:t xml:space="preserve">Non-Functional Requirements</w:t>
      </w:r>
    </w:p>
    <w:p>
      <w:pPr>
        <w:pStyle w:val="ListParagraph"/>
        <w:numPr>
          <w:ilvl w:val="0"/>
          <w:numId w:val="1"/>
        </w:numPr>
        <w:spacing w:after="90" w:line="264"/>
      </w:pPr>
      <w:r>
        <w:t xml:space="preserve">NFR-API-01: API Gateway adds no more than the latency budget defined in AIDS Part 13.</w:t>
      </w:r>
    </w:p>
    <w:p>
      <w:pPr>
        <w:pStyle w:val="ListParagraph"/>
        <w:numPr>
          <w:ilvl w:val="0"/>
          <w:numId w:val="1"/>
        </w:numPr>
        <w:spacing w:after="90" w:line="264"/>
      </w:pPr>
      <w:r>
        <w:t xml:space="preserve">NFR-API-02: Authentication middleware supports the concurrent session volume defined in SRS Part 33.</w:t>
      </w:r>
    </w:p>
    <w:p>
      <w:pPr>
        <w:pStyle w:val="ListParagraph"/>
        <w:numPr>
          <w:ilvl w:val="0"/>
          <w:numId w:val="1"/>
        </w:numPr>
        <w:spacing w:after="90" w:line="264"/>
      </w:pPr>
      <w:r>
        <w:t xml:space="preserve">NFR-API-03: All endpoints conform to the OpenAPI 3.1 Blueprint (AIDS Part 17).</w:t>
      </w:r>
    </w:p>
    <w:p>
      <w:pPr>
        <w:spacing w:after="90" w:before="180"/>
      </w:pPr>
      <w:r>
        <w:rPr>
          <w:b/>
          <w:bCs/>
          <w:color w:val="1C1E21"/>
          <w:sz w:val="19"/>
          <w:szCs w:val="19"/>
        </w:rPr>
        <w:t xml:space="preserve">Database Entities</w:t>
      </w:r>
    </w:p>
    <w:p>
      <w:pPr>
        <w:spacing w:after="150" w:line="276"/>
        <w:jc w:val="both"/>
      </w:pPr>
      <w:r>
        <w:t xml:space="preserve">api_clients, api_tokens, webhook_subscriptions — consuming the core schema established in WP-01.</w:t>
      </w:r>
    </w:p>
    <w:p>
      <w:pPr>
        <w:spacing w:after="90" w:before="180"/>
      </w:pPr>
      <w:r>
        <w:rPr>
          <w:b/>
          <w:bCs/>
          <w:color w:val="1C1E21"/>
          <w:sz w:val="19"/>
          <w:szCs w:val="19"/>
        </w:rPr>
        <w:t xml:space="preserve">API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33363C" w:val="clear"/>
            <w:tcMar>
              <w:top w:type="dxa" w:w="70"/>
              <w:left w:type="dxa" w:w="110"/>
              <w:bottom w:type="dxa" w:w="70"/>
              <w:right w:type="dxa" w:w="110"/>
            </w:tcMar>
            <w:vAlign w:val="top"/>
          </w:tcPr>
          <w:p>
            <w:r>
              <w:rPr>
                <w:b/>
                <w:bCs/>
                <w:color w:val="FFFFFF"/>
                <w:sz w:val="17"/>
                <w:szCs w:val="17"/>
              </w:rPr>
              <w:t xml:space="preserve">Method / Path</w:t>
            </w:r>
          </w:p>
        </w:tc>
        <w:tc>
          <w:tcPr>
            <w:tcW w:type="dxa" w:w="5846"/>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4234"/>
            <w:tcMar>
              <w:top w:type="dxa" w:w="70"/>
              <w:left w:type="dxa" w:w="110"/>
              <w:bottom w:type="dxa" w:w="70"/>
              <w:right w:type="dxa" w:w="110"/>
            </w:tcMar>
            <w:vAlign w:val="top"/>
          </w:tcPr>
          <w:p>
            <w:r>
              <w:rPr>
                <w:b/>
                <w:bCs/>
                <w:color w:val="1A1A1A"/>
                <w:sz w:val="12"/>
                <w:szCs w:val="12"/>
              </w:rPr>
              <w:t xml:space="preserve">POST /api/v1/auth/token</w:t>
            </w:r>
          </w:p>
        </w:tc>
        <w:tc>
          <w:tcPr>
            <w:tcW w:type="dxa" w:w="5846"/>
            <w:tcMar>
              <w:top w:type="dxa" w:w="70"/>
              <w:left w:type="dxa" w:w="110"/>
              <w:bottom w:type="dxa" w:w="70"/>
              <w:right w:type="dxa" w:w="110"/>
            </w:tcMar>
            <w:vAlign w:val="top"/>
          </w:tcPr>
          <w:p>
            <w:r>
              <w:rPr>
                <w:b w:val="false"/>
                <w:bCs w:val="false"/>
                <w:color w:val="1A1A1A"/>
                <w:sz w:val="12"/>
                <w:szCs w:val="12"/>
              </w:rPr>
              <w:t xml:space="preserve">Issue an access token for an authenticated client.</w:t>
            </w:r>
          </w:p>
        </w:tc>
      </w:tr>
      <w:tr>
        <w:tc>
          <w:tcPr>
            <w:tcW w:type="dxa" w:w="4234"/>
            <w:tcMar>
              <w:top w:type="dxa" w:w="70"/>
              <w:left w:type="dxa" w:w="110"/>
              <w:bottom w:type="dxa" w:w="70"/>
              <w:right w:type="dxa" w:w="110"/>
            </w:tcMar>
            <w:vAlign w:val="top"/>
          </w:tcPr>
          <w:p>
            <w:r>
              <w:rPr>
                <w:b/>
                <w:bCs/>
                <w:color w:val="1A1A1A"/>
                <w:sz w:val="12"/>
                <w:szCs w:val="12"/>
              </w:rPr>
              <w:t xml:space="preserve">POST /api/v1/auth/refresh</w:t>
            </w:r>
          </w:p>
        </w:tc>
        <w:tc>
          <w:tcPr>
            <w:tcW w:type="dxa" w:w="5846"/>
            <w:tcMar>
              <w:top w:type="dxa" w:w="70"/>
              <w:left w:type="dxa" w:w="110"/>
              <w:bottom w:type="dxa" w:w="70"/>
              <w:right w:type="dxa" w:w="110"/>
            </w:tcMar>
            <w:vAlign w:val="top"/>
          </w:tcPr>
          <w:p>
            <w:r>
              <w:rPr>
                <w:b w:val="false"/>
                <w:bCs w:val="false"/>
                <w:color w:val="1A1A1A"/>
                <w:sz w:val="12"/>
                <w:szCs w:val="12"/>
              </w:rPr>
              <w:t xml:space="preserve">Refresh an expiring access token.</w:t>
            </w:r>
          </w:p>
        </w:tc>
      </w:tr>
      <w:tr>
        <w:tc>
          <w:tcPr>
            <w:tcW w:type="dxa" w:w="4234"/>
            <w:tcMar>
              <w:top w:type="dxa" w:w="70"/>
              <w:left w:type="dxa" w:w="110"/>
              <w:bottom w:type="dxa" w:w="70"/>
              <w:right w:type="dxa" w:w="110"/>
            </w:tcMar>
            <w:vAlign w:val="top"/>
          </w:tcPr>
          <w:p>
            <w:r>
              <w:rPr>
                <w:b/>
                <w:bCs/>
                <w:color w:val="1A1A1A"/>
                <w:sz w:val="12"/>
                <w:szCs w:val="12"/>
              </w:rPr>
              <w:t xml:space="preserve">GET /api/v1/health</w:t>
            </w:r>
          </w:p>
        </w:tc>
        <w:tc>
          <w:tcPr>
            <w:tcW w:type="dxa" w:w="5846"/>
            <w:tcMar>
              <w:top w:type="dxa" w:w="70"/>
              <w:left w:type="dxa" w:w="110"/>
              <w:bottom w:type="dxa" w:w="70"/>
              <w:right w:type="dxa" w:w="110"/>
            </w:tcMar>
            <w:vAlign w:val="top"/>
          </w:tcPr>
          <w:p>
            <w:r>
              <w:rPr>
                <w:b w:val="false"/>
                <w:bCs w:val="false"/>
                <w:color w:val="1A1A1A"/>
                <w:sz w:val="12"/>
                <w:szCs w:val="12"/>
              </w:rPr>
              <w:t xml:space="preserve">Platform health check endpoint.</w:t>
            </w:r>
          </w:p>
        </w:tc>
      </w:tr>
      <w:tr>
        <w:tc>
          <w:tcPr>
            <w:tcW w:type="dxa" w:w="4234"/>
            <w:tcMar>
              <w:top w:type="dxa" w:w="70"/>
              <w:left w:type="dxa" w:w="110"/>
              <w:bottom w:type="dxa" w:w="70"/>
              <w:right w:type="dxa" w:w="110"/>
            </w:tcMar>
            <w:vAlign w:val="top"/>
          </w:tcPr>
          <w:p>
            <w:r>
              <w:rPr>
                <w:b/>
                <w:bCs/>
                <w:color w:val="1A1A1A"/>
                <w:sz w:val="12"/>
                <w:szCs w:val="12"/>
              </w:rPr>
              <w:t xml:space="preserve">POST /api/v1/webhooks/subscriptions</w:t>
            </w:r>
          </w:p>
        </w:tc>
        <w:tc>
          <w:tcPr>
            <w:tcW w:type="dxa" w:w="5846"/>
            <w:tcMar>
              <w:top w:type="dxa" w:w="70"/>
              <w:left w:type="dxa" w:w="110"/>
              <w:bottom w:type="dxa" w:w="70"/>
              <w:right w:type="dxa" w:w="110"/>
            </w:tcMar>
            <w:vAlign w:val="top"/>
          </w:tcPr>
          <w:p>
            <w:r>
              <w:rPr>
                <w:b w:val="false"/>
                <w:bCs w:val="false"/>
                <w:color w:val="1A1A1A"/>
                <w:sz w:val="12"/>
                <w:szCs w:val="12"/>
              </w:rPr>
              <w:t xml:space="preserve">Register a webhook subscription.</w:t>
            </w:r>
          </w:p>
        </w:tc>
      </w:tr>
    </w:tbl>
    <w:p>
      <w:pPr>
        <w:spacing w:after="160"/>
      </w:pPr>
    </w:p>
    <w:p>
      <w:pPr>
        <w:spacing w:after="90" w:before="180"/>
      </w:pPr>
      <w:r>
        <w:rPr>
          <w:b/>
          <w:bCs/>
          <w:color w:val="1C1E21"/>
          <w:sz w:val="19"/>
          <w:szCs w:val="19"/>
        </w:rPr>
        <w:t xml:space="preserve">UI Screens</w:t>
      </w:r>
    </w:p>
    <w:p>
      <w:pPr>
        <w:pStyle w:val="ListParagraph"/>
        <w:numPr>
          <w:ilvl w:val="0"/>
          <w:numId w:val="1"/>
        </w:numPr>
        <w:spacing w:after="90" w:line="264"/>
      </w:pPr>
      <w:r>
        <w:t xml:space="preserve">None — infrastructure Work Package. API Client Management screen delivered under WP-04 (Administration).</w:t>
      </w:r>
    </w:p>
    <w:p>
      <w:pPr>
        <w:spacing w:after="90" w:before="180"/>
      </w:pPr>
      <w:r>
        <w:rPr>
          <w:b/>
          <w:bCs/>
          <w:color w:val="1C1E21"/>
          <w:sz w:val="19"/>
          <w:szCs w:val="19"/>
        </w:rPr>
        <w:t xml:space="preserve">Security Controls</w:t>
      </w:r>
    </w:p>
    <w:p>
      <w:pPr>
        <w:pStyle w:val="ListParagraph"/>
        <w:numPr>
          <w:ilvl w:val="0"/>
          <w:numId w:val="1"/>
        </w:numPr>
        <w:spacing w:after="90" w:line="264"/>
      </w:pPr>
      <w:r>
        <w:t xml:space="preserve">TLS termination at the gateway.</w:t>
      </w:r>
    </w:p>
    <w:p>
      <w:pPr>
        <w:pStyle w:val="ListParagraph"/>
        <w:numPr>
          <w:ilvl w:val="0"/>
          <w:numId w:val="1"/>
        </w:numPr>
        <w:spacing w:after="90" w:line="264"/>
      </w:pPr>
      <w:r>
        <w:t xml:space="preserve">Rate limiting on all public-facing endpoints.</w:t>
      </w:r>
    </w:p>
    <w:p>
      <w:pPr>
        <w:pStyle w:val="ListParagraph"/>
        <w:numPr>
          <w:ilvl w:val="0"/>
          <w:numId w:val="1"/>
        </w:numPr>
        <w:spacing w:after="90" w:line="264"/>
      </w:pPr>
      <w:r>
        <w:t xml:space="preserve">JWT signature validation on every protected request.</w:t>
      </w:r>
    </w:p>
    <w:p>
      <w:pPr>
        <w:pStyle w:val="ListParagraph"/>
        <w:numPr>
          <w:ilvl w:val="0"/>
          <w:numId w:val="1"/>
        </w:numPr>
        <w:spacing w:after="90" w:line="264"/>
      </w:pPr>
      <w:r>
        <w:t xml:space="preserve">API key rotation policy per AIDS Part 14.</w:t>
      </w:r>
    </w:p>
    <w:p>
      <w:pPr>
        <w:spacing w:after="90" w:before="180"/>
      </w:pPr>
      <w:r>
        <w:rPr>
          <w:b/>
          <w:bCs/>
          <w:color w:val="1C1E21"/>
          <w:sz w:val="19"/>
          <w:szCs w:val="19"/>
        </w:rPr>
        <w:t xml:space="preserve">Acceptance Criteria</w:t>
      </w:r>
    </w:p>
    <w:p>
      <w:pPr>
        <w:spacing w:after="90" w:line="264"/>
      </w:pPr>
      <w:r>
        <w:rPr>
          <w:b/>
          <w:bCs/>
          <w:color w:val="33363C"/>
        </w:rPr>
        <w:t xml:space="preserve">1. </w:t>
      </w:r>
      <w:r>
        <w:t xml:space="preserve">Gateway successfully routes to a test service with authentication enforced.</w:t>
      </w:r>
    </w:p>
    <w:p>
      <w:pPr>
        <w:spacing w:after="90" w:line="264"/>
      </w:pPr>
      <w:r>
        <w:rPr>
          <w:b/>
          <w:bCs/>
          <w:color w:val="33363C"/>
        </w:rPr>
        <w:t xml:space="preserve">2. </w:t>
      </w:r>
      <w:r>
        <w:t xml:space="preserve">OpenAPI specification validates against the AIDS Part 17 blueprint.</w:t>
      </w:r>
    </w:p>
    <w:p>
      <w:pPr>
        <w:spacing w:after="90" w:line="264"/>
      </w:pPr>
      <w:r>
        <w:rPr>
          <w:b/>
          <w:bCs/>
          <w:color w:val="33363C"/>
        </w:rPr>
        <w:t xml:space="preserve">3. </w:t>
      </w:r>
      <w:r>
        <w:t xml:space="preserve">Webhook dispatch successfully delivers a test event with retry on failure.</w:t>
      </w:r>
    </w:p>
    <w:p>
      <w:pPr>
        <w:spacing w:after="90" w:line="264"/>
      </w:pPr>
      <w:r>
        <w:rPr>
          <w:b/>
          <w:bCs/>
          <w:color w:val="33363C"/>
        </w:rPr>
        <w:t xml:space="preserve">4. </w:t>
      </w:r>
      <w:r>
        <w:t xml:space="preserve">Error responses conform to the standardized format for 100% of test cases.</w:t>
      </w:r>
    </w:p>
    <w:p>
      <w:pPr>
        <w:spacing w:after="90" w:before="180"/>
      </w:pPr>
      <w:r>
        <w:rPr>
          <w:b/>
          <w:bCs/>
          <w:color w:val="1C1E21"/>
          <w:sz w:val="19"/>
          <w:szCs w:val="19"/>
        </w:rPr>
        <w:t xml:space="preserve">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613"/>
        <w:gridCol w:w="6854"/>
      </w:tblGrid>
      <w:tr>
        <w:trPr>
          <w:tblHeader/>
        </w:trPr>
        <w:tc>
          <w:tcPr>
            <w:tcW w:type="dxa" w:w="1613"/>
            <w:shd w:fill="33363C" w:val="clear"/>
            <w:tcMar>
              <w:top w:type="dxa" w:w="70"/>
              <w:left w:type="dxa" w:w="110"/>
              <w:bottom w:type="dxa" w:w="70"/>
              <w:right w:type="dxa" w:w="110"/>
            </w:tcMar>
            <w:vAlign w:val="top"/>
          </w:tcPr>
          <w:p>
            <w:r>
              <w:rPr>
                <w:b/>
                <w:bCs/>
                <w:color w:val="FFFFFF"/>
                <w:sz w:val="17"/>
                <w:szCs w:val="17"/>
              </w:rPr>
              <w:t xml:space="preserve">Test ID</w:t>
            </w:r>
          </w:p>
        </w:tc>
        <w:tc>
          <w:tcPr>
            <w:tcW w:type="dxa" w:w="1613"/>
            <w:shd w:fill="33363C" w:val="clear"/>
            <w:tcMar>
              <w:top w:type="dxa" w:w="70"/>
              <w:left w:type="dxa" w:w="110"/>
              <w:bottom w:type="dxa" w:w="70"/>
              <w:right w:type="dxa" w:w="110"/>
            </w:tcMar>
            <w:vAlign w:val="top"/>
          </w:tcPr>
          <w:p>
            <w:r>
              <w:rPr>
                <w:b/>
                <w:bCs/>
                <w:color w:val="FFFFFF"/>
                <w:sz w:val="17"/>
                <w:szCs w:val="17"/>
              </w:rPr>
              <w:t xml:space="preserve">Type</w:t>
            </w:r>
          </w:p>
        </w:tc>
        <w:tc>
          <w:tcPr>
            <w:tcW w:type="dxa" w:w="6854"/>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1613"/>
            <w:tcMar>
              <w:top w:type="dxa" w:w="70"/>
              <w:left w:type="dxa" w:w="110"/>
              <w:bottom w:type="dxa" w:w="70"/>
              <w:right w:type="dxa" w:w="110"/>
            </w:tcMar>
            <w:vAlign w:val="top"/>
          </w:tcPr>
          <w:p>
            <w:r>
              <w:rPr>
                <w:b/>
                <w:bCs/>
                <w:color w:val="1A1A1A"/>
                <w:sz w:val="12"/>
                <w:szCs w:val="12"/>
              </w:rPr>
              <w:t xml:space="preserve">UT-API-01</w:t>
            </w:r>
          </w:p>
        </w:tc>
        <w:tc>
          <w:tcPr>
            <w:tcW w:type="dxa" w:w="1613"/>
            <w:tcMar>
              <w:top w:type="dxa" w:w="70"/>
              <w:left w:type="dxa" w:w="110"/>
              <w:bottom w:type="dxa" w:w="70"/>
              <w:right w:type="dxa" w:w="110"/>
            </w:tcMar>
            <w:vAlign w:val="top"/>
          </w:tcPr>
          <w:p>
            <w:r>
              <w:rPr>
                <w:b w:val="false"/>
                <w:bCs w:val="false"/>
                <w:color w:val="1A1A1A"/>
                <w:sz w:val="12"/>
                <w:szCs w:val="12"/>
              </w:rPr>
              <w:t xml:space="preserve">Unit</w:t>
            </w:r>
          </w:p>
        </w:tc>
        <w:tc>
          <w:tcPr>
            <w:tcW w:type="dxa" w:w="6854"/>
            <w:tcMar>
              <w:top w:type="dxa" w:w="70"/>
              <w:left w:type="dxa" w:w="110"/>
              <w:bottom w:type="dxa" w:w="70"/>
              <w:right w:type="dxa" w:w="110"/>
            </w:tcMar>
            <w:vAlign w:val="top"/>
          </w:tcPr>
          <w:p>
            <w:r>
              <w:rPr>
                <w:b w:val="false"/>
                <w:bCs w:val="false"/>
                <w:color w:val="1A1A1A"/>
                <w:sz w:val="12"/>
                <w:szCs w:val="12"/>
              </w:rPr>
              <w:t xml:space="preserve">Token validation rejects expired or malformed JWTs.</w:t>
            </w:r>
          </w:p>
        </w:tc>
      </w:tr>
      <w:tr>
        <w:tc>
          <w:tcPr>
            <w:tcW w:type="dxa" w:w="1613"/>
            <w:tcMar>
              <w:top w:type="dxa" w:w="70"/>
              <w:left w:type="dxa" w:w="110"/>
              <w:bottom w:type="dxa" w:w="70"/>
              <w:right w:type="dxa" w:w="110"/>
            </w:tcMar>
            <w:vAlign w:val="top"/>
          </w:tcPr>
          <w:p>
            <w:r>
              <w:rPr>
                <w:b/>
                <w:bCs/>
                <w:color w:val="1A1A1A"/>
                <w:sz w:val="12"/>
                <w:szCs w:val="12"/>
              </w:rPr>
              <w:t xml:space="preserve">IT-API-01</w:t>
            </w:r>
          </w:p>
        </w:tc>
        <w:tc>
          <w:tcPr>
            <w:tcW w:type="dxa" w:w="1613"/>
            <w:tcMar>
              <w:top w:type="dxa" w:w="70"/>
              <w:left w:type="dxa" w:w="110"/>
              <w:bottom w:type="dxa" w:w="70"/>
              <w:right w:type="dxa" w:w="110"/>
            </w:tcMar>
            <w:vAlign w:val="top"/>
          </w:tcPr>
          <w:p>
            <w:r>
              <w:rPr>
                <w:b w:val="false"/>
                <w:bCs w:val="false"/>
                <w:color w:val="1A1A1A"/>
                <w:sz w:val="12"/>
                <w:szCs w:val="12"/>
              </w:rPr>
              <w:t xml:space="preserve">Integration</w:t>
            </w:r>
          </w:p>
        </w:tc>
        <w:tc>
          <w:tcPr>
            <w:tcW w:type="dxa" w:w="6854"/>
            <w:tcMar>
              <w:top w:type="dxa" w:w="70"/>
              <w:left w:type="dxa" w:w="110"/>
              <w:bottom w:type="dxa" w:w="70"/>
              <w:right w:type="dxa" w:w="110"/>
            </w:tcMar>
            <w:vAlign w:val="top"/>
          </w:tcPr>
          <w:p>
            <w:r>
              <w:rPr>
                <w:b w:val="false"/>
                <w:bCs w:val="false"/>
                <w:color w:val="1A1A1A"/>
                <w:sz w:val="12"/>
                <w:szCs w:val="12"/>
              </w:rPr>
              <w:t xml:space="preserve">Gateway routes an authenticated request to a backend service.</w:t>
            </w:r>
          </w:p>
        </w:tc>
      </w:tr>
      <w:tr>
        <w:tc>
          <w:tcPr>
            <w:tcW w:type="dxa" w:w="1613"/>
            <w:tcMar>
              <w:top w:type="dxa" w:w="70"/>
              <w:left w:type="dxa" w:w="110"/>
              <w:bottom w:type="dxa" w:w="70"/>
              <w:right w:type="dxa" w:w="110"/>
            </w:tcMar>
            <w:vAlign w:val="top"/>
          </w:tcPr>
          <w:p>
            <w:r>
              <w:rPr>
                <w:b/>
                <w:bCs/>
                <w:color w:val="1A1A1A"/>
                <w:sz w:val="12"/>
                <w:szCs w:val="12"/>
              </w:rPr>
              <w:t xml:space="preserve">ST-API-01</w:t>
            </w:r>
          </w:p>
        </w:tc>
        <w:tc>
          <w:tcPr>
            <w:tcW w:type="dxa" w:w="1613"/>
            <w:tcMar>
              <w:top w:type="dxa" w:w="70"/>
              <w:left w:type="dxa" w:w="110"/>
              <w:bottom w:type="dxa" w:w="70"/>
              <w:right w:type="dxa" w:w="110"/>
            </w:tcMar>
            <w:vAlign w:val="top"/>
          </w:tcPr>
          <w:p>
            <w:r>
              <w:rPr>
                <w:b w:val="false"/>
                <w:bCs w:val="false"/>
                <w:color w:val="1A1A1A"/>
                <w:sz w:val="12"/>
                <w:szCs w:val="12"/>
              </w:rPr>
              <w:t xml:space="preserve">Security</w:t>
            </w:r>
          </w:p>
        </w:tc>
        <w:tc>
          <w:tcPr>
            <w:tcW w:type="dxa" w:w="6854"/>
            <w:tcMar>
              <w:top w:type="dxa" w:w="70"/>
              <w:left w:type="dxa" w:w="110"/>
              <w:bottom w:type="dxa" w:w="70"/>
              <w:right w:type="dxa" w:w="110"/>
            </w:tcMar>
            <w:vAlign w:val="top"/>
          </w:tcPr>
          <w:p>
            <w:r>
              <w:rPr>
                <w:b w:val="false"/>
                <w:bCs w:val="false"/>
                <w:color w:val="1A1A1A"/>
                <w:sz w:val="12"/>
                <w:szCs w:val="12"/>
              </w:rPr>
              <w:t xml:space="preserve">Unauthenticated request to a protected endpoint returns 401.</w:t>
            </w:r>
          </w:p>
        </w:tc>
      </w:tr>
      <w:tr>
        <w:tc>
          <w:tcPr>
            <w:tcW w:type="dxa" w:w="1613"/>
            <w:tcMar>
              <w:top w:type="dxa" w:w="70"/>
              <w:left w:type="dxa" w:w="110"/>
              <w:bottom w:type="dxa" w:w="70"/>
              <w:right w:type="dxa" w:w="110"/>
            </w:tcMar>
            <w:vAlign w:val="top"/>
          </w:tcPr>
          <w:p>
            <w:r>
              <w:rPr>
                <w:b/>
                <w:bCs/>
                <w:color w:val="1A1A1A"/>
                <w:sz w:val="12"/>
                <w:szCs w:val="12"/>
              </w:rPr>
              <w:t xml:space="preserve">PT-API-01</w:t>
            </w:r>
          </w:p>
        </w:tc>
        <w:tc>
          <w:tcPr>
            <w:tcW w:type="dxa" w:w="1613"/>
            <w:tcMar>
              <w:top w:type="dxa" w:w="70"/>
              <w:left w:type="dxa" w:w="110"/>
              <w:bottom w:type="dxa" w:w="70"/>
              <w:right w:type="dxa" w:w="110"/>
            </w:tcMar>
            <w:vAlign w:val="top"/>
          </w:tcPr>
          <w:p>
            <w:r>
              <w:rPr>
                <w:b w:val="false"/>
                <w:bCs w:val="false"/>
                <w:color w:val="1A1A1A"/>
                <w:sz w:val="12"/>
                <w:szCs w:val="12"/>
              </w:rPr>
              <w:t xml:space="preserve">Performance</w:t>
            </w:r>
          </w:p>
        </w:tc>
        <w:tc>
          <w:tcPr>
            <w:tcW w:type="dxa" w:w="6854"/>
            <w:tcMar>
              <w:top w:type="dxa" w:w="70"/>
              <w:left w:type="dxa" w:w="110"/>
              <w:bottom w:type="dxa" w:w="70"/>
              <w:right w:type="dxa" w:w="110"/>
            </w:tcMar>
            <w:vAlign w:val="top"/>
          </w:tcPr>
          <w:p>
            <w:r>
              <w:rPr>
                <w:b w:val="false"/>
                <w:bCs w:val="false"/>
                <w:color w:val="1A1A1A"/>
                <w:sz w:val="12"/>
                <w:szCs w:val="12"/>
              </w:rPr>
              <w:t xml:space="preserve">Gateway overhead remains within the AIDS Part 13 budget under load.</w:t>
            </w:r>
          </w:p>
        </w:tc>
      </w:tr>
    </w:tbl>
    <w:p>
      <w:pPr>
        <w:spacing w:after="160"/>
      </w:pPr>
    </w:p>
    <w:p>
      <w:pPr>
        <w:spacing w:after="90" w:before="180"/>
      </w:pPr>
      <w:r>
        <w:rPr>
          <w:b/>
          <w:bCs/>
          <w:color w:val="1C1E21"/>
          <w:sz w:val="19"/>
          <w:szCs w:val="19"/>
        </w:rPr>
        <w:t xml:space="preserve">Documentation Updates</w:t>
      </w:r>
    </w:p>
    <w:p>
      <w:pPr>
        <w:pStyle w:val="ListParagraph"/>
        <w:numPr>
          <w:ilvl w:val="0"/>
          <w:numId w:val="1"/>
        </w:numPr>
        <w:spacing w:after="90" w:line="264"/>
      </w:pPr>
      <w:r>
        <w:t xml:space="preserve">AIDS Part 17 (OpenAPI Blueprint) status updated to ‘Implemented’.</w:t>
      </w:r>
    </w:p>
    <w:p>
      <w:pPr>
        <w:pStyle w:val="ListParagraph"/>
        <w:numPr>
          <w:ilvl w:val="0"/>
          <w:numId w:val="1"/>
        </w:numPr>
        <w:spacing w:after="90" w:line="264"/>
      </w:pPr>
      <w:r>
        <w:t xml:space="preserve">Repository /docs/api/ populated.</w:t>
      </w:r>
    </w:p>
    <w:p>
      <w:pPr>
        <w:spacing w:after="90" w:before="180"/>
      </w:pPr>
      <w:r>
        <w:rPr>
          <w:b/>
          <w:bCs/>
          <w:color w:val="1C1E21"/>
          <w:sz w:val="19"/>
          <w:szCs w:val="19"/>
        </w:rPr>
        <w:t xml:space="preserve">Related ADRs</w:t>
      </w:r>
    </w:p>
    <w:p>
      <w:pPr>
        <w:pStyle w:val="ListParagraph"/>
        <w:numPr>
          <w:ilvl w:val="0"/>
          <w:numId w:val="1"/>
        </w:numPr>
        <w:spacing w:after="90" w:line="264"/>
      </w:pPr>
      <w:r>
        <w:t xml:space="preserve">ADR-0003: API Gateway Platform Selection.</w:t>
      </w:r>
    </w:p>
    <w:p>
      <w:pPr>
        <w:pStyle w:val="ListParagraph"/>
        <w:numPr>
          <w:ilvl w:val="0"/>
          <w:numId w:val="1"/>
        </w:numPr>
        <w:spacing w:after="90" w:line="264"/>
      </w:pPr>
      <w:r>
        <w:t xml:space="preserve">ADR-0004: Authentication Strategy.</w:t>
      </w:r>
    </w:p>
    <w:p>
      <w:pPr>
        <w:spacing w:after="90" w:before="180"/>
      </w:pPr>
      <w:r>
        <w:rPr>
          <w:b/>
          <w:bCs/>
          <w:color w:val="1C1E21"/>
          <w:sz w:val="19"/>
          <w:szCs w:val="19"/>
        </w:rPr>
        <w:t xml:space="preserve">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435"/>
        <w:gridCol w:w="4435"/>
      </w:tblGrid>
      <w:tr>
        <w:trPr>
          <w:tblHeader/>
        </w:trPr>
        <w:tc>
          <w:tcPr>
            <w:tcW w:type="dxa" w:w="1210"/>
            <w:shd w:fill="33363C" w:val="clear"/>
            <w:tcMar>
              <w:top w:type="dxa" w:w="70"/>
              <w:left w:type="dxa" w:w="110"/>
              <w:bottom w:type="dxa" w:w="70"/>
              <w:right w:type="dxa" w:w="110"/>
            </w:tcMar>
            <w:vAlign w:val="top"/>
          </w:tcPr>
          <w:p>
            <w:r>
              <w:rPr>
                <w:b/>
                <w:bCs/>
                <w:color w:val="FFFFFF"/>
                <w:sz w:val="17"/>
                <w:szCs w:val="17"/>
              </w:rPr>
              <w:t xml:space="preserve">Risk ID</w:t>
            </w:r>
          </w:p>
        </w:tc>
        <w:tc>
          <w:tcPr>
            <w:tcW w:type="dxa" w:w="4435"/>
            <w:shd w:fill="33363C" w:val="clear"/>
            <w:tcMar>
              <w:top w:type="dxa" w:w="70"/>
              <w:left w:type="dxa" w:w="110"/>
              <w:bottom w:type="dxa" w:w="70"/>
              <w:right w:type="dxa" w:w="110"/>
            </w:tcMar>
            <w:vAlign w:val="top"/>
          </w:tcPr>
          <w:p>
            <w:r>
              <w:rPr>
                <w:b/>
                <w:bCs/>
                <w:color w:val="FFFFFF"/>
                <w:sz w:val="17"/>
                <w:szCs w:val="17"/>
              </w:rPr>
              <w:t xml:space="preserve">Description</w:t>
            </w:r>
          </w:p>
        </w:tc>
        <w:tc>
          <w:tcPr>
            <w:tcW w:type="dxa" w:w="4435"/>
            <w:shd w:fill="33363C" w:val="clear"/>
            <w:tcMar>
              <w:top w:type="dxa" w:w="70"/>
              <w:left w:type="dxa" w:w="110"/>
              <w:bottom w:type="dxa" w:w="70"/>
              <w:right w:type="dxa" w:w="110"/>
            </w:tcMar>
            <w:vAlign w:val="top"/>
          </w:tcPr>
          <w:p>
            <w:r>
              <w:rPr>
                <w:b/>
                <w:bCs/>
                <w:color w:val="FFFFFF"/>
                <w:sz w:val="17"/>
                <w:szCs w:val="17"/>
              </w:rPr>
              <w:t xml:space="preserve">Mitigation</w:t>
            </w:r>
          </w:p>
        </w:tc>
      </w:tr>
      <w:tr>
        <w:tc>
          <w:tcPr>
            <w:tcW w:type="dxa" w:w="1210"/>
            <w:tcMar>
              <w:top w:type="dxa" w:w="70"/>
              <w:left w:type="dxa" w:w="110"/>
              <w:bottom w:type="dxa" w:w="70"/>
              <w:right w:type="dxa" w:w="110"/>
            </w:tcMar>
            <w:vAlign w:val="top"/>
          </w:tcPr>
          <w:p>
            <w:r>
              <w:rPr>
                <w:b/>
                <w:bCs/>
                <w:color w:val="1A1A1A"/>
                <w:sz w:val="12"/>
                <w:szCs w:val="12"/>
              </w:rPr>
              <w:t xml:space="preserve">R-API-01</w:t>
            </w:r>
          </w:p>
        </w:tc>
        <w:tc>
          <w:tcPr>
            <w:tcW w:type="dxa" w:w="4435"/>
            <w:tcMar>
              <w:top w:type="dxa" w:w="70"/>
              <w:left w:type="dxa" w:w="110"/>
              <w:bottom w:type="dxa" w:w="70"/>
              <w:right w:type="dxa" w:w="110"/>
            </w:tcMar>
            <w:vAlign w:val="top"/>
          </w:tcPr>
          <w:p>
            <w:r>
              <w:rPr>
                <w:b w:val="false"/>
                <w:bCs w:val="false"/>
                <w:color w:val="1A1A1A"/>
                <w:sz w:val="12"/>
                <w:szCs w:val="12"/>
              </w:rPr>
              <w:t xml:space="preserve">Gateway becomes a single point of failure.</w:t>
            </w:r>
          </w:p>
        </w:tc>
        <w:tc>
          <w:tcPr>
            <w:tcW w:type="dxa" w:w="4435"/>
            <w:tcMar>
              <w:top w:type="dxa" w:w="70"/>
              <w:left w:type="dxa" w:w="110"/>
              <w:bottom w:type="dxa" w:w="70"/>
              <w:right w:type="dxa" w:w="110"/>
            </w:tcMar>
            <w:vAlign w:val="top"/>
          </w:tcPr>
          <w:p>
            <w:r>
              <w:rPr>
                <w:b w:val="false"/>
                <w:bCs w:val="false"/>
                <w:color w:val="1A1A1A"/>
                <w:sz w:val="12"/>
                <w:szCs w:val="12"/>
              </w:rPr>
              <w:t xml:space="preserve">High-availability gateway configuration delivered under WP-03.</w:t>
            </w:r>
          </w:p>
        </w:tc>
      </w:tr>
    </w:tbl>
    <w:p>
      <w:pPr>
        <w:spacing w:after="160"/>
      </w:pPr>
    </w:p>
    <w:p>
      <w:pPr>
        <w:spacing w:after="90" w:before="180"/>
      </w:pPr>
      <w:r>
        <w:rPr>
          <w:b/>
          <w:bCs/>
          <w:color w:val="1C1E21"/>
          <w:sz w:val="19"/>
          <w:szCs w:val="19"/>
        </w:rPr>
        <w:t xml:space="preserve">Deliverables</w:t>
      </w:r>
    </w:p>
    <w:p>
      <w:pPr>
        <w:pStyle w:val="ListParagraph"/>
        <w:numPr>
          <w:ilvl w:val="0"/>
          <w:numId w:val="1"/>
        </w:numPr>
        <w:spacing w:after="90" w:line="264"/>
      </w:pPr>
      <w:r>
        <w:t xml:space="preserve">DEL-ENG-004: API Gateway Configuration.</w:t>
      </w:r>
    </w:p>
    <w:p>
      <w:pPr>
        <w:pStyle w:val="ListParagraph"/>
        <w:numPr>
          <w:ilvl w:val="0"/>
          <w:numId w:val="1"/>
        </w:numPr>
        <w:spacing w:after="90" w:line="264"/>
      </w:pPr>
      <w:r>
        <w:t xml:space="preserve">DEL-ENG-005: Base OpenAPI Specification.</w:t>
      </w:r>
    </w:p>
    <w:p>
      <w:pPr>
        <w:pStyle w:val="ListParagraph"/>
        <w:numPr>
          <w:ilvl w:val="0"/>
          <w:numId w:val="1"/>
        </w:numPr>
        <w:spacing w:after="90" w:line="264"/>
      </w:pPr>
      <w:r>
        <w:t xml:space="preserve">DEL-ENG-006: Authentication Middleware.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Gate</w:t>
            </w:r>
          </w:p>
        </w:tc>
        <w:tc>
          <w:tcPr>
            <w:tcW w:type="dxa" w:w="7862"/>
            <w:shd w:fill="33363C" w:val="clear"/>
            <w:tcMar>
              <w:top w:type="dxa" w:w="70"/>
              <w:left w:type="dxa" w:w="110"/>
              <w:bottom w:type="dxa" w:w="70"/>
              <w:right w:type="dxa" w:w="110"/>
            </w:tcMar>
            <w:vAlign w:val="top"/>
          </w:tcPr>
          <w:p>
            <w:r>
              <w:rPr>
                <w:b/>
                <w:bCs/>
                <w:color w:val="FFFFFF"/>
                <w:sz w:val="17"/>
                <w:szCs w:val="17"/>
              </w:rPr>
              <w:t xml:space="preserve">Criteria</w:t>
            </w:r>
          </w:p>
        </w:tc>
      </w:tr>
      <w:tr>
        <w:tc>
          <w:tcPr>
            <w:tcW w:type="dxa" w:w="2218"/>
            <w:tcMar>
              <w:top w:type="dxa" w:w="70"/>
              <w:left w:type="dxa" w:w="110"/>
              <w:bottom w:type="dxa" w:w="70"/>
              <w:right w:type="dxa" w:w="110"/>
            </w:tcMar>
            <w:vAlign w:val="top"/>
          </w:tcPr>
          <w:p>
            <w:r>
              <w:rPr>
                <w:b/>
                <w:bCs/>
                <w:color w:val="1A1A1A"/>
                <w:sz w:val="12"/>
                <w:szCs w:val="12"/>
              </w:rPr>
              <w:t xml:space="preserve">Definition of Ready</w:t>
            </w:r>
          </w:p>
        </w:tc>
        <w:tc>
          <w:tcPr>
            <w:tcW w:type="dxa" w:w="7862"/>
            <w:tcMar>
              <w:top w:type="dxa" w:w="70"/>
              <w:left w:type="dxa" w:w="110"/>
              <w:bottom w:type="dxa" w:w="70"/>
              <w:right w:type="dxa" w:w="110"/>
            </w:tcMar>
            <w:vAlign w:val="top"/>
          </w:tcPr>
          <w:p>
            <w:r>
              <w:rPr>
                <w:b w:val="false"/>
                <w:bCs w:val="false"/>
                <w:color w:val="1A1A1A"/>
                <w:sz w:val="12"/>
                <w:szCs w:val="12"/>
              </w:rPr>
              <w:t xml:space="preserve">WP-01 complete or entity contracts stable; AIDS Parts 1–19 approved.</w:t>
            </w:r>
          </w:p>
        </w:tc>
      </w:tr>
      <w:tr>
        <w:tc>
          <w:tcPr>
            <w:tcW w:type="dxa" w:w="2218"/>
            <w:tcMar>
              <w:top w:type="dxa" w:w="70"/>
              <w:left w:type="dxa" w:w="110"/>
              <w:bottom w:type="dxa" w:w="70"/>
              <w:right w:type="dxa" w:w="110"/>
            </w:tcMar>
            <w:vAlign w:val="top"/>
          </w:tcPr>
          <w:p>
            <w:r>
              <w:rPr>
                <w:b/>
                <w:bCs/>
                <w:color w:val="1A1A1A"/>
                <w:sz w:val="12"/>
                <w:szCs w:val="12"/>
              </w:rPr>
              <w:t xml:space="preserve">Definition of Done</w:t>
            </w:r>
          </w:p>
        </w:tc>
        <w:tc>
          <w:tcPr>
            <w:tcW w:type="dxa" w:w="7862"/>
            <w:tcMar>
              <w:top w:type="dxa" w:w="70"/>
              <w:left w:type="dxa" w:w="110"/>
              <w:bottom w:type="dxa" w:w="70"/>
              <w:right w:type="dxa" w:w="110"/>
            </w:tcMar>
            <w:vAlign w:val="top"/>
          </w:tcPr>
          <w:p>
            <w:r>
              <w:rPr>
                <w:b w:val="false"/>
                <w:bCs w:val="false"/>
                <w:color w:val="1A1A1A"/>
                <w:sz w:val="12"/>
                <w:szCs w:val="12"/>
              </w:rPr>
              <w:t xml:space="preserve">All acceptance criteria met; test cases passing; ADRs recorded; documentation updated; Backend Lead and Solution Architect sign-off.</w:t>
            </w:r>
          </w:p>
        </w:tc>
      </w:tr>
    </w:tbl>
    <w:p>
      <w:pPr>
        <w:spacing w:after="160"/>
      </w:pPr>
    </w:p>
    <w:p>
      <w:pPr>
        <w:pStyle w:val="Heading1"/>
        <w:pBdr>
          <w:bottom w:val="single" w:color="DAD3C0" w:sz="4" w:space="4"/>
        </w:pBdr>
        <w:spacing w:after="140" w:before="360"/>
      </w:pPr>
      <w:r>
        <w:rPr>
          <w:b/>
          <w:bCs/>
          <w:color w:val="97771F"/>
          <w:sz w:val="26"/>
          <w:szCs w:val="26"/>
        </w:rPr>
        <w:t xml:space="preserve">5.3  </w:t>
      </w:r>
      <w:r>
        <w:rPr>
          <w:b/>
          <w:bCs/>
          <w:color w:val="33363C"/>
          <w:sz w:val="26"/>
          <w:szCs w:val="26"/>
        </w:rPr>
        <w:t xml:space="preserve">WP-03 — DevSecOps Pipeline &amp; Environment Foundation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2"/>
                <w:szCs w:val="12"/>
              </w:rPr>
              <w:t xml:space="preserve">Objective</w:t>
            </w:r>
          </w:p>
        </w:tc>
        <w:tc>
          <w:tcPr>
            <w:tcW w:type="dxa" w:w="8064"/>
            <w:tcMar>
              <w:top w:type="dxa" w:w="70"/>
              <w:left w:type="dxa" w:w="110"/>
              <w:bottom w:type="dxa" w:w="70"/>
              <w:right w:type="dxa" w:w="110"/>
            </w:tcMar>
            <w:vAlign w:val="top"/>
          </w:tcPr>
          <w:p>
            <w:r>
              <w:rPr>
                <w:b w:val="false"/>
                <w:bCs w:val="false"/>
                <w:color w:val="1A1A1A"/>
                <w:sz w:val="12"/>
                <w:szCs w:val="12"/>
              </w:rPr>
              <w:t xml:space="preserve">Establish CI/CD pipelines, environment provisioning, secrets management, and baseline observability before any module code is built or deployed.</w:t>
            </w:r>
          </w:p>
        </w:tc>
      </w:tr>
      <w:tr>
        <w:tc>
          <w:tcPr>
            <w:tcW w:type="dxa" w:w="2016"/>
            <w:tcMar>
              <w:top w:type="dxa" w:w="70"/>
              <w:left w:type="dxa" w:w="110"/>
              <w:bottom w:type="dxa" w:w="70"/>
              <w:right w:type="dxa" w:w="110"/>
            </w:tcMar>
            <w:vAlign w:val="top"/>
          </w:tcPr>
          <w:p>
            <w:r>
              <w:rPr>
                <w:b/>
                <w:bCs/>
                <w:color w:val="1A1A1A"/>
                <w:sz w:val="12"/>
                <w:szCs w:val="12"/>
              </w:rPr>
              <w:t xml:space="preserve">Business Context</w:t>
            </w:r>
          </w:p>
        </w:tc>
        <w:tc>
          <w:tcPr>
            <w:tcW w:type="dxa" w:w="8064"/>
            <w:tcMar>
              <w:top w:type="dxa" w:w="70"/>
              <w:left w:type="dxa" w:w="110"/>
              <w:bottom w:type="dxa" w:w="70"/>
              <w:right w:type="dxa" w:w="110"/>
            </w:tcMar>
            <w:vAlign w:val="top"/>
          </w:tcPr>
          <w:p>
            <w:r>
              <w:rPr>
                <w:b w:val="false"/>
                <w:bCs w:val="false"/>
                <w:color w:val="1A1A1A"/>
                <w:sz w:val="12"/>
                <w:szCs w:val="12"/>
              </w:rPr>
              <w:t xml:space="preserve">A reliable pipeline and environment strategy is the precondition for every subsequent Work Package to be built, tested, and deployed consistently.</w:t>
            </w:r>
          </w:p>
        </w:tc>
      </w:tr>
      <w:tr>
        <w:tc>
          <w:tcPr>
            <w:tcW w:type="dxa" w:w="2016"/>
            <w:tcMar>
              <w:top w:type="dxa" w:w="70"/>
              <w:left w:type="dxa" w:w="110"/>
              <w:bottom w:type="dxa" w:w="70"/>
              <w:right w:type="dxa" w:w="110"/>
            </w:tcMar>
            <w:vAlign w:val="top"/>
          </w:tcPr>
          <w:p>
            <w:r>
              <w:rPr>
                <w:b/>
                <w:bCs/>
                <w:color w:val="1A1A1A"/>
                <w:sz w:val="12"/>
                <w:szCs w:val="12"/>
              </w:rPr>
              <w:t xml:space="preserve">Scope</w:t>
            </w:r>
          </w:p>
        </w:tc>
        <w:tc>
          <w:tcPr>
            <w:tcW w:type="dxa" w:w="8064"/>
            <w:tcMar>
              <w:top w:type="dxa" w:w="70"/>
              <w:left w:type="dxa" w:w="110"/>
              <w:bottom w:type="dxa" w:w="70"/>
              <w:right w:type="dxa" w:w="110"/>
            </w:tcMar>
            <w:vAlign w:val="top"/>
          </w:tcPr>
          <w:p>
            <w:r>
              <w:rPr>
                <w:b w:val="false"/>
                <w:bCs w:val="false"/>
                <w:color w:val="1A1A1A"/>
                <w:sz w:val="12"/>
                <w:szCs w:val="12"/>
              </w:rPr>
              <w:t xml:space="preserve">CI/CD pipeline configuration per PDIB Part 14; environment provisioning (dev, staging, production) per PDIB Part 13; secrets vault; baseline monitoring/alerting per PDIB Part 15; backup and DR scaffolding per DDS Part 15 and PDIB Part 16.</w:t>
            </w:r>
          </w:p>
        </w:tc>
      </w:tr>
      <w:tr>
        <w:tc>
          <w:tcPr>
            <w:tcW w:type="dxa" w:w="2016"/>
            <w:tcMar>
              <w:top w:type="dxa" w:w="70"/>
              <w:left w:type="dxa" w:w="110"/>
              <w:bottom w:type="dxa" w:w="70"/>
              <w:right w:type="dxa" w:w="110"/>
            </w:tcMar>
            <w:vAlign w:val="top"/>
          </w:tcPr>
          <w:p>
            <w:r>
              <w:rPr>
                <w:b/>
                <w:bCs/>
                <w:color w:val="1A1A1A"/>
                <w:sz w:val="12"/>
                <w:szCs w:val="12"/>
              </w:rPr>
              <w:t xml:space="preserve">Out of Scope</w:t>
            </w:r>
          </w:p>
        </w:tc>
        <w:tc>
          <w:tcPr>
            <w:tcW w:type="dxa" w:w="8064"/>
            <w:tcMar>
              <w:top w:type="dxa" w:w="70"/>
              <w:left w:type="dxa" w:w="110"/>
              <w:bottom w:type="dxa" w:w="70"/>
              <w:right w:type="dxa" w:w="110"/>
            </w:tcMar>
            <w:vAlign w:val="top"/>
          </w:tcPr>
          <w:p>
            <w:r>
              <w:rPr>
                <w:b w:val="false"/>
                <w:bCs w:val="false"/>
                <w:color w:val="1A1A1A"/>
                <w:sz w:val="12"/>
                <w:szCs w:val="12"/>
              </w:rPr>
              <w:t xml:space="preserve">Module-specific deployment configuration (delivered within each module Work Package); full hypercare monitoring dashboards (WP-24 closeout).</w:t>
            </w:r>
          </w:p>
        </w:tc>
      </w:tr>
      <w:tr>
        <w:tc>
          <w:tcPr>
            <w:tcW w:type="dxa" w:w="2016"/>
            <w:tcMar>
              <w:top w:type="dxa" w:w="70"/>
              <w:left w:type="dxa" w:w="110"/>
              <w:bottom w:type="dxa" w:w="70"/>
              <w:right w:type="dxa" w:w="110"/>
            </w:tcMar>
            <w:vAlign w:val="top"/>
          </w:tcPr>
          <w:p>
            <w:r>
              <w:rPr>
                <w:b/>
                <w:bCs/>
                <w:color w:val="1A1A1A"/>
                <w:sz w:val="12"/>
                <w:szCs w:val="12"/>
              </w:rPr>
              <w:t xml:space="preserve">Inputs</w:t>
            </w:r>
          </w:p>
        </w:tc>
        <w:tc>
          <w:tcPr>
            <w:tcW w:type="dxa" w:w="8064"/>
            <w:tcMar>
              <w:top w:type="dxa" w:w="70"/>
              <w:left w:type="dxa" w:w="110"/>
              <w:bottom w:type="dxa" w:w="70"/>
              <w:right w:type="dxa" w:w="110"/>
            </w:tcMar>
            <w:vAlign w:val="top"/>
          </w:tcPr>
          <w:p>
            <w:r>
              <w:rPr>
                <w:b w:val="false"/>
                <w:bCs w:val="false"/>
                <w:color w:val="1A1A1A"/>
                <w:sz w:val="12"/>
                <w:szCs w:val="12"/>
              </w:rPr>
              <w:t xml:space="preserve">PDIB Parts 13–17, Appendix M (Environment &amp; Release Matrix).</w:t>
            </w:r>
          </w:p>
        </w:tc>
      </w:tr>
      <w:tr>
        <w:tc>
          <w:tcPr>
            <w:tcW w:type="dxa" w:w="2016"/>
            <w:tcMar>
              <w:top w:type="dxa" w:w="70"/>
              <w:left w:type="dxa" w:w="110"/>
              <w:bottom w:type="dxa" w:w="70"/>
              <w:right w:type="dxa" w:w="110"/>
            </w:tcMar>
            <w:vAlign w:val="top"/>
          </w:tcPr>
          <w:p>
            <w:r>
              <w:rPr>
                <w:b/>
                <w:bCs/>
                <w:color w:val="1A1A1A"/>
                <w:sz w:val="12"/>
                <w:szCs w:val="12"/>
              </w:rPr>
              <w:t xml:space="preserve">Outputs</w:t>
            </w:r>
          </w:p>
        </w:tc>
        <w:tc>
          <w:tcPr>
            <w:tcW w:type="dxa" w:w="8064"/>
            <w:tcMar>
              <w:top w:type="dxa" w:w="70"/>
              <w:left w:type="dxa" w:w="110"/>
              <w:bottom w:type="dxa" w:w="70"/>
              <w:right w:type="dxa" w:w="110"/>
            </w:tcMar>
            <w:vAlign w:val="top"/>
          </w:tcPr>
          <w:p>
            <w:r>
              <w:rPr>
                <w:b w:val="false"/>
                <w:bCs w:val="false"/>
                <w:color w:val="1A1A1A"/>
                <w:sz w:val="12"/>
                <w:szCs w:val="12"/>
              </w:rPr>
              <w:t xml:space="preserve">A working CI/CD pipeline capable of building, testing, and deploying a sample service to each environment, with secrets management and baseline monitoring active.</w:t>
            </w:r>
          </w:p>
        </w:tc>
      </w:tr>
      <w:tr>
        <w:tc>
          <w:tcPr>
            <w:tcW w:type="dxa" w:w="2016"/>
            <w:tcMar>
              <w:top w:type="dxa" w:w="70"/>
              <w:left w:type="dxa" w:w="110"/>
              <w:bottom w:type="dxa" w:w="70"/>
              <w:right w:type="dxa" w:w="110"/>
            </w:tcMar>
            <w:vAlign w:val="top"/>
          </w:tcPr>
          <w:p>
            <w:r>
              <w:rPr>
                <w:b/>
                <w:bCs/>
                <w:color w:val="1A1A1A"/>
                <w:sz w:val="12"/>
                <w:szCs w:val="12"/>
              </w:rPr>
              <w:t xml:space="preserve">Dependencies</w:t>
            </w:r>
          </w:p>
        </w:tc>
        <w:tc>
          <w:tcPr>
            <w:tcW w:type="dxa" w:w="8064"/>
            <w:tcMar>
              <w:top w:type="dxa" w:w="70"/>
              <w:left w:type="dxa" w:w="110"/>
              <w:bottom w:type="dxa" w:w="70"/>
              <w:right w:type="dxa" w:w="110"/>
            </w:tcMar>
            <w:vAlign w:val="top"/>
          </w:tcPr>
          <w:p>
            <w:r>
              <w:rPr>
                <w:b w:val="false"/>
                <w:bCs w:val="false"/>
                <w:color w:val="1A1A1A"/>
                <w:sz w:val="12"/>
                <w:szCs w:val="12"/>
              </w:rPr>
              <w:t xml:space="preserve">None — runs in parallel with WP-01/WP-02. Blocks all module Work Packages' deployment activities.</w:t>
            </w:r>
          </w:p>
        </w:tc>
      </w:tr>
    </w:tbl>
    <w:p>
      <w:pPr>
        <w:spacing w:after="160"/>
      </w:pPr>
    </w:p>
    <w:p>
      <w:pPr>
        <w:spacing w:after="90" w:before="180"/>
      </w:pPr>
      <w:r>
        <w:rPr>
          <w:b/>
          <w:bCs/>
          <w:color w:val="1C1E21"/>
          <w:sz w:val="19"/>
          <w:szCs w:val="19"/>
        </w:rPr>
        <w:t xml:space="preserve">User Stories</w:t>
      </w:r>
    </w:p>
    <w:p>
      <w:pPr>
        <w:pStyle w:val="ListParagraph"/>
        <w:numPr>
          <w:ilvl w:val="0"/>
          <w:numId w:val="1"/>
        </w:numPr>
        <w:spacing w:after="90" w:line="264"/>
      </w:pPr>
      <w:r>
        <w:t xml:space="preserve">US-007: As a DevSecOps Lead, I want an automated CI/CD pipeline so that every merged change is built, tested, and deployable without manual steps.</w:t>
      </w:r>
    </w:p>
    <w:p>
      <w:pPr>
        <w:pStyle w:val="ListParagraph"/>
        <w:numPr>
          <w:ilvl w:val="0"/>
          <w:numId w:val="1"/>
        </w:numPr>
        <w:spacing w:after="90" w:line="264"/>
      </w:pPr>
      <w:r>
        <w:t xml:space="preserve">US-008: As a Security Architect, I want centralized secrets management so that credentials are never hard-coded.</w:t>
      </w:r>
    </w:p>
    <w:p>
      <w:pPr>
        <w:pStyle w:val="ListParagraph"/>
        <w:numPr>
          <w:ilvl w:val="0"/>
          <w:numId w:val="1"/>
        </w:numPr>
        <w:spacing w:after="90" w:line="264"/>
      </w:pPr>
      <w:r>
        <w:t xml:space="preserve">US-009: As an Operations Lead, I want baseline monitoring so that I can detect service degradation before users report it.</w:t>
      </w:r>
    </w:p>
    <w:p>
      <w:pPr>
        <w:spacing w:after="90" w:before="180"/>
      </w:pPr>
      <w:r>
        <w:rPr>
          <w:b/>
          <w:bCs/>
          <w:color w:val="1C1E21"/>
          <w:sz w:val="19"/>
          <w:szCs w:val="19"/>
        </w:rPr>
        <w:t xml:space="preserve">Functional Requirements</w:t>
      </w:r>
    </w:p>
    <w:p>
      <w:pPr>
        <w:pStyle w:val="ListParagraph"/>
        <w:numPr>
          <w:ilvl w:val="0"/>
          <w:numId w:val="1"/>
        </w:numPr>
        <w:spacing w:after="90" w:line="264"/>
      </w:pPr>
      <w:r>
        <w:t xml:space="preserve">FR-DEVOPS-01: Implement CI pipeline stages — build, unit test, security scan, package — per PDIB Part 14.</w:t>
      </w:r>
    </w:p>
    <w:p>
      <w:pPr>
        <w:pStyle w:val="ListParagraph"/>
        <w:numPr>
          <w:ilvl w:val="0"/>
          <w:numId w:val="1"/>
        </w:numPr>
        <w:spacing w:after="90" w:line="264"/>
      </w:pPr>
      <w:r>
        <w:t xml:space="preserve">FR-DEVOPS-02: Implement CD pipeline stages — deploy to staging, run integration tests, promote to production — per PDIB Part 14.</w:t>
      </w:r>
    </w:p>
    <w:p>
      <w:pPr>
        <w:pStyle w:val="ListParagraph"/>
        <w:numPr>
          <w:ilvl w:val="0"/>
          <w:numId w:val="1"/>
        </w:numPr>
        <w:spacing w:after="90" w:line="264"/>
      </w:pPr>
      <w:r>
        <w:t xml:space="preserve">FR-DEVOPS-03: Implement environment configuration management across dev, staging, and production per PDIB Part 13.</w:t>
      </w:r>
    </w:p>
    <w:p>
      <w:pPr>
        <w:pStyle w:val="ListParagraph"/>
        <w:numPr>
          <w:ilvl w:val="0"/>
          <w:numId w:val="1"/>
        </w:numPr>
        <w:spacing w:after="90" w:line="264"/>
      </w:pPr>
      <w:r>
        <w:t xml:space="preserve">FR-DEVOPS-04: Implement secrets vault integration for all services.</w:t>
      </w:r>
    </w:p>
    <w:p>
      <w:pPr>
        <w:spacing w:after="90" w:before="180"/>
      </w:pPr>
      <w:r>
        <w:rPr>
          <w:b/>
          <w:bCs/>
          <w:color w:val="1C1E21"/>
          <w:sz w:val="19"/>
          <w:szCs w:val="19"/>
        </w:rPr>
        <w:t xml:space="preserve">Non-Functional Requirements</w:t>
      </w:r>
    </w:p>
    <w:p>
      <w:pPr>
        <w:pStyle w:val="ListParagraph"/>
        <w:numPr>
          <w:ilvl w:val="0"/>
          <w:numId w:val="1"/>
        </w:numPr>
        <w:spacing w:after="90" w:line="264"/>
      </w:pPr>
      <w:r>
        <w:t xml:space="preserve">NFR-DEVOPS-01: Pipeline build-to-deploy cycle time within the target defined in PDIB Part 14.</w:t>
      </w:r>
    </w:p>
    <w:p>
      <w:pPr>
        <w:pStyle w:val="ListParagraph"/>
        <w:numPr>
          <w:ilvl w:val="0"/>
          <w:numId w:val="1"/>
        </w:numPr>
        <w:spacing w:after="90" w:line="264"/>
      </w:pPr>
      <w:r>
        <w:t xml:space="preserve">NFR-DEVOPS-02: Monitoring alerts fire within the SLA defined in PDIB Part 15.</w:t>
      </w:r>
    </w:p>
    <w:p>
      <w:pPr>
        <w:pStyle w:val="ListParagraph"/>
        <w:numPr>
          <w:ilvl w:val="0"/>
          <w:numId w:val="1"/>
        </w:numPr>
        <w:spacing w:after="90" w:line="264"/>
      </w:pPr>
      <w:r>
        <w:t xml:space="preserve">NFR-DEVOPS-03: Disaster recovery procedures meet the RTO/RPO targets in DDS Part 15.</w:t>
      </w:r>
    </w:p>
    <w:p>
      <w:pPr>
        <w:spacing w:after="90" w:before="180"/>
      </w:pPr>
      <w:r>
        <w:rPr>
          <w:b/>
          <w:bCs/>
          <w:color w:val="1C1E21"/>
          <w:sz w:val="19"/>
          <w:szCs w:val="19"/>
        </w:rPr>
        <w:t xml:space="preserve">Database Entities</w:t>
      </w:r>
    </w:p>
    <w:p>
      <w:pPr>
        <w:spacing w:after="150" w:line="276"/>
        <w:jc w:val="both"/>
      </w:pPr>
      <w:r>
        <w:t xml:space="preserve">None directly — infrastructure Work Package. Pipeline run and deployment logs are stored in operational tooling, not the application schema.</w:t>
      </w:r>
    </w:p>
    <w:p>
      <w:pPr>
        <w:spacing w:after="90" w:before="180"/>
      </w:pPr>
      <w:r>
        <w:rPr>
          <w:b/>
          <w:bCs/>
          <w:color w:val="1C1E21"/>
          <w:sz w:val="19"/>
          <w:szCs w:val="19"/>
        </w:rPr>
        <w:t xml:space="preserve">API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33363C" w:val="clear"/>
            <w:tcMar>
              <w:top w:type="dxa" w:w="70"/>
              <w:left w:type="dxa" w:w="110"/>
              <w:bottom w:type="dxa" w:w="70"/>
              <w:right w:type="dxa" w:w="110"/>
            </w:tcMar>
            <w:vAlign w:val="top"/>
          </w:tcPr>
          <w:p>
            <w:r>
              <w:rPr>
                <w:b/>
                <w:bCs/>
                <w:color w:val="FFFFFF"/>
                <w:sz w:val="17"/>
                <w:szCs w:val="17"/>
              </w:rPr>
              <w:t xml:space="preserve">Method / Path</w:t>
            </w:r>
          </w:p>
        </w:tc>
        <w:tc>
          <w:tcPr>
            <w:tcW w:type="dxa" w:w="5846"/>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4234"/>
            <w:tcMar>
              <w:top w:type="dxa" w:w="70"/>
              <w:left w:type="dxa" w:w="110"/>
              <w:bottom w:type="dxa" w:w="70"/>
              <w:right w:type="dxa" w:w="110"/>
            </w:tcMar>
            <w:vAlign w:val="top"/>
          </w:tcPr>
          <w:p>
            <w:r>
              <w:rPr>
                <w:b/>
                <w:bCs/>
                <w:color w:val="1A1A1A"/>
                <w:sz w:val="12"/>
                <w:szCs w:val="12"/>
              </w:rPr>
              <w:t xml:space="preserve">None</w:t>
            </w:r>
          </w:p>
        </w:tc>
        <w:tc>
          <w:tcPr>
            <w:tcW w:type="dxa" w:w="5846"/>
            <w:tcMar>
              <w:top w:type="dxa" w:w="70"/>
              <w:left w:type="dxa" w:w="110"/>
              <w:bottom w:type="dxa" w:w="70"/>
              <w:right w:type="dxa" w:w="110"/>
            </w:tcMar>
            <w:vAlign w:val="top"/>
          </w:tcPr>
          <w:p>
            <w:r>
              <w:rPr>
                <w:b w:val="false"/>
                <w:bCs w:val="false"/>
                <w:color w:val="1A1A1A"/>
                <w:sz w:val="12"/>
                <w:szCs w:val="12"/>
              </w:rPr>
              <w:t xml:space="preserve">Infrastructure Work Package — pipeline and monitoring tooling operate outside the application API surface.</w:t>
            </w:r>
          </w:p>
        </w:tc>
      </w:tr>
    </w:tbl>
    <w:p>
      <w:pPr>
        <w:spacing w:after="160"/>
      </w:pPr>
    </w:p>
    <w:p>
      <w:pPr>
        <w:spacing w:after="90" w:before="180"/>
      </w:pPr>
      <w:r>
        <w:rPr>
          <w:b/>
          <w:bCs/>
          <w:color w:val="1C1E21"/>
          <w:sz w:val="19"/>
          <w:szCs w:val="19"/>
        </w:rPr>
        <w:t xml:space="preserve">UI Screens</w:t>
      </w:r>
    </w:p>
    <w:p>
      <w:pPr>
        <w:pStyle w:val="ListParagraph"/>
        <w:numPr>
          <w:ilvl w:val="0"/>
          <w:numId w:val="1"/>
        </w:numPr>
        <w:spacing w:after="90" w:line="264"/>
      </w:pPr>
      <w:r>
        <w:t xml:space="preserve">None — pipeline dashboards are provided by DevSecOps tooling, not the application.</w:t>
      </w:r>
    </w:p>
    <w:p>
      <w:pPr>
        <w:spacing w:after="90" w:before="180"/>
      </w:pPr>
      <w:r>
        <w:rPr>
          <w:b/>
          <w:bCs/>
          <w:color w:val="1C1E21"/>
          <w:sz w:val="19"/>
          <w:szCs w:val="19"/>
        </w:rPr>
        <w:t xml:space="preserve">Security Controls</w:t>
      </w:r>
    </w:p>
    <w:p>
      <w:pPr>
        <w:pStyle w:val="ListParagraph"/>
        <w:numPr>
          <w:ilvl w:val="0"/>
          <w:numId w:val="1"/>
        </w:numPr>
        <w:spacing w:after="90" w:line="264"/>
      </w:pPr>
      <w:r>
        <w:t xml:space="preserve">Secrets never stored in source control.</w:t>
      </w:r>
    </w:p>
    <w:p>
      <w:pPr>
        <w:pStyle w:val="ListParagraph"/>
        <w:numPr>
          <w:ilvl w:val="0"/>
          <w:numId w:val="1"/>
        </w:numPr>
        <w:spacing w:after="90" w:line="264"/>
      </w:pPr>
      <w:r>
        <w:t xml:space="preserve">Pipeline security scanning gate (SAST / dependency scanning) per Handbook Chapter 15.</w:t>
      </w:r>
    </w:p>
    <w:p>
      <w:pPr>
        <w:pStyle w:val="ListParagraph"/>
        <w:numPr>
          <w:ilvl w:val="0"/>
          <w:numId w:val="1"/>
        </w:numPr>
        <w:spacing w:after="90" w:line="264"/>
      </w:pPr>
      <w:r>
        <w:t xml:space="preserve">Production deployment requires DevSecOps Lead approval.</w:t>
      </w:r>
    </w:p>
    <w:p>
      <w:pPr>
        <w:spacing w:after="90" w:before="180"/>
      </w:pPr>
      <w:r>
        <w:rPr>
          <w:b/>
          <w:bCs/>
          <w:color w:val="1C1E21"/>
          <w:sz w:val="19"/>
          <w:szCs w:val="19"/>
        </w:rPr>
        <w:t xml:space="preserve">Acceptance Criteria</w:t>
      </w:r>
    </w:p>
    <w:p>
      <w:pPr>
        <w:spacing w:after="90" w:line="264"/>
      </w:pPr>
      <w:r>
        <w:rPr>
          <w:b/>
          <w:bCs/>
          <w:color w:val="33363C"/>
        </w:rPr>
        <w:t xml:space="preserve">1. </w:t>
      </w:r>
      <w:r>
        <w:t xml:space="preserve">A sample service builds, tests, and deploys through all three environments via the pipeline.</w:t>
      </w:r>
    </w:p>
    <w:p>
      <w:pPr>
        <w:spacing w:after="90" w:line="264"/>
      </w:pPr>
      <w:r>
        <w:rPr>
          <w:b/>
          <w:bCs/>
          <w:color w:val="33363C"/>
        </w:rPr>
        <w:t xml:space="preserve">2. </w:t>
      </w:r>
      <w:r>
        <w:t xml:space="preserve">Secrets vault successfully injects credentials at runtime with no plaintext exposure.</w:t>
      </w:r>
    </w:p>
    <w:p>
      <w:pPr>
        <w:spacing w:after="90" w:line="264"/>
      </w:pPr>
      <w:r>
        <w:rPr>
          <w:b/>
          <w:bCs/>
          <w:color w:val="33363C"/>
        </w:rPr>
        <w:t xml:space="preserve">3. </w:t>
      </w:r>
      <w:r>
        <w:t xml:space="preserve">A simulated service degradation triggers a monitoring alert within SLA.</w:t>
      </w:r>
    </w:p>
    <w:p>
      <w:pPr>
        <w:spacing w:after="90" w:line="264"/>
      </w:pPr>
      <w:r>
        <w:rPr>
          <w:b/>
          <w:bCs/>
          <w:color w:val="33363C"/>
        </w:rPr>
        <w:t xml:space="preserve">4. </w:t>
      </w:r>
      <w:r>
        <w:t xml:space="preserve">A backup/restore cycle is successfully validated in the staging environment.</w:t>
      </w:r>
    </w:p>
    <w:p>
      <w:pPr>
        <w:spacing w:after="90" w:before="180"/>
      </w:pPr>
      <w:r>
        <w:rPr>
          <w:b/>
          <w:bCs/>
          <w:color w:val="1C1E21"/>
          <w:sz w:val="19"/>
          <w:szCs w:val="19"/>
        </w:rPr>
        <w:t xml:space="preserve">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613"/>
        <w:gridCol w:w="6854"/>
      </w:tblGrid>
      <w:tr>
        <w:trPr>
          <w:tblHeader/>
        </w:trPr>
        <w:tc>
          <w:tcPr>
            <w:tcW w:type="dxa" w:w="1613"/>
            <w:shd w:fill="33363C" w:val="clear"/>
            <w:tcMar>
              <w:top w:type="dxa" w:w="70"/>
              <w:left w:type="dxa" w:w="110"/>
              <w:bottom w:type="dxa" w:w="70"/>
              <w:right w:type="dxa" w:w="110"/>
            </w:tcMar>
            <w:vAlign w:val="top"/>
          </w:tcPr>
          <w:p>
            <w:r>
              <w:rPr>
                <w:b/>
                <w:bCs/>
                <w:color w:val="FFFFFF"/>
                <w:sz w:val="17"/>
                <w:szCs w:val="17"/>
              </w:rPr>
              <w:t xml:space="preserve">Test ID</w:t>
            </w:r>
          </w:p>
        </w:tc>
        <w:tc>
          <w:tcPr>
            <w:tcW w:type="dxa" w:w="1613"/>
            <w:shd w:fill="33363C" w:val="clear"/>
            <w:tcMar>
              <w:top w:type="dxa" w:w="70"/>
              <w:left w:type="dxa" w:w="110"/>
              <w:bottom w:type="dxa" w:w="70"/>
              <w:right w:type="dxa" w:w="110"/>
            </w:tcMar>
            <w:vAlign w:val="top"/>
          </w:tcPr>
          <w:p>
            <w:r>
              <w:rPr>
                <w:b/>
                <w:bCs/>
                <w:color w:val="FFFFFF"/>
                <w:sz w:val="17"/>
                <w:szCs w:val="17"/>
              </w:rPr>
              <w:t xml:space="preserve">Type</w:t>
            </w:r>
          </w:p>
        </w:tc>
        <w:tc>
          <w:tcPr>
            <w:tcW w:type="dxa" w:w="6854"/>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1613"/>
            <w:tcMar>
              <w:top w:type="dxa" w:w="70"/>
              <w:left w:type="dxa" w:w="110"/>
              <w:bottom w:type="dxa" w:w="70"/>
              <w:right w:type="dxa" w:w="110"/>
            </w:tcMar>
            <w:vAlign w:val="top"/>
          </w:tcPr>
          <w:p>
            <w:r>
              <w:rPr>
                <w:b/>
                <w:bCs/>
                <w:color w:val="1A1A1A"/>
                <w:sz w:val="12"/>
                <w:szCs w:val="12"/>
              </w:rPr>
              <w:t xml:space="preserve">IT-DEVOPS-01</w:t>
            </w:r>
          </w:p>
        </w:tc>
        <w:tc>
          <w:tcPr>
            <w:tcW w:type="dxa" w:w="1613"/>
            <w:tcMar>
              <w:top w:type="dxa" w:w="70"/>
              <w:left w:type="dxa" w:w="110"/>
              <w:bottom w:type="dxa" w:w="70"/>
              <w:right w:type="dxa" w:w="110"/>
            </w:tcMar>
            <w:vAlign w:val="top"/>
          </w:tcPr>
          <w:p>
            <w:r>
              <w:rPr>
                <w:b w:val="false"/>
                <w:bCs w:val="false"/>
                <w:color w:val="1A1A1A"/>
                <w:sz w:val="12"/>
                <w:szCs w:val="12"/>
              </w:rPr>
              <w:t xml:space="preserve">Integration</w:t>
            </w:r>
          </w:p>
        </w:tc>
        <w:tc>
          <w:tcPr>
            <w:tcW w:type="dxa" w:w="6854"/>
            <w:tcMar>
              <w:top w:type="dxa" w:w="70"/>
              <w:left w:type="dxa" w:w="110"/>
              <w:bottom w:type="dxa" w:w="70"/>
              <w:right w:type="dxa" w:w="110"/>
            </w:tcMar>
            <w:vAlign w:val="top"/>
          </w:tcPr>
          <w:p>
            <w:r>
              <w:rPr>
                <w:b w:val="false"/>
                <w:bCs w:val="false"/>
                <w:color w:val="1A1A1A"/>
                <w:sz w:val="12"/>
                <w:szCs w:val="12"/>
              </w:rPr>
              <w:t xml:space="preserve">End-to-end pipeline run from commit to production deployment.</w:t>
            </w:r>
          </w:p>
        </w:tc>
      </w:tr>
      <w:tr>
        <w:tc>
          <w:tcPr>
            <w:tcW w:type="dxa" w:w="1613"/>
            <w:tcMar>
              <w:top w:type="dxa" w:w="70"/>
              <w:left w:type="dxa" w:w="110"/>
              <w:bottom w:type="dxa" w:w="70"/>
              <w:right w:type="dxa" w:w="110"/>
            </w:tcMar>
            <w:vAlign w:val="top"/>
          </w:tcPr>
          <w:p>
            <w:r>
              <w:rPr>
                <w:b/>
                <w:bCs/>
                <w:color w:val="1A1A1A"/>
                <w:sz w:val="12"/>
                <w:szCs w:val="12"/>
              </w:rPr>
              <w:t xml:space="preserve">ST-DEVOPS-01</w:t>
            </w:r>
          </w:p>
        </w:tc>
        <w:tc>
          <w:tcPr>
            <w:tcW w:type="dxa" w:w="1613"/>
            <w:tcMar>
              <w:top w:type="dxa" w:w="70"/>
              <w:left w:type="dxa" w:w="110"/>
              <w:bottom w:type="dxa" w:w="70"/>
              <w:right w:type="dxa" w:w="110"/>
            </w:tcMar>
            <w:vAlign w:val="top"/>
          </w:tcPr>
          <w:p>
            <w:r>
              <w:rPr>
                <w:b w:val="false"/>
                <w:bCs w:val="false"/>
                <w:color w:val="1A1A1A"/>
                <w:sz w:val="12"/>
                <w:szCs w:val="12"/>
              </w:rPr>
              <w:t xml:space="preserve">Security</w:t>
            </w:r>
          </w:p>
        </w:tc>
        <w:tc>
          <w:tcPr>
            <w:tcW w:type="dxa" w:w="6854"/>
            <w:tcMar>
              <w:top w:type="dxa" w:w="70"/>
              <w:left w:type="dxa" w:w="110"/>
              <w:bottom w:type="dxa" w:w="70"/>
              <w:right w:type="dxa" w:w="110"/>
            </w:tcMar>
            <w:vAlign w:val="top"/>
          </w:tcPr>
          <w:p>
            <w:r>
              <w:rPr>
                <w:b w:val="false"/>
                <w:bCs w:val="false"/>
                <w:color w:val="1A1A1A"/>
                <w:sz w:val="12"/>
                <w:szCs w:val="12"/>
              </w:rPr>
              <w:t xml:space="preserve">Pipeline fails the build when a known-vulnerable dependency is introduced.</w:t>
            </w:r>
          </w:p>
        </w:tc>
      </w:tr>
      <w:tr>
        <w:tc>
          <w:tcPr>
            <w:tcW w:type="dxa" w:w="1613"/>
            <w:tcMar>
              <w:top w:type="dxa" w:w="70"/>
              <w:left w:type="dxa" w:w="110"/>
              <w:bottom w:type="dxa" w:w="70"/>
              <w:right w:type="dxa" w:w="110"/>
            </w:tcMar>
            <w:vAlign w:val="top"/>
          </w:tcPr>
          <w:p>
            <w:r>
              <w:rPr>
                <w:b/>
                <w:bCs/>
                <w:color w:val="1A1A1A"/>
                <w:sz w:val="12"/>
                <w:szCs w:val="12"/>
              </w:rPr>
              <w:t xml:space="preserve">PT-DEVOPS-01</w:t>
            </w:r>
          </w:p>
        </w:tc>
        <w:tc>
          <w:tcPr>
            <w:tcW w:type="dxa" w:w="1613"/>
            <w:tcMar>
              <w:top w:type="dxa" w:w="70"/>
              <w:left w:type="dxa" w:w="110"/>
              <w:bottom w:type="dxa" w:w="70"/>
              <w:right w:type="dxa" w:w="110"/>
            </w:tcMar>
            <w:vAlign w:val="top"/>
          </w:tcPr>
          <w:p>
            <w:r>
              <w:rPr>
                <w:b w:val="false"/>
                <w:bCs w:val="false"/>
                <w:color w:val="1A1A1A"/>
                <w:sz w:val="12"/>
                <w:szCs w:val="12"/>
              </w:rPr>
              <w:t xml:space="preserve">Performance</w:t>
            </w:r>
          </w:p>
        </w:tc>
        <w:tc>
          <w:tcPr>
            <w:tcW w:type="dxa" w:w="6854"/>
            <w:tcMar>
              <w:top w:type="dxa" w:w="70"/>
              <w:left w:type="dxa" w:w="110"/>
              <w:bottom w:type="dxa" w:w="70"/>
              <w:right w:type="dxa" w:w="110"/>
            </w:tcMar>
            <w:vAlign w:val="top"/>
          </w:tcPr>
          <w:p>
            <w:r>
              <w:rPr>
                <w:b w:val="false"/>
                <w:bCs w:val="false"/>
                <w:color w:val="1A1A1A"/>
                <w:sz w:val="12"/>
                <w:szCs w:val="12"/>
              </w:rPr>
              <w:t xml:space="preserve">Pipeline cycle time meets the PDIB Part 14 target.</w:t>
            </w:r>
          </w:p>
        </w:tc>
      </w:tr>
    </w:tbl>
    <w:p>
      <w:pPr>
        <w:spacing w:after="160"/>
      </w:pPr>
    </w:p>
    <w:p>
      <w:pPr>
        <w:spacing w:after="90" w:before="180"/>
      </w:pPr>
      <w:r>
        <w:rPr>
          <w:b/>
          <w:bCs/>
          <w:color w:val="1C1E21"/>
          <w:sz w:val="19"/>
          <w:szCs w:val="19"/>
        </w:rPr>
        <w:t xml:space="preserve">Documentation Updates</w:t>
      </w:r>
    </w:p>
    <w:p>
      <w:pPr>
        <w:pStyle w:val="ListParagraph"/>
        <w:numPr>
          <w:ilvl w:val="0"/>
          <w:numId w:val="1"/>
        </w:numPr>
        <w:spacing w:after="90" w:line="264"/>
      </w:pPr>
      <w:r>
        <w:t xml:space="preserve">PDIB Part 13 and Part 14 status updated to ‘Implemented’.</w:t>
      </w:r>
    </w:p>
    <w:p>
      <w:pPr>
        <w:pStyle w:val="ListParagraph"/>
        <w:numPr>
          <w:ilvl w:val="0"/>
          <w:numId w:val="1"/>
        </w:numPr>
        <w:spacing w:after="90" w:line="264"/>
      </w:pPr>
      <w:r>
        <w:t xml:space="preserve">Repository /docs/devsecops/ populated.</w:t>
      </w:r>
    </w:p>
    <w:p>
      <w:pPr>
        <w:spacing w:after="90" w:before="180"/>
      </w:pPr>
      <w:r>
        <w:rPr>
          <w:b/>
          <w:bCs/>
          <w:color w:val="1C1E21"/>
          <w:sz w:val="19"/>
          <w:szCs w:val="19"/>
        </w:rPr>
        <w:t xml:space="preserve">Related ADRs</w:t>
      </w:r>
    </w:p>
    <w:p>
      <w:pPr>
        <w:pStyle w:val="ListParagraph"/>
        <w:numPr>
          <w:ilvl w:val="0"/>
          <w:numId w:val="1"/>
        </w:numPr>
        <w:spacing w:after="90" w:line="264"/>
      </w:pPr>
      <w:r>
        <w:t xml:space="preserve">ADR-0005: CI/CD Platform Selection.</w:t>
      </w:r>
    </w:p>
    <w:p>
      <w:pPr>
        <w:pStyle w:val="ListParagraph"/>
        <w:numPr>
          <w:ilvl w:val="0"/>
          <w:numId w:val="1"/>
        </w:numPr>
        <w:spacing w:after="90" w:line="264"/>
      </w:pPr>
      <w:r>
        <w:t xml:space="preserve">ADR-0006: Secrets Management Strategy.</w:t>
      </w:r>
    </w:p>
    <w:p>
      <w:pPr>
        <w:spacing w:after="90" w:before="180"/>
      </w:pPr>
      <w:r>
        <w:rPr>
          <w:b/>
          <w:bCs/>
          <w:color w:val="1C1E21"/>
          <w:sz w:val="19"/>
          <w:szCs w:val="19"/>
        </w:rPr>
        <w:t xml:space="preserve">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435"/>
        <w:gridCol w:w="4435"/>
      </w:tblGrid>
      <w:tr>
        <w:trPr>
          <w:tblHeader/>
        </w:trPr>
        <w:tc>
          <w:tcPr>
            <w:tcW w:type="dxa" w:w="1210"/>
            <w:shd w:fill="33363C" w:val="clear"/>
            <w:tcMar>
              <w:top w:type="dxa" w:w="70"/>
              <w:left w:type="dxa" w:w="110"/>
              <w:bottom w:type="dxa" w:w="70"/>
              <w:right w:type="dxa" w:w="110"/>
            </w:tcMar>
            <w:vAlign w:val="top"/>
          </w:tcPr>
          <w:p>
            <w:r>
              <w:rPr>
                <w:b/>
                <w:bCs/>
                <w:color w:val="FFFFFF"/>
                <w:sz w:val="17"/>
                <w:szCs w:val="17"/>
              </w:rPr>
              <w:t xml:space="preserve">Risk ID</w:t>
            </w:r>
          </w:p>
        </w:tc>
        <w:tc>
          <w:tcPr>
            <w:tcW w:type="dxa" w:w="4435"/>
            <w:shd w:fill="33363C" w:val="clear"/>
            <w:tcMar>
              <w:top w:type="dxa" w:w="70"/>
              <w:left w:type="dxa" w:w="110"/>
              <w:bottom w:type="dxa" w:w="70"/>
              <w:right w:type="dxa" w:w="110"/>
            </w:tcMar>
            <w:vAlign w:val="top"/>
          </w:tcPr>
          <w:p>
            <w:r>
              <w:rPr>
                <w:b/>
                <w:bCs/>
                <w:color w:val="FFFFFF"/>
                <w:sz w:val="17"/>
                <w:szCs w:val="17"/>
              </w:rPr>
              <w:t xml:space="preserve">Description</w:t>
            </w:r>
          </w:p>
        </w:tc>
        <w:tc>
          <w:tcPr>
            <w:tcW w:type="dxa" w:w="4435"/>
            <w:shd w:fill="33363C" w:val="clear"/>
            <w:tcMar>
              <w:top w:type="dxa" w:w="70"/>
              <w:left w:type="dxa" w:w="110"/>
              <w:bottom w:type="dxa" w:w="70"/>
              <w:right w:type="dxa" w:w="110"/>
            </w:tcMar>
            <w:vAlign w:val="top"/>
          </w:tcPr>
          <w:p>
            <w:r>
              <w:rPr>
                <w:b/>
                <w:bCs/>
                <w:color w:val="FFFFFF"/>
                <w:sz w:val="17"/>
                <w:szCs w:val="17"/>
              </w:rPr>
              <w:t xml:space="preserve">Mitigation</w:t>
            </w:r>
          </w:p>
        </w:tc>
      </w:tr>
      <w:tr>
        <w:tc>
          <w:tcPr>
            <w:tcW w:type="dxa" w:w="1210"/>
            <w:tcMar>
              <w:top w:type="dxa" w:w="70"/>
              <w:left w:type="dxa" w:w="110"/>
              <w:bottom w:type="dxa" w:w="70"/>
              <w:right w:type="dxa" w:w="110"/>
            </w:tcMar>
            <w:vAlign w:val="top"/>
          </w:tcPr>
          <w:p>
            <w:r>
              <w:rPr>
                <w:b/>
                <w:bCs/>
                <w:color w:val="1A1A1A"/>
                <w:sz w:val="12"/>
                <w:szCs w:val="12"/>
              </w:rPr>
              <w:t xml:space="preserve">R-DEVOPS-01</w:t>
            </w:r>
          </w:p>
        </w:tc>
        <w:tc>
          <w:tcPr>
            <w:tcW w:type="dxa" w:w="4435"/>
            <w:tcMar>
              <w:top w:type="dxa" w:w="70"/>
              <w:left w:type="dxa" w:w="110"/>
              <w:bottom w:type="dxa" w:w="70"/>
              <w:right w:type="dxa" w:w="110"/>
            </w:tcMar>
            <w:vAlign w:val="top"/>
          </w:tcPr>
          <w:p>
            <w:r>
              <w:rPr>
                <w:b w:val="false"/>
                <w:bCs w:val="false"/>
                <w:color w:val="1A1A1A"/>
                <w:sz w:val="12"/>
                <w:szCs w:val="12"/>
              </w:rPr>
              <w:t xml:space="preserve">Environment drift between staging and production.</w:t>
            </w:r>
          </w:p>
        </w:tc>
        <w:tc>
          <w:tcPr>
            <w:tcW w:type="dxa" w:w="4435"/>
            <w:tcMar>
              <w:top w:type="dxa" w:w="70"/>
              <w:left w:type="dxa" w:w="110"/>
              <w:bottom w:type="dxa" w:w="70"/>
              <w:right w:type="dxa" w:w="110"/>
            </w:tcMar>
            <w:vAlign w:val="top"/>
          </w:tcPr>
          <w:p>
            <w:r>
              <w:rPr>
                <w:b w:val="false"/>
                <w:bCs w:val="false"/>
                <w:color w:val="1A1A1A"/>
                <w:sz w:val="12"/>
                <w:szCs w:val="12"/>
              </w:rPr>
              <w:t xml:space="preserve">Infrastructure-as-code enforcement across all environments.</w:t>
            </w:r>
          </w:p>
        </w:tc>
      </w:tr>
    </w:tbl>
    <w:p>
      <w:pPr>
        <w:spacing w:after="160"/>
      </w:pPr>
    </w:p>
    <w:p>
      <w:pPr>
        <w:spacing w:after="90" w:before="180"/>
      </w:pPr>
      <w:r>
        <w:rPr>
          <w:b/>
          <w:bCs/>
          <w:color w:val="1C1E21"/>
          <w:sz w:val="19"/>
          <w:szCs w:val="19"/>
        </w:rPr>
        <w:t xml:space="preserve">Deliverables</w:t>
      </w:r>
    </w:p>
    <w:p>
      <w:pPr>
        <w:pStyle w:val="ListParagraph"/>
        <w:numPr>
          <w:ilvl w:val="0"/>
          <w:numId w:val="1"/>
        </w:numPr>
        <w:spacing w:after="90" w:line="264"/>
      </w:pPr>
      <w:r>
        <w:t xml:space="preserve">DEL-ENG-007: CI/CD Pipeline.</w:t>
      </w:r>
    </w:p>
    <w:p>
      <w:pPr>
        <w:pStyle w:val="ListParagraph"/>
        <w:numPr>
          <w:ilvl w:val="0"/>
          <w:numId w:val="1"/>
        </w:numPr>
        <w:spacing w:after="90" w:line="264"/>
      </w:pPr>
      <w:r>
        <w:t xml:space="preserve">DEL-ENG-008: Environment Configuration.</w:t>
      </w:r>
    </w:p>
    <w:p>
      <w:pPr>
        <w:pStyle w:val="ListParagraph"/>
        <w:numPr>
          <w:ilvl w:val="0"/>
          <w:numId w:val="1"/>
        </w:numPr>
        <w:spacing w:after="90" w:line="264"/>
      </w:pPr>
      <w:r>
        <w:t xml:space="preserve">DEL-ENG-009: Secrets Vault Integration.</w:t>
      </w:r>
    </w:p>
    <w:p>
      <w:pPr>
        <w:pStyle w:val="ListParagraph"/>
        <w:numPr>
          <w:ilvl w:val="0"/>
          <w:numId w:val="1"/>
        </w:numPr>
        <w:spacing w:after="90" w:line="264"/>
      </w:pPr>
      <w:r>
        <w:t xml:space="preserve">DEL-ENG-010: Baseline Monitoring Configuration.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Gate</w:t>
            </w:r>
          </w:p>
        </w:tc>
        <w:tc>
          <w:tcPr>
            <w:tcW w:type="dxa" w:w="7862"/>
            <w:shd w:fill="33363C" w:val="clear"/>
            <w:tcMar>
              <w:top w:type="dxa" w:w="70"/>
              <w:left w:type="dxa" w:w="110"/>
              <w:bottom w:type="dxa" w:w="70"/>
              <w:right w:type="dxa" w:w="110"/>
            </w:tcMar>
            <w:vAlign w:val="top"/>
          </w:tcPr>
          <w:p>
            <w:r>
              <w:rPr>
                <w:b/>
                <w:bCs/>
                <w:color w:val="FFFFFF"/>
                <w:sz w:val="17"/>
                <w:szCs w:val="17"/>
              </w:rPr>
              <w:t xml:space="preserve">Criteria</w:t>
            </w:r>
          </w:p>
        </w:tc>
      </w:tr>
      <w:tr>
        <w:tc>
          <w:tcPr>
            <w:tcW w:type="dxa" w:w="2218"/>
            <w:tcMar>
              <w:top w:type="dxa" w:w="70"/>
              <w:left w:type="dxa" w:w="110"/>
              <w:bottom w:type="dxa" w:w="70"/>
              <w:right w:type="dxa" w:w="110"/>
            </w:tcMar>
            <w:vAlign w:val="top"/>
          </w:tcPr>
          <w:p>
            <w:r>
              <w:rPr>
                <w:b/>
                <w:bCs/>
                <w:color w:val="1A1A1A"/>
                <w:sz w:val="12"/>
                <w:szCs w:val="12"/>
              </w:rPr>
              <w:t xml:space="preserve">Definition of Ready</w:t>
            </w:r>
          </w:p>
        </w:tc>
        <w:tc>
          <w:tcPr>
            <w:tcW w:type="dxa" w:w="7862"/>
            <w:tcMar>
              <w:top w:type="dxa" w:w="70"/>
              <w:left w:type="dxa" w:w="110"/>
              <w:bottom w:type="dxa" w:w="70"/>
              <w:right w:type="dxa" w:w="110"/>
            </w:tcMar>
            <w:vAlign w:val="top"/>
          </w:tcPr>
          <w:p>
            <w:r>
              <w:rPr>
                <w:b w:val="false"/>
                <w:bCs w:val="false"/>
                <w:color w:val="1A1A1A"/>
                <w:sz w:val="12"/>
                <w:szCs w:val="12"/>
              </w:rPr>
              <w:t xml:space="preserve">PDIB Parts 13–17 approved; target cloud/hosting platform selected.</w:t>
            </w:r>
          </w:p>
        </w:tc>
      </w:tr>
      <w:tr>
        <w:tc>
          <w:tcPr>
            <w:tcW w:type="dxa" w:w="2218"/>
            <w:tcMar>
              <w:top w:type="dxa" w:w="70"/>
              <w:left w:type="dxa" w:w="110"/>
              <w:bottom w:type="dxa" w:w="70"/>
              <w:right w:type="dxa" w:w="110"/>
            </w:tcMar>
            <w:vAlign w:val="top"/>
          </w:tcPr>
          <w:p>
            <w:r>
              <w:rPr>
                <w:b/>
                <w:bCs/>
                <w:color w:val="1A1A1A"/>
                <w:sz w:val="12"/>
                <w:szCs w:val="12"/>
              </w:rPr>
              <w:t xml:space="preserve">Definition of Done</w:t>
            </w:r>
          </w:p>
        </w:tc>
        <w:tc>
          <w:tcPr>
            <w:tcW w:type="dxa" w:w="7862"/>
            <w:tcMar>
              <w:top w:type="dxa" w:w="70"/>
              <w:left w:type="dxa" w:w="110"/>
              <w:bottom w:type="dxa" w:w="70"/>
              <w:right w:type="dxa" w:w="110"/>
            </w:tcMar>
            <w:vAlign w:val="top"/>
          </w:tcPr>
          <w:p>
            <w:r>
              <w:rPr>
                <w:b w:val="false"/>
                <w:bCs w:val="false"/>
                <w:color w:val="1A1A1A"/>
                <w:sz w:val="12"/>
                <w:szCs w:val="12"/>
              </w:rPr>
              <w:t xml:space="preserve">All acceptance criteria met; test cases passing; ADRs recorded; documentation updated; DevSecOps Lead and Security Architect sign-off.</w:t>
            </w:r>
          </w:p>
        </w:tc>
      </w:tr>
    </w:tbl>
    <w:p>
      <w:pPr>
        <w:spacing w:after="160"/>
      </w:pPr>
    </w:p>
    <w:p>
      <w:pPr>
        <w:pStyle w:val="Heading1"/>
        <w:pBdr>
          <w:bottom w:val="single" w:color="DAD3C0" w:sz="4" w:space="4"/>
        </w:pBdr>
        <w:spacing w:after="140" w:before="360"/>
      </w:pPr>
      <w:r>
        <w:rPr>
          <w:b/>
          <w:bCs/>
          <w:color w:val="97771F"/>
          <w:sz w:val="26"/>
          <w:szCs w:val="26"/>
        </w:rPr>
        <w:t xml:space="preserve">5.4  </w:t>
      </w:r>
      <w:r>
        <w:rPr>
          <w:b/>
          <w:bCs/>
          <w:color w:val="33363C"/>
          <w:sz w:val="26"/>
          <w:szCs w:val="26"/>
        </w:rPr>
        <w:t xml:space="preserve">WP-04 — Administration &amp; User Management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2"/>
                <w:szCs w:val="12"/>
              </w:rPr>
              <w:t xml:space="preserve">Objective</w:t>
            </w:r>
          </w:p>
        </w:tc>
        <w:tc>
          <w:tcPr>
            <w:tcW w:type="dxa" w:w="8064"/>
            <w:tcMar>
              <w:top w:type="dxa" w:w="70"/>
              <w:left w:type="dxa" w:w="110"/>
              <w:bottom w:type="dxa" w:w="70"/>
              <w:right w:type="dxa" w:w="110"/>
            </w:tcMar>
            <w:vAlign w:val="top"/>
          </w:tcPr>
          <w:p>
            <w:r>
              <w:rPr>
                <w:b w:val="false"/>
                <w:bCs w:val="false"/>
                <w:color w:val="1A1A1A"/>
                <w:sz w:val="12"/>
                <w:szCs w:val="12"/>
              </w:rPr>
              <w:t xml:space="preserve">Deliver the Administration module — user provisioning, organizational structure management, system configuration — as the first module-level Work Package, enabling all subsequent modules to operate against real users and organizational data.</w:t>
            </w:r>
          </w:p>
        </w:tc>
      </w:tr>
      <w:tr>
        <w:tc>
          <w:tcPr>
            <w:tcW w:type="dxa" w:w="2016"/>
            <w:tcMar>
              <w:top w:type="dxa" w:w="70"/>
              <w:left w:type="dxa" w:w="110"/>
              <w:bottom w:type="dxa" w:w="70"/>
              <w:right w:type="dxa" w:w="110"/>
            </w:tcMar>
            <w:vAlign w:val="top"/>
          </w:tcPr>
          <w:p>
            <w:r>
              <w:rPr>
                <w:b/>
                <w:bCs/>
                <w:color w:val="1A1A1A"/>
                <w:sz w:val="12"/>
                <w:szCs w:val="12"/>
              </w:rPr>
              <w:t xml:space="preserve">Business Context</w:t>
            </w:r>
          </w:p>
        </w:tc>
        <w:tc>
          <w:tcPr>
            <w:tcW w:type="dxa" w:w="8064"/>
            <w:tcMar>
              <w:top w:type="dxa" w:w="70"/>
              <w:left w:type="dxa" w:w="110"/>
              <w:bottom w:type="dxa" w:w="70"/>
              <w:right w:type="dxa" w:w="110"/>
            </w:tcMar>
            <w:vAlign w:val="top"/>
          </w:tcPr>
          <w:p>
            <w:r>
              <w:rPr>
                <w:b w:val="false"/>
                <w:bCs w:val="false"/>
                <w:color w:val="1A1A1A"/>
                <w:sz w:val="12"/>
                <w:szCs w:val="12"/>
              </w:rPr>
              <w:t xml:space="preserve">Every module requires authenticated users and organizational context (zones, roles). Administration must exist before meaningful module-level testing can occur.</w:t>
            </w:r>
          </w:p>
        </w:tc>
      </w:tr>
      <w:tr>
        <w:tc>
          <w:tcPr>
            <w:tcW w:type="dxa" w:w="2016"/>
            <w:tcMar>
              <w:top w:type="dxa" w:w="70"/>
              <w:left w:type="dxa" w:w="110"/>
              <w:bottom w:type="dxa" w:w="70"/>
              <w:right w:type="dxa" w:w="110"/>
            </w:tcMar>
            <w:vAlign w:val="top"/>
          </w:tcPr>
          <w:p>
            <w:r>
              <w:rPr>
                <w:b/>
                <w:bCs/>
                <w:color w:val="1A1A1A"/>
                <w:sz w:val="12"/>
                <w:szCs w:val="12"/>
              </w:rPr>
              <w:t xml:space="preserve">Scope</w:t>
            </w:r>
          </w:p>
        </w:tc>
        <w:tc>
          <w:tcPr>
            <w:tcW w:type="dxa" w:w="8064"/>
            <w:tcMar>
              <w:top w:type="dxa" w:w="70"/>
              <w:left w:type="dxa" w:w="110"/>
              <w:bottom w:type="dxa" w:w="70"/>
              <w:right w:type="dxa" w:w="110"/>
            </w:tcMar>
            <w:vAlign w:val="top"/>
          </w:tcPr>
          <w:p>
            <w:r>
              <w:rPr>
                <w:b w:val="false"/>
                <w:bCs w:val="false"/>
                <w:color w:val="1A1A1A"/>
                <w:sz w:val="12"/>
                <w:szCs w:val="12"/>
              </w:rPr>
              <w:t xml:space="preserve">User provisioning and lifecycle; organizational unit management; system configuration store; feature toggle framework; per SRS Part 10.</w:t>
            </w:r>
          </w:p>
        </w:tc>
      </w:tr>
      <w:tr>
        <w:tc>
          <w:tcPr>
            <w:tcW w:type="dxa" w:w="2016"/>
            <w:tcMar>
              <w:top w:type="dxa" w:w="70"/>
              <w:left w:type="dxa" w:w="110"/>
              <w:bottom w:type="dxa" w:w="70"/>
              <w:right w:type="dxa" w:w="110"/>
            </w:tcMar>
            <w:vAlign w:val="top"/>
          </w:tcPr>
          <w:p>
            <w:r>
              <w:rPr>
                <w:b/>
                <w:bCs/>
                <w:color w:val="1A1A1A"/>
                <w:sz w:val="12"/>
                <w:szCs w:val="12"/>
              </w:rPr>
              <w:t xml:space="preserve">Out of Scope</w:t>
            </w:r>
          </w:p>
        </w:tc>
        <w:tc>
          <w:tcPr>
            <w:tcW w:type="dxa" w:w="8064"/>
            <w:tcMar>
              <w:top w:type="dxa" w:w="70"/>
              <w:left w:type="dxa" w:w="110"/>
              <w:bottom w:type="dxa" w:w="70"/>
              <w:right w:type="dxa" w:w="110"/>
            </w:tcMar>
            <w:vAlign w:val="top"/>
          </w:tcPr>
          <w:p>
            <w:r>
              <w:rPr>
                <w:b w:val="false"/>
                <w:bCs w:val="false"/>
                <w:color w:val="1A1A1A"/>
                <w:sz w:val="12"/>
                <w:szCs w:val="12"/>
              </w:rPr>
              <w:t xml:space="preserve">Role/permission definition logic itself (delivered in WP-05); training records (WP-19).</w:t>
            </w:r>
          </w:p>
        </w:tc>
      </w:tr>
      <w:tr>
        <w:tc>
          <w:tcPr>
            <w:tcW w:type="dxa" w:w="2016"/>
            <w:tcMar>
              <w:top w:type="dxa" w:w="70"/>
              <w:left w:type="dxa" w:w="110"/>
              <w:bottom w:type="dxa" w:w="70"/>
              <w:right w:type="dxa" w:w="110"/>
            </w:tcMar>
            <w:vAlign w:val="top"/>
          </w:tcPr>
          <w:p>
            <w:r>
              <w:rPr>
                <w:b/>
                <w:bCs/>
                <w:color w:val="1A1A1A"/>
                <w:sz w:val="12"/>
                <w:szCs w:val="12"/>
              </w:rPr>
              <w:t xml:space="preserve">Inputs</w:t>
            </w:r>
          </w:p>
        </w:tc>
        <w:tc>
          <w:tcPr>
            <w:tcW w:type="dxa" w:w="8064"/>
            <w:tcMar>
              <w:top w:type="dxa" w:w="70"/>
              <w:left w:type="dxa" w:w="110"/>
              <w:bottom w:type="dxa" w:w="70"/>
              <w:right w:type="dxa" w:w="110"/>
            </w:tcMar>
            <w:vAlign w:val="top"/>
          </w:tcPr>
          <w:p>
            <w:r>
              <w:rPr>
                <w:b w:val="false"/>
                <w:bCs w:val="false"/>
                <w:color w:val="1A1A1A"/>
                <w:sz w:val="12"/>
                <w:szCs w:val="12"/>
              </w:rPr>
              <w:t xml:space="preserve">SRS Part 10; DDS entities from WP-01; API scaffolding from WP-02.</w:t>
            </w:r>
          </w:p>
        </w:tc>
      </w:tr>
      <w:tr>
        <w:tc>
          <w:tcPr>
            <w:tcW w:type="dxa" w:w="2016"/>
            <w:tcMar>
              <w:top w:type="dxa" w:w="70"/>
              <w:left w:type="dxa" w:w="110"/>
              <w:bottom w:type="dxa" w:w="70"/>
              <w:right w:type="dxa" w:w="110"/>
            </w:tcMar>
            <w:vAlign w:val="top"/>
          </w:tcPr>
          <w:p>
            <w:r>
              <w:rPr>
                <w:b/>
                <w:bCs/>
                <w:color w:val="1A1A1A"/>
                <w:sz w:val="12"/>
                <w:szCs w:val="12"/>
              </w:rPr>
              <w:t xml:space="preserve">Outputs</w:t>
            </w:r>
          </w:p>
        </w:tc>
        <w:tc>
          <w:tcPr>
            <w:tcW w:type="dxa" w:w="8064"/>
            <w:tcMar>
              <w:top w:type="dxa" w:w="70"/>
              <w:left w:type="dxa" w:w="110"/>
              <w:bottom w:type="dxa" w:w="70"/>
              <w:right w:type="dxa" w:w="110"/>
            </w:tcMar>
            <w:vAlign w:val="top"/>
          </w:tcPr>
          <w:p>
            <w:r>
              <w:rPr>
                <w:b w:val="false"/>
                <w:bCs w:val="false"/>
                <w:color w:val="1A1A1A"/>
                <w:sz w:val="12"/>
                <w:szCs w:val="12"/>
              </w:rPr>
              <w:t xml:space="preserve">A functioning Administration module allowing user and organizational data to be created and managed.</w:t>
            </w:r>
          </w:p>
        </w:tc>
      </w:tr>
      <w:tr>
        <w:tc>
          <w:tcPr>
            <w:tcW w:type="dxa" w:w="2016"/>
            <w:tcMar>
              <w:top w:type="dxa" w:w="70"/>
              <w:left w:type="dxa" w:w="110"/>
              <w:bottom w:type="dxa" w:w="70"/>
              <w:right w:type="dxa" w:w="110"/>
            </w:tcMar>
            <w:vAlign w:val="top"/>
          </w:tcPr>
          <w:p>
            <w:r>
              <w:rPr>
                <w:b/>
                <w:bCs/>
                <w:color w:val="1A1A1A"/>
                <w:sz w:val="12"/>
                <w:szCs w:val="12"/>
              </w:rPr>
              <w:t xml:space="preserve">Dependencies</w:t>
            </w:r>
          </w:p>
        </w:tc>
        <w:tc>
          <w:tcPr>
            <w:tcW w:type="dxa" w:w="8064"/>
            <w:tcMar>
              <w:top w:type="dxa" w:w="70"/>
              <w:left w:type="dxa" w:w="110"/>
              <w:bottom w:type="dxa" w:w="70"/>
              <w:right w:type="dxa" w:w="110"/>
            </w:tcMar>
            <w:vAlign w:val="top"/>
          </w:tcPr>
          <w:p>
            <w:r>
              <w:rPr>
                <w:b w:val="false"/>
                <w:bCs w:val="false"/>
                <w:color w:val="1A1A1A"/>
                <w:sz w:val="12"/>
                <w:szCs w:val="12"/>
              </w:rPr>
              <w:t xml:space="preserve">WP-01 (database), WP-02 (API), WP-03 (deployment). Blocks WP-05 and all subsequent module Work Packages requiring authenticated users.</w:t>
            </w:r>
          </w:p>
        </w:tc>
      </w:tr>
    </w:tbl>
    <w:p>
      <w:pPr>
        <w:spacing w:after="160"/>
      </w:pPr>
    </w:p>
    <w:p>
      <w:pPr>
        <w:spacing w:after="90" w:before="180"/>
      </w:pPr>
      <w:r>
        <w:rPr>
          <w:b/>
          <w:bCs/>
          <w:color w:val="1C1E21"/>
          <w:sz w:val="19"/>
          <w:szCs w:val="19"/>
        </w:rPr>
        <w:t xml:space="preserve">User Stories</w:t>
      </w:r>
    </w:p>
    <w:p>
      <w:pPr>
        <w:pStyle w:val="ListParagraph"/>
        <w:numPr>
          <w:ilvl w:val="0"/>
          <w:numId w:val="1"/>
        </w:numPr>
        <w:spacing w:after="90" w:line="264"/>
      </w:pPr>
      <w:r>
        <w:t xml:space="preserve">US-010: As a Super Administrator, I want to provision new users so that staff can access the platform.</w:t>
      </w:r>
    </w:p>
    <w:p>
      <w:pPr>
        <w:pStyle w:val="ListParagraph"/>
        <w:numPr>
          <w:ilvl w:val="0"/>
          <w:numId w:val="1"/>
        </w:numPr>
        <w:spacing w:after="90" w:line="264"/>
      </w:pPr>
      <w:r>
        <w:t xml:space="preserve">US-011: As a Super Administrator, I want to manage organizational units (zones) so that data can be scoped correctly.</w:t>
      </w:r>
    </w:p>
    <w:p>
      <w:pPr>
        <w:pStyle w:val="ListParagraph"/>
        <w:numPr>
          <w:ilvl w:val="0"/>
          <w:numId w:val="1"/>
        </w:numPr>
        <w:spacing w:after="90" w:line="264"/>
      </w:pPr>
      <w:r>
        <w:t xml:space="preserve">US-012: As a Programme Manager, I want to configure system settings so that the platform reflects programme-specific parameters.</w:t>
      </w:r>
    </w:p>
    <w:p>
      <w:pPr>
        <w:spacing w:after="90" w:before="180"/>
      </w:pPr>
      <w:r>
        <w:rPr>
          <w:b/>
          <w:bCs/>
          <w:color w:val="1C1E21"/>
          <w:sz w:val="19"/>
          <w:szCs w:val="19"/>
        </w:rPr>
        <w:t xml:space="preserve">Functional Requirements</w:t>
      </w:r>
    </w:p>
    <w:p>
      <w:pPr>
        <w:pStyle w:val="ListParagraph"/>
        <w:numPr>
          <w:ilvl w:val="0"/>
          <w:numId w:val="1"/>
        </w:numPr>
        <w:spacing w:after="90" w:line="264"/>
      </w:pPr>
      <w:r>
        <w:t xml:space="preserve">FR-ADM-01: Implement user CRUD and lifecycle states (active, suspended, deactivated) per SRS Part 10.</w:t>
      </w:r>
    </w:p>
    <w:p>
      <w:pPr>
        <w:pStyle w:val="ListParagraph"/>
        <w:numPr>
          <w:ilvl w:val="0"/>
          <w:numId w:val="1"/>
        </w:numPr>
        <w:spacing w:after="90" w:line="264"/>
      </w:pPr>
      <w:r>
        <w:t xml:space="preserve">FR-ADM-02: Implement organizational unit hierarchy management.</w:t>
      </w:r>
    </w:p>
    <w:p>
      <w:pPr>
        <w:pStyle w:val="ListParagraph"/>
        <w:numPr>
          <w:ilvl w:val="0"/>
          <w:numId w:val="1"/>
        </w:numPr>
        <w:spacing w:after="90" w:line="264"/>
      </w:pPr>
      <w:r>
        <w:t xml:space="preserve">FR-ADM-03: Implement system configuration store with audit history.</w:t>
      </w:r>
    </w:p>
    <w:p>
      <w:pPr>
        <w:pStyle w:val="ListParagraph"/>
        <w:numPr>
          <w:ilvl w:val="0"/>
          <w:numId w:val="1"/>
        </w:numPr>
        <w:spacing w:after="90" w:line="264"/>
      </w:pPr>
      <w:r>
        <w:t xml:space="preserve">FR-ADM-04: Implement feature toggle framework.</w:t>
      </w:r>
    </w:p>
    <w:p>
      <w:pPr>
        <w:spacing w:after="90" w:before="180"/>
      </w:pPr>
      <w:r>
        <w:rPr>
          <w:b/>
          <w:bCs/>
          <w:color w:val="1C1E21"/>
          <w:sz w:val="19"/>
          <w:szCs w:val="19"/>
        </w:rPr>
        <w:t xml:space="preserve">Non-Functional Requirements</w:t>
      </w:r>
    </w:p>
    <w:p>
      <w:pPr>
        <w:pStyle w:val="ListParagraph"/>
        <w:numPr>
          <w:ilvl w:val="0"/>
          <w:numId w:val="1"/>
        </w:numPr>
        <w:spacing w:after="90" w:line="264"/>
      </w:pPr>
      <w:r>
        <w:t xml:space="preserve">NFR-ADM-01: User provisioning actions complete within the response time defined in SRS Part 33.</w:t>
      </w:r>
    </w:p>
    <w:p>
      <w:pPr>
        <w:pStyle w:val="ListParagraph"/>
        <w:numPr>
          <w:ilvl w:val="0"/>
          <w:numId w:val="1"/>
        </w:numPr>
        <w:spacing w:after="90" w:line="264"/>
      </w:pPr>
      <w:r>
        <w:t xml:space="preserve">NFR-ADM-02: All configuration changes are audited and attributable to a user.</w:t>
      </w:r>
    </w:p>
    <w:p>
      <w:pPr>
        <w:spacing w:after="90" w:before="180"/>
      </w:pPr>
      <w:r>
        <w:rPr>
          <w:b/>
          <w:bCs/>
          <w:color w:val="1C1E21"/>
          <w:sz w:val="19"/>
          <w:szCs w:val="19"/>
        </w:rPr>
        <w:t xml:space="preserve">Database Entities</w:t>
      </w:r>
    </w:p>
    <w:p>
      <w:pPr>
        <w:spacing w:after="150" w:line="276"/>
        <w:jc w:val="both"/>
      </w:pPr>
      <w:r>
        <w:t xml:space="preserve">users, organizational_units, system_configuration (DDS Part 3).</w:t>
      </w:r>
    </w:p>
    <w:p>
      <w:pPr>
        <w:spacing w:after="90" w:before="180"/>
      </w:pPr>
      <w:r>
        <w:rPr>
          <w:b/>
          <w:bCs/>
          <w:color w:val="1C1E21"/>
          <w:sz w:val="19"/>
          <w:szCs w:val="19"/>
        </w:rPr>
        <w:t xml:space="preserve">API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33363C" w:val="clear"/>
            <w:tcMar>
              <w:top w:type="dxa" w:w="70"/>
              <w:left w:type="dxa" w:w="110"/>
              <w:bottom w:type="dxa" w:w="70"/>
              <w:right w:type="dxa" w:w="110"/>
            </w:tcMar>
            <w:vAlign w:val="top"/>
          </w:tcPr>
          <w:p>
            <w:r>
              <w:rPr>
                <w:b/>
                <w:bCs/>
                <w:color w:val="FFFFFF"/>
                <w:sz w:val="17"/>
                <w:szCs w:val="17"/>
              </w:rPr>
              <w:t xml:space="preserve">Method / Path</w:t>
            </w:r>
          </w:p>
        </w:tc>
        <w:tc>
          <w:tcPr>
            <w:tcW w:type="dxa" w:w="5846"/>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4234"/>
            <w:tcMar>
              <w:top w:type="dxa" w:w="70"/>
              <w:left w:type="dxa" w:w="110"/>
              <w:bottom w:type="dxa" w:w="70"/>
              <w:right w:type="dxa" w:w="110"/>
            </w:tcMar>
            <w:vAlign w:val="top"/>
          </w:tcPr>
          <w:p>
            <w:r>
              <w:rPr>
                <w:b/>
                <w:bCs/>
                <w:color w:val="1A1A1A"/>
                <w:sz w:val="12"/>
                <w:szCs w:val="12"/>
              </w:rPr>
              <w:t xml:space="preserve">POST /api/v1/admin/users</w:t>
            </w:r>
          </w:p>
        </w:tc>
        <w:tc>
          <w:tcPr>
            <w:tcW w:type="dxa" w:w="5846"/>
            <w:tcMar>
              <w:top w:type="dxa" w:w="70"/>
              <w:left w:type="dxa" w:w="110"/>
              <w:bottom w:type="dxa" w:w="70"/>
              <w:right w:type="dxa" w:w="110"/>
            </w:tcMar>
            <w:vAlign w:val="top"/>
          </w:tcPr>
          <w:p>
            <w:r>
              <w:rPr>
                <w:b w:val="false"/>
                <w:bCs w:val="false"/>
                <w:color w:val="1A1A1A"/>
                <w:sz w:val="12"/>
                <w:szCs w:val="12"/>
              </w:rPr>
              <w:t xml:space="preserve">Create a new user.</w:t>
            </w:r>
          </w:p>
        </w:tc>
      </w:tr>
      <w:tr>
        <w:tc>
          <w:tcPr>
            <w:tcW w:type="dxa" w:w="4234"/>
            <w:tcMar>
              <w:top w:type="dxa" w:w="70"/>
              <w:left w:type="dxa" w:w="110"/>
              <w:bottom w:type="dxa" w:w="70"/>
              <w:right w:type="dxa" w:w="110"/>
            </w:tcMar>
            <w:vAlign w:val="top"/>
          </w:tcPr>
          <w:p>
            <w:r>
              <w:rPr>
                <w:b/>
                <w:bCs/>
                <w:color w:val="1A1A1A"/>
                <w:sz w:val="12"/>
                <w:szCs w:val="12"/>
              </w:rPr>
              <w:t xml:space="preserve">GET /api/v1/admin/users/{id}</w:t>
            </w:r>
          </w:p>
        </w:tc>
        <w:tc>
          <w:tcPr>
            <w:tcW w:type="dxa" w:w="5846"/>
            <w:tcMar>
              <w:top w:type="dxa" w:w="70"/>
              <w:left w:type="dxa" w:w="110"/>
              <w:bottom w:type="dxa" w:w="70"/>
              <w:right w:type="dxa" w:w="110"/>
            </w:tcMar>
            <w:vAlign w:val="top"/>
          </w:tcPr>
          <w:p>
            <w:r>
              <w:rPr>
                <w:b w:val="false"/>
                <w:bCs w:val="false"/>
                <w:color w:val="1A1A1A"/>
                <w:sz w:val="12"/>
                <w:szCs w:val="12"/>
              </w:rPr>
              <w:t xml:space="preserve">Retrieve a user record.</w:t>
            </w:r>
          </w:p>
        </w:tc>
      </w:tr>
      <w:tr>
        <w:tc>
          <w:tcPr>
            <w:tcW w:type="dxa" w:w="4234"/>
            <w:tcMar>
              <w:top w:type="dxa" w:w="70"/>
              <w:left w:type="dxa" w:w="110"/>
              <w:bottom w:type="dxa" w:w="70"/>
              <w:right w:type="dxa" w:w="110"/>
            </w:tcMar>
            <w:vAlign w:val="top"/>
          </w:tcPr>
          <w:p>
            <w:r>
              <w:rPr>
                <w:b/>
                <w:bCs/>
                <w:color w:val="1A1A1A"/>
                <w:sz w:val="12"/>
                <w:szCs w:val="12"/>
              </w:rPr>
              <w:t xml:space="preserve">PATCH /api/v1/admin/users/{id}</w:t>
            </w:r>
          </w:p>
        </w:tc>
        <w:tc>
          <w:tcPr>
            <w:tcW w:type="dxa" w:w="5846"/>
            <w:tcMar>
              <w:top w:type="dxa" w:w="70"/>
              <w:left w:type="dxa" w:w="110"/>
              <w:bottom w:type="dxa" w:w="70"/>
              <w:right w:type="dxa" w:w="110"/>
            </w:tcMar>
            <w:vAlign w:val="top"/>
          </w:tcPr>
          <w:p>
            <w:r>
              <w:rPr>
                <w:b w:val="false"/>
                <w:bCs w:val="false"/>
                <w:color w:val="1A1A1A"/>
                <w:sz w:val="12"/>
                <w:szCs w:val="12"/>
              </w:rPr>
              <w:t xml:space="preserve">Update a user's status or attributes.</w:t>
            </w:r>
          </w:p>
        </w:tc>
      </w:tr>
      <w:tr>
        <w:tc>
          <w:tcPr>
            <w:tcW w:type="dxa" w:w="4234"/>
            <w:tcMar>
              <w:top w:type="dxa" w:w="70"/>
              <w:left w:type="dxa" w:w="110"/>
              <w:bottom w:type="dxa" w:w="70"/>
              <w:right w:type="dxa" w:w="110"/>
            </w:tcMar>
            <w:vAlign w:val="top"/>
          </w:tcPr>
          <w:p>
            <w:r>
              <w:rPr>
                <w:b/>
                <w:bCs/>
                <w:color w:val="1A1A1A"/>
                <w:sz w:val="12"/>
                <w:szCs w:val="12"/>
              </w:rPr>
              <w:t xml:space="preserve">GET /api/v1/admin/config</w:t>
            </w:r>
          </w:p>
        </w:tc>
        <w:tc>
          <w:tcPr>
            <w:tcW w:type="dxa" w:w="5846"/>
            <w:tcMar>
              <w:top w:type="dxa" w:w="70"/>
              <w:left w:type="dxa" w:w="110"/>
              <w:bottom w:type="dxa" w:w="70"/>
              <w:right w:type="dxa" w:w="110"/>
            </w:tcMar>
            <w:vAlign w:val="top"/>
          </w:tcPr>
          <w:p>
            <w:r>
              <w:rPr>
                <w:b w:val="false"/>
                <w:bCs w:val="false"/>
                <w:color w:val="1A1A1A"/>
                <w:sz w:val="12"/>
                <w:szCs w:val="12"/>
              </w:rPr>
              <w:t xml:space="preserve">Retrieve system configuration.</w:t>
            </w:r>
          </w:p>
        </w:tc>
      </w:tr>
      <w:tr>
        <w:tc>
          <w:tcPr>
            <w:tcW w:type="dxa" w:w="4234"/>
            <w:tcMar>
              <w:top w:type="dxa" w:w="70"/>
              <w:left w:type="dxa" w:w="110"/>
              <w:bottom w:type="dxa" w:w="70"/>
              <w:right w:type="dxa" w:w="110"/>
            </w:tcMar>
            <w:vAlign w:val="top"/>
          </w:tcPr>
          <w:p>
            <w:r>
              <w:rPr>
                <w:b/>
                <w:bCs/>
                <w:color w:val="1A1A1A"/>
                <w:sz w:val="12"/>
                <w:szCs w:val="12"/>
              </w:rPr>
              <w:t xml:space="preserve">PATCH /api/v1/admin/config</w:t>
            </w:r>
          </w:p>
        </w:tc>
        <w:tc>
          <w:tcPr>
            <w:tcW w:type="dxa" w:w="5846"/>
            <w:tcMar>
              <w:top w:type="dxa" w:w="70"/>
              <w:left w:type="dxa" w:w="110"/>
              <w:bottom w:type="dxa" w:w="70"/>
              <w:right w:type="dxa" w:w="110"/>
            </w:tcMar>
            <w:vAlign w:val="top"/>
          </w:tcPr>
          <w:p>
            <w:r>
              <w:rPr>
                <w:b w:val="false"/>
                <w:bCs w:val="false"/>
                <w:color w:val="1A1A1A"/>
                <w:sz w:val="12"/>
                <w:szCs w:val="12"/>
              </w:rPr>
              <w:t xml:space="preserve">Update system configuration.</w:t>
            </w:r>
          </w:p>
        </w:tc>
      </w:tr>
    </w:tbl>
    <w:p>
      <w:pPr>
        <w:spacing w:after="160"/>
      </w:pPr>
    </w:p>
    <w:p>
      <w:pPr>
        <w:spacing w:after="90" w:before="180"/>
      </w:pPr>
      <w:r>
        <w:rPr>
          <w:b/>
          <w:bCs/>
          <w:color w:val="1C1E21"/>
          <w:sz w:val="19"/>
          <w:szCs w:val="19"/>
        </w:rPr>
        <w:t xml:space="preserve">UI Screens</w:t>
      </w:r>
    </w:p>
    <w:p>
      <w:pPr>
        <w:pStyle w:val="ListParagraph"/>
        <w:numPr>
          <w:ilvl w:val="0"/>
          <w:numId w:val="1"/>
        </w:numPr>
        <w:spacing w:after="90" w:line="264"/>
      </w:pPr>
      <w:r>
        <w:t xml:space="preserve">Admin Console</w:t>
      </w:r>
    </w:p>
    <w:p>
      <w:pPr>
        <w:pStyle w:val="ListParagraph"/>
        <w:numPr>
          <w:ilvl w:val="0"/>
          <w:numId w:val="1"/>
        </w:numPr>
        <w:spacing w:after="90" w:line="264"/>
      </w:pPr>
      <w:r>
        <w:t xml:space="preserve">User Management screen</w:t>
      </w:r>
    </w:p>
    <w:p>
      <w:pPr>
        <w:pStyle w:val="ListParagraph"/>
        <w:numPr>
          <w:ilvl w:val="0"/>
          <w:numId w:val="1"/>
        </w:numPr>
        <w:spacing w:after="90" w:line="264"/>
      </w:pPr>
      <w:r>
        <w:t xml:space="preserve">Organizational Unit Manager</w:t>
      </w:r>
    </w:p>
    <w:p>
      <w:pPr>
        <w:pStyle w:val="ListParagraph"/>
        <w:numPr>
          <w:ilvl w:val="0"/>
          <w:numId w:val="1"/>
        </w:numPr>
        <w:spacing w:after="90" w:line="264"/>
      </w:pPr>
      <w:r>
        <w:t xml:space="preserve">System Settings panel (SRS Part 23).</w:t>
      </w:r>
    </w:p>
    <w:p>
      <w:pPr>
        <w:spacing w:after="90" w:before="180"/>
      </w:pPr>
      <w:r>
        <w:rPr>
          <w:b/>
          <w:bCs/>
          <w:color w:val="1C1E21"/>
          <w:sz w:val="19"/>
          <w:szCs w:val="19"/>
        </w:rPr>
        <w:t xml:space="preserve">Security Controls</w:t>
      </w:r>
    </w:p>
    <w:p>
      <w:pPr>
        <w:pStyle w:val="ListParagraph"/>
        <w:numPr>
          <w:ilvl w:val="0"/>
          <w:numId w:val="1"/>
        </w:numPr>
        <w:spacing w:after="90" w:line="264"/>
      </w:pPr>
      <w:r>
        <w:t xml:space="preserve">Super-admin tier RBAC, coordinated with WP-05.</w:t>
      </w:r>
    </w:p>
    <w:p>
      <w:pPr>
        <w:pStyle w:val="ListParagraph"/>
        <w:numPr>
          <w:ilvl w:val="0"/>
          <w:numId w:val="1"/>
        </w:numPr>
        <w:spacing w:after="90" w:line="264"/>
      </w:pPr>
      <w:r>
        <w:t xml:space="preserve">Configuration change audit log.</w:t>
      </w:r>
    </w:p>
    <w:p>
      <w:pPr>
        <w:pStyle w:val="ListParagraph"/>
        <w:numPr>
          <w:ilvl w:val="0"/>
          <w:numId w:val="1"/>
        </w:numPr>
        <w:spacing w:after="90" w:line="264"/>
      </w:pPr>
      <w:r>
        <w:t xml:space="preserve">Dual control required for Super Admin role assignment.</w:t>
      </w:r>
    </w:p>
    <w:p>
      <w:pPr>
        <w:spacing w:after="90" w:before="180"/>
      </w:pPr>
      <w:r>
        <w:rPr>
          <w:b/>
          <w:bCs/>
          <w:color w:val="1C1E21"/>
          <w:sz w:val="19"/>
          <w:szCs w:val="19"/>
        </w:rPr>
        <w:t xml:space="preserve">Acceptance Criteria</w:t>
      </w:r>
    </w:p>
    <w:p>
      <w:pPr>
        <w:spacing w:after="90" w:line="264"/>
      </w:pPr>
      <w:r>
        <w:rPr>
          <w:b/>
          <w:bCs/>
          <w:color w:val="33363C"/>
        </w:rPr>
        <w:t xml:space="preserve">1. </w:t>
      </w:r>
      <w:r>
        <w:t xml:space="preserve">A Super Administrator can create, update, suspend, and deactivate a user.</w:t>
      </w:r>
    </w:p>
    <w:p>
      <w:pPr>
        <w:spacing w:after="90" w:line="264"/>
      </w:pPr>
      <w:r>
        <w:rPr>
          <w:b/>
          <w:bCs/>
          <w:color w:val="33363C"/>
        </w:rPr>
        <w:t xml:space="preserve">2. </w:t>
      </w:r>
      <w:r>
        <w:t xml:space="preserve">Organizational units can be created in a hierarchy and assigned to users.</w:t>
      </w:r>
    </w:p>
    <w:p>
      <w:pPr>
        <w:spacing w:after="90" w:line="264"/>
      </w:pPr>
      <w:r>
        <w:rPr>
          <w:b/>
          <w:bCs/>
          <w:color w:val="33363C"/>
        </w:rPr>
        <w:t xml:space="preserve">3. </w:t>
      </w:r>
      <w:r>
        <w:t xml:space="preserve">System configuration changes are visible in an audit log with actor and timestamp.</w:t>
      </w:r>
    </w:p>
    <w:p>
      <w:pPr>
        <w:spacing w:after="90" w:line="264"/>
      </w:pPr>
      <w:r>
        <w:rPr>
          <w:b/>
          <w:bCs/>
          <w:color w:val="33363C"/>
        </w:rPr>
        <w:t xml:space="preserve">4. </w:t>
      </w:r>
      <w:r>
        <w:t xml:space="preserve">Feature toggles can be enabled or disabled without a deployment.</w:t>
      </w:r>
    </w:p>
    <w:p>
      <w:pPr>
        <w:spacing w:after="90" w:before="180"/>
      </w:pPr>
      <w:r>
        <w:rPr>
          <w:b/>
          <w:bCs/>
          <w:color w:val="1C1E21"/>
          <w:sz w:val="19"/>
          <w:szCs w:val="19"/>
        </w:rPr>
        <w:t xml:space="preserve">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613"/>
        <w:gridCol w:w="6854"/>
      </w:tblGrid>
      <w:tr>
        <w:trPr>
          <w:tblHeader/>
        </w:trPr>
        <w:tc>
          <w:tcPr>
            <w:tcW w:type="dxa" w:w="1613"/>
            <w:shd w:fill="33363C" w:val="clear"/>
            <w:tcMar>
              <w:top w:type="dxa" w:w="70"/>
              <w:left w:type="dxa" w:w="110"/>
              <w:bottom w:type="dxa" w:w="70"/>
              <w:right w:type="dxa" w:w="110"/>
            </w:tcMar>
            <w:vAlign w:val="top"/>
          </w:tcPr>
          <w:p>
            <w:r>
              <w:rPr>
                <w:b/>
                <w:bCs/>
                <w:color w:val="FFFFFF"/>
                <w:sz w:val="17"/>
                <w:szCs w:val="17"/>
              </w:rPr>
              <w:t xml:space="preserve">Test ID</w:t>
            </w:r>
          </w:p>
        </w:tc>
        <w:tc>
          <w:tcPr>
            <w:tcW w:type="dxa" w:w="1613"/>
            <w:shd w:fill="33363C" w:val="clear"/>
            <w:tcMar>
              <w:top w:type="dxa" w:w="70"/>
              <w:left w:type="dxa" w:w="110"/>
              <w:bottom w:type="dxa" w:w="70"/>
              <w:right w:type="dxa" w:w="110"/>
            </w:tcMar>
            <w:vAlign w:val="top"/>
          </w:tcPr>
          <w:p>
            <w:r>
              <w:rPr>
                <w:b/>
                <w:bCs/>
                <w:color w:val="FFFFFF"/>
                <w:sz w:val="17"/>
                <w:szCs w:val="17"/>
              </w:rPr>
              <w:t xml:space="preserve">Type</w:t>
            </w:r>
          </w:p>
        </w:tc>
        <w:tc>
          <w:tcPr>
            <w:tcW w:type="dxa" w:w="6854"/>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1613"/>
            <w:tcMar>
              <w:top w:type="dxa" w:w="70"/>
              <w:left w:type="dxa" w:w="110"/>
              <w:bottom w:type="dxa" w:w="70"/>
              <w:right w:type="dxa" w:w="110"/>
            </w:tcMar>
            <w:vAlign w:val="top"/>
          </w:tcPr>
          <w:p>
            <w:r>
              <w:rPr>
                <w:b/>
                <w:bCs/>
                <w:color w:val="1A1A1A"/>
                <w:sz w:val="12"/>
                <w:szCs w:val="12"/>
              </w:rPr>
              <w:t xml:space="preserve">UT-ADM-01</w:t>
            </w:r>
          </w:p>
        </w:tc>
        <w:tc>
          <w:tcPr>
            <w:tcW w:type="dxa" w:w="1613"/>
            <w:tcMar>
              <w:top w:type="dxa" w:w="70"/>
              <w:left w:type="dxa" w:w="110"/>
              <w:bottom w:type="dxa" w:w="70"/>
              <w:right w:type="dxa" w:w="110"/>
            </w:tcMar>
            <w:vAlign w:val="top"/>
          </w:tcPr>
          <w:p>
            <w:r>
              <w:rPr>
                <w:b w:val="false"/>
                <w:bCs w:val="false"/>
                <w:color w:val="1A1A1A"/>
                <w:sz w:val="12"/>
                <w:szCs w:val="12"/>
              </w:rPr>
              <w:t xml:space="preserve">Unit</w:t>
            </w:r>
          </w:p>
        </w:tc>
        <w:tc>
          <w:tcPr>
            <w:tcW w:type="dxa" w:w="6854"/>
            <w:tcMar>
              <w:top w:type="dxa" w:w="70"/>
              <w:left w:type="dxa" w:w="110"/>
              <w:bottom w:type="dxa" w:w="70"/>
              <w:right w:type="dxa" w:w="110"/>
            </w:tcMar>
            <w:vAlign w:val="top"/>
          </w:tcPr>
          <w:p>
            <w:r>
              <w:rPr>
                <w:b w:val="false"/>
                <w:bCs w:val="false"/>
                <w:color w:val="1A1A1A"/>
                <w:sz w:val="12"/>
                <w:szCs w:val="12"/>
              </w:rPr>
              <w:t xml:space="preserve">User lifecycle state transitions enforce valid state machine rules.</w:t>
            </w:r>
          </w:p>
        </w:tc>
      </w:tr>
      <w:tr>
        <w:tc>
          <w:tcPr>
            <w:tcW w:type="dxa" w:w="1613"/>
            <w:tcMar>
              <w:top w:type="dxa" w:w="70"/>
              <w:left w:type="dxa" w:w="110"/>
              <w:bottom w:type="dxa" w:w="70"/>
              <w:right w:type="dxa" w:w="110"/>
            </w:tcMar>
            <w:vAlign w:val="top"/>
          </w:tcPr>
          <w:p>
            <w:r>
              <w:rPr>
                <w:b/>
                <w:bCs/>
                <w:color w:val="1A1A1A"/>
                <w:sz w:val="12"/>
                <w:szCs w:val="12"/>
              </w:rPr>
              <w:t xml:space="preserve">IT-ADM-01</w:t>
            </w:r>
          </w:p>
        </w:tc>
        <w:tc>
          <w:tcPr>
            <w:tcW w:type="dxa" w:w="1613"/>
            <w:tcMar>
              <w:top w:type="dxa" w:w="70"/>
              <w:left w:type="dxa" w:w="110"/>
              <w:bottom w:type="dxa" w:w="70"/>
              <w:right w:type="dxa" w:w="110"/>
            </w:tcMar>
            <w:vAlign w:val="top"/>
          </w:tcPr>
          <w:p>
            <w:r>
              <w:rPr>
                <w:b w:val="false"/>
                <w:bCs w:val="false"/>
                <w:color w:val="1A1A1A"/>
                <w:sz w:val="12"/>
                <w:szCs w:val="12"/>
              </w:rPr>
              <w:t xml:space="preserve">Integration</w:t>
            </w:r>
          </w:p>
        </w:tc>
        <w:tc>
          <w:tcPr>
            <w:tcW w:type="dxa" w:w="6854"/>
            <w:tcMar>
              <w:top w:type="dxa" w:w="70"/>
              <w:left w:type="dxa" w:w="110"/>
              <w:bottom w:type="dxa" w:w="70"/>
              <w:right w:type="dxa" w:w="110"/>
            </w:tcMar>
            <w:vAlign w:val="top"/>
          </w:tcPr>
          <w:p>
            <w:r>
              <w:rPr>
                <w:b w:val="false"/>
                <w:bCs w:val="false"/>
                <w:color w:val="1A1A1A"/>
                <w:sz w:val="12"/>
                <w:szCs w:val="12"/>
              </w:rPr>
              <w:t xml:space="preserve">User creation triggers correct organizational unit assignment.</w:t>
            </w:r>
          </w:p>
        </w:tc>
      </w:tr>
      <w:tr>
        <w:tc>
          <w:tcPr>
            <w:tcW w:type="dxa" w:w="1613"/>
            <w:tcMar>
              <w:top w:type="dxa" w:w="70"/>
              <w:left w:type="dxa" w:w="110"/>
              <w:bottom w:type="dxa" w:w="70"/>
              <w:right w:type="dxa" w:w="110"/>
            </w:tcMar>
            <w:vAlign w:val="top"/>
          </w:tcPr>
          <w:p>
            <w:r>
              <w:rPr>
                <w:b/>
                <w:bCs/>
                <w:color w:val="1A1A1A"/>
                <w:sz w:val="12"/>
                <w:szCs w:val="12"/>
              </w:rPr>
              <w:t xml:space="preserve">UAT-ADM-01</w:t>
            </w:r>
          </w:p>
        </w:tc>
        <w:tc>
          <w:tcPr>
            <w:tcW w:type="dxa" w:w="1613"/>
            <w:tcMar>
              <w:top w:type="dxa" w:w="70"/>
              <w:left w:type="dxa" w:w="110"/>
              <w:bottom w:type="dxa" w:w="70"/>
              <w:right w:type="dxa" w:w="110"/>
            </w:tcMar>
            <w:vAlign w:val="top"/>
          </w:tcPr>
          <w:p>
            <w:r>
              <w:rPr>
                <w:b w:val="false"/>
                <w:bCs w:val="false"/>
                <w:color w:val="1A1A1A"/>
                <w:sz w:val="12"/>
                <w:szCs w:val="12"/>
              </w:rPr>
              <w:t xml:space="preserve">UAT</w:t>
            </w:r>
          </w:p>
        </w:tc>
        <w:tc>
          <w:tcPr>
            <w:tcW w:type="dxa" w:w="6854"/>
            <w:tcMar>
              <w:top w:type="dxa" w:w="70"/>
              <w:left w:type="dxa" w:w="110"/>
              <w:bottom w:type="dxa" w:w="70"/>
              <w:right w:type="dxa" w:w="110"/>
            </w:tcMar>
            <w:vAlign w:val="top"/>
          </w:tcPr>
          <w:p>
            <w:r>
              <w:rPr>
                <w:b w:val="false"/>
                <w:bCs w:val="false"/>
                <w:color w:val="1A1A1A"/>
                <w:sz w:val="12"/>
                <w:szCs w:val="12"/>
              </w:rPr>
              <w:t xml:space="preserve">Super Administrator completes full user provisioning workflow in staging.</w:t>
            </w:r>
          </w:p>
        </w:tc>
      </w:tr>
    </w:tbl>
    <w:p>
      <w:pPr>
        <w:spacing w:after="160"/>
      </w:pPr>
    </w:p>
    <w:p>
      <w:pPr>
        <w:spacing w:after="90" w:before="180"/>
      </w:pPr>
      <w:r>
        <w:rPr>
          <w:b/>
          <w:bCs/>
          <w:color w:val="1C1E21"/>
          <w:sz w:val="19"/>
          <w:szCs w:val="19"/>
        </w:rPr>
        <w:t xml:space="preserve">Documentation Updates</w:t>
      </w:r>
    </w:p>
    <w:p>
      <w:pPr>
        <w:pStyle w:val="ListParagraph"/>
        <w:numPr>
          <w:ilvl w:val="0"/>
          <w:numId w:val="1"/>
        </w:numPr>
        <w:spacing w:after="90" w:line="264"/>
      </w:pPr>
      <w:r>
        <w:t xml:space="preserve">SRS Part 10 status updated to ‘Implemented’.</w:t>
      </w:r>
    </w:p>
    <w:p>
      <w:pPr>
        <w:pStyle w:val="ListParagraph"/>
        <w:numPr>
          <w:ilvl w:val="0"/>
          <w:numId w:val="1"/>
        </w:numPr>
        <w:spacing w:after="90" w:line="264"/>
      </w:pPr>
      <w:r>
        <w:t xml:space="preserve">User Guide section for Administration drafted.</w:t>
      </w:r>
    </w:p>
    <w:p>
      <w:pPr>
        <w:spacing w:after="90" w:before="180"/>
      </w:pPr>
      <w:r>
        <w:rPr>
          <w:b/>
          <w:bCs/>
          <w:color w:val="1C1E21"/>
          <w:sz w:val="19"/>
          <w:szCs w:val="19"/>
        </w:rPr>
        <w:t xml:space="preserve">Related ADRs</w:t>
      </w:r>
    </w:p>
    <w:p>
      <w:pPr>
        <w:pStyle w:val="ListParagraph"/>
        <w:numPr>
          <w:ilvl w:val="0"/>
          <w:numId w:val="1"/>
        </w:numPr>
        <w:spacing w:after="90" w:line="264"/>
      </w:pPr>
      <w:r>
        <w:t xml:space="preserve">ADR-0007: Organizational Hierarchy Model.</w:t>
      </w:r>
    </w:p>
    <w:p>
      <w:pPr>
        <w:spacing w:after="90" w:before="180"/>
      </w:pPr>
      <w:r>
        <w:rPr>
          <w:b/>
          <w:bCs/>
          <w:color w:val="1C1E21"/>
          <w:sz w:val="19"/>
          <w:szCs w:val="19"/>
        </w:rPr>
        <w:t xml:space="preserve">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435"/>
        <w:gridCol w:w="4435"/>
      </w:tblGrid>
      <w:tr>
        <w:trPr>
          <w:tblHeader/>
        </w:trPr>
        <w:tc>
          <w:tcPr>
            <w:tcW w:type="dxa" w:w="1210"/>
            <w:shd w:fill="33363C" w:val="clear"/>
            <w:tcMar>
              <w:top w:type="dxa" w:w="70"/>
              <w:left w:type="dxa" w:w="110"/>
              <w:bottom w:type="dxa" w:w="70"/>
              <w:right w:type="dxa" w:w="110"/>
            </w:tcMar>
            <w:vAlign w:val="top"/>
          </w:tcPr>
          <w:p>
            <w:r>
              <w:rPr>
                <w:b/>
                <w:bCs/>
                <w:color w:val="FFFFFF"/>
                <w:sz w:val="17"/>
                <w:szCs w:val="17"/>
              </w:rPr>
              <w:t xml:space="preserve">Risk ID</w:t>
            </w:r>
          </w:p>
        </w:tc>
        <w:tc>
          <w:tcPr>
            <w:tcW w:type="dxa" w:w="4435"/>
            <w:shd w:fill="33363C" w:val="clear"/>
            <w:tcMar>
              <w:top w:type="dxa" w:w="70"/>
              <w:left w:type="dxa" w:w="110"/>
              <w:bottom w:type="dxa" w:w="70"/>
              <w:right w:type="dxa" w:w="110"/>
            </w:tcMar>
            <w:vAlign w:val="top"/>
          </w:tcPr>
          <w:p>
            <w:r>
              <w:rPr>
                <w:b/>
                <w:bCs/>
                <w:color w:val="FFFFFF"/>
                <w:sz w:val="17"/>
                <w:szCs w:val="17"/>
              </w:rPr>
              <w:t xml:space="preserve">Description</w:t>
            </w:r>
          </w:p>
        </w:tc>
        <w:tc>
          <w:tcPr>
            <w:tcW w:type="dxa" w:w="4435"/>
            <w:shd w:fill="33363C" w:val="clear"/>
            <w:tcMar>
              <w:top w:type="dxa" w:w="70"/>
              <w:left w:type="dxa" w:w="110"/>
              <w:bottom w:type="dxa" w:w="70"/>
              <w:right w:type="dxa" w:w="110"/>
            </w:tcMar>
            <w:vAlign w:val="top"/>
          </w:tcPr>
          <w:p>
            <w:r>
              <w:rPr>
                <w:b/>
                <w:bCs/>
                <w:color w:val="FFFFFF"/>
                <w:sz w:val="17"/>
                <w:szCs w:val="17"/>
              </w:rPr>
              <w:t xml:space="preserve">Mitigation</w:t>
            </w:r>
          </w:p>
        </w:tc>
      </w:tr>
      <w:tr>
        <w:tc>
          <w:tcPr>
            <w:tcW w:type="dxa" w:w="1210"/>
            <w:tcMar>
              <w:top w:type="dxa" w:w="70"/>
              <w:left w:type="dxa" w:w="110"/>
              <w:bottom w:type="dxa" w:w="70"/>
              <w:right w:type="dxa" w:w="110"/>
            </w:tcMar>
            <w:vAlign w:val="top"/>
          </w:tcPr>
          <w:p>
            <w:r>
              <w:rPr>
                <w:b/>
                <w:bCs/>
                <w:color w:val="1A1A1A"/>
                <w:sz w:val="12"/>
                <w:szCs w:val="12"/>
              </w:rPr>
              <w:t xml:space="preserve">R-ADM-01</w:t>
            </w:r>
          </w:p>
        </w:tc>
        <w:tc>
          <w:tcPr>
            <w:tcW w:type="dxa" w:w="4435"/>
            <w:tcMar>
              <w:top w:type="dxa" w:w="70"/>
              <w:left w:type="dxa" w:w="110"/>
              <w:bottom w:type="dxa" w:w="70"/>
              <w:right w:type="dxa" w:w="110"/>
            </w:tcMar>
            <w:vAlign w:val="top"/>
          </w:tcPr>
          <w:p>
            <w:r>
              <w:rPr>
                <w:b w:val="false"/>
                <w:bCs w:val="false"/>
                <w:color w:val="1A1A1A"/>
                <w:sz w:val="12"/>
                <w:szCs w:val="12"/>
              </w:rPr>
              <w:t xml:space="preserve">Organizational hierarchy changes after go-live could require data migration.</w:t>
            </w:r>
          </w:p>
        </w:tc>
        <w:tc>
          <w:tcPr>
            <w:tcW w:type="dxa" w:w="4435"/>
            <w:tcMar>
              <w:top w:type="dxa" w:w="70"/>
              <w:left w:type="dxa" w:w="110"/>
              <w:bottom w:type="dxa" w:w="70"/>
              <w:right w:type="dxa" w:w="110"/>
            </w:tcMar>
            <w:vAlign w:val="top"/>
          </w:tcPr>
          <w:p>
            <w:r>
              <w:rPr>
                <w:b w:val="false"/>
                <w:bCs w:val="false"/>
                <w:color w:val="1A1A1A"/>
                <w:sz w:val="12"/>
                <w:szCs w:val="12"/>
              </w:rPr>
              <w:t xml:space="preserve">Flexible hierarchy model validated in this Work Package.</w:t>
            </w:r>
          </w:p>
        </w:tc>
      </w:tr>
    </w:tbl>
    <w:p>
      <w:pPr>
        <w:spacing w:after="160"/>
      </w:pPr>
    </w:p>
    <w:p>
      <w:pPr>
        <w:spacing w:after="90" w:before="180"/>
      </w:pPr>
      <w:r>
        <w:rPr>
          <w:b/>
          <w:bCs/>
          <w:color w:val="1C1E21"/>
          <w:sz w:val="19"/>
          <w:szCs w:val="19"/>
        </w:rPr>
        <w:t xml:space="preserve">Deliverables</w:t>
      </w:r>
    </w:p>
    <w:p>
      <w:pPr>
        <w:pStyle w:val="ListParagraph"/>
        <w:numPr>
          <w:ilvl w:val="0"/>
          <w:numId w:val="1"/>
        </w:numPr>
        <w:spacing w:after="90" w:line="264"/>
      </w:pPr>
      <w:r>
        <w:t xml:space="preserve">DEL-ENG-011: Administration Module.</w:t>
      </w:r>
    </w:p>
    <w:p>
      <w:pPr>
        <w:pStyle w:val="ListParagraph"/>
        <w:numPr>
          <w:ilvl w:val="0"/>
          <w:numId w:val="1"/>
        </w:numPr>
        <w:spacing w:after="90" w:line="264"/>
      </w:pPr>
      <w:r>
        <w:t xml:space="preserve">DEL-ENG-012: Admin Console UI.</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Gate</w:t>
            </w:r>
          </w:p>
        </w:tc>
        <w:tc>
          <w:tcPr>
            <w:tcW w:type="dxa" w:w="7862"/>
            <w:shd w:fill="33363C" w:val="clear"/>
            <w:tcMar>
              <w:top w:type="dxa" w:w="70"/>
              <w:left w:type="dxa" w:w="110"/>
              <w:bottom w:type="dxa" w:w="70"/>
              <w:right w:type="dxa" w:w="110"/>
            </w:tcMar>
            <w:vAlign w:val="top"/>
          </w:tcPr>
          <w:p>
            <w:r>
              <w:rPr>
                <w:b/>
                <w:bCs/>
                <w:color w:val="FFFFFF"/>
                <w:sz w:val="17"/>
                <w:szCs w:val="17"/>
              </w:rPr>
              <w:t xml:space="preserve">Criteria</w:t>
            </w:r>
          </w:p>
        </w:tc>
      </w:tr>
      <w:tr>
        <w:tc>
          <w:tcPr>
            <w:tcW w:type="dxa" w:w="2218"/>
            <w:tcMar>
              <w:top w:type="dxa" w:w="70"/>
              <w:left w:type="dxa" w:w="110"/>
              <w:bottom w:type="dxa" w:w="70"/>
              <w:right w:type="dxa" w:w="110"/>
            </w:tcMar>
            <w:vAlign w:val="top"/>
          </w:tcPr>
          <w:p>
            <w:r>
              <w:rPr>
                <w:b/>
                <w:bCs/>
                <w:color w:val="1A1A1A"/>
                <w:sz w:val="12"/>
                <w:szCs w:val="12"/>
              </w:rPr>
              <w:t xml:space="preserve">Definition of Ready</w:t>
            </w:r>
          </w:p>
        </w:tc>
        <w:tc>
          <w:tcPr>
            <w:tcW w:type="dxa" w:w="7862"/>
            <w:tcMar>
              <w:top w:type="dxa" w:w="70"/>
              <w:left w:type="dxa" w:w="110"/>
              <w:bottom w:type="dxa" w:w="70"/>
              <w:right w:type="dxa" w:w="110"/>
            </w:tcMar>
            <w:vAlign w:val="top"/>
          </w:tcPr>
          <w:p>
            <w:r>
              <w:rPr>
                <w:b w:val="false"/>
                <w:bCs w:val="false"/>
                <w:color w:val="1A1A1A"/>
                <w:sz w:val="12"/>
                <w:szCs w:val="12"/>
              </w:rPr>
              <w:t xml:space="preserve">WP-01, WP-02, WP-03 complete; SRS Part 10 approved.</w:t>
            </w:r>
          </w:p>
        </w:tc>
      </w:tr>
      <w:tr>
        <w:tc>
          <w:tcPr>
            <w:tcW w:type="dxa" w:w="2218"/>
            <w:tcMar>
              <w:top w:type="dxa" w:w="70"/>
              <w:left w:type="dxa" w:w="110"/>
              <w:bottom w:type="dxa" w:w="70"/>
              <w:right w:type="dxa" w:w="110"/>
            </w:tcMar>
            <w:vAlign w:val="top"/>
          </w:tcPr>
          <w:p>
            <w:r>
              <w:rPr>
                <w:b/>
                <w:bCs/>
                <w:color w:val="1A1A1A"/>
                <w:sz w:val="12"/>
                <w:szCs w:val="12"/>
              </w:rPr>
              <w:t xml:space="preserve">Definition of Done</w:t>
            </w:r>
          </w:p>
        </w:tc>
        <w:tc>
          <w:tcPr>
            <w:tcW w:type="dxa" w:w="7862"/>
            <w:tcMar>
              <w:top w:type="dxa" w:w="70"/>
              <w:left w:type="dxa" w:w="110"/>
              <w:bottom w:type="dxa" w:w="70"/>
              <w:right w:type="dxa" w:w="110"/>
            </w:tcMar>
            <w:vAlign w:val="top"/>
          </w:tcPr>
          <w:p>
            <w:r>
              <w:rPr>
                <w:b w:val="false"/>
                <w:bCs w:val="false"/>
                <w:color w:val="1A1A1A"/>
                <w:sz w:val="12"/>
                <w:szCs w:val="12"/>
              </w:rPr>
              <w:t xml:space="preserve">All acceptance criteria met; test cases passing including UAT; ADR recorded; documentation updated; Technical Lead and Product Owner sign-off.</w:t>
            </w:r>
          </w:p>
        </w:tc>
      </w:tr>
    </w:tbl>
    <w:p>
      <w:pPr>
        <w:spacing w:after="160"/>
      </w:pPr>
    </w:p>
    <w:p>
      <w:pPr>
        <w:pStyle w:val="Heading1"/>
        <w:pBdr>
          <w:bottom w:val="single" w:color="DAD3C0" w:sz="4" w:space="4"/>
        </w:pBdr>
        <w:spacing w:after="140" w:before="360"/>
      </w:pPr>
      <w:r>
        <w:rPr>
          <w:b/>
          <w:bCs/>
          <w:color w:val="97771F"/>
          <w:sz w:val="26"/>
          <w:szCs w:val="26"/>
        </w:rPr>
        <w:t xml:space="preserve">5.5  </w:t>
      </w:r>
      <w:r>
        <w:rPr>
          <w:b/>
          <w:bCs/>
          <w:color w:val="33363C"/>
          <w:sz w:val="26"/>
          <w:szCs w:val="26"/>
        </w:rPr>
        <w:t xml:space="preserve">WP-05 — Security &amp; Access Control</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8064"/>
      </w:tblGrid>
      <w:tr>
        <w:trPr>
          <w:tblHeader/>
        </w:trPr>
        <w:tc>
          <w:tcPr>
            <w:tcW w:type="dxa" w:w="2016"/>
            <w:shd w:fill="33363C" w:val="clear"/>
            <w:tcMar>
              <w:top w:type="dxa" w:w="70"/>
              <w:left w:type="dxa" w:w="110"/>
              <w:bottom w:type="dxa" w:w="70"/>
              <w:right w:type="dxa" w:w="110"/>
            </w:tcMar>
            <w:vAlign w:val="top"/>
          </w:tcPr>
          <w:p>
            <w:r>
              <w:rPr>
                <w:b/>
                <w:bCs/>
                <w:color w:val="FFFFFF"/>
                <w:sz w:val="17"/>
                <w:szCs w:val="17"/>
              </w:rPr>
              <w:t xml:space="preserve">Field</w:t>
            </w:r>
          </w:p>
        </w:tc>
        <w:tc>
          <w:tcPr>
            <w:tcW w:type="dxa" w:w="8064"/>
            <w:shd w:fill="33363C" w:val="clear"/>
            <w:tcMar>
              <w:top w:type="dxa" w:w="70"/>
              <w:left w:type="dxa" w:w="110"/>
              <w:bottom w:type="dxa" w:w="70"/>
              <w:right w:type="dxa" w:w="110"/>
            </w:tcMar>
            <w:vAlign w:val="top"/>
          </w:tcPr>
          <w:p>
            <w:r>
              <w:rPr>
                <w:b/>
                <w:bCs/>
                <w:color w:val="FFFFFF"/>
                <w:sz w:val="17"/>
                <w:szCs w:val="17"/>
              </w:rPr>
              <w:t xml:space="preserve">Detail</w:t>
            </w:r>
          </w:p>
        </w:tc>
      </w:tr>
      <w:tr>
        <w:tc>
          <w:tcPr>
            <w:tcW w:type="dxa" w:w="2016"/>
            <w:tcMar>
              <w:top w:type="dxa" w:w="70"/>
              <w:left w:type="dxa" w:w="110"/>
              <w:bottom w:type="dxa" w:w="70"/>
              <w:right w:type="dxa" w:w="110"/>
            </w:tcMar>
            <w:vAlign w:val="top"/>
          </w:tcPr>
          <w:p>
            <w:r>
              <w:rPr>
                <w:b/>
                <w:bCs/>
                <w:color w:val="1A1A1A"/>
                <w:sz w:val="12"/>
                <w:szCs w:val="12"/>
              </w:rPr>
              <w:t xml:space="preserve">Objective</w:t>
            </w:r>
          </w:p>
        </w:tc>
        <w:tc>
          <w:tcPr>
            <w:tcW w:type="dxa" w:w="8064"/>
            <w:tcMar>
              <w:top w:type="dxa" w:w="70"/>
              <w:left w:type="dxa" w:w="110"/>
              <w:bottom w:type="dxa" w:w="70"/>
              <w:right w:type="dxa" w:w="110"/>
            </w:tcMar>
            <w:vAlign w:val="top"/>
          </w:tcPr>
          <w:p>
            <w:r>
              <w:rPr>
                <w:b w:val="false"/>
                <w:bCs w:val="false"/>
                <w:color w:val="1A1A1A"/>
                <w:sz w:val="12"/>
                <w:szCs w:val="12"/>
              </w:rPr>
              <w:t xml:space="preserve">Deliver the Security (Module-Level) capability — role and permission management, session management, access audit — completing the platform's core RBAC enforcement layer.</w:t>
            </w:r>
          </w:p>
        </w:tc>
      </w:tr>
      <w:tr>
        <w:tc>
          <w:tcPr>
            <w:tcW w:type="dxa" w:w="2016"/>
            <w:tcMar>
              <w:top w:type="dxa" w:w="70"/>
              <w:left w:type="dxa" w:w="110"/>
              <w:bottom w:type="dxa" w:w="70"/>
              <w:right w:type="dxa" w:w="110"/>
            </w:tcMar>
            <w:vAlign w:val="top"/>
          </w:tcPr>
          <w:p>
            <w:r>
              <w:rPr>
                <w:b/>
                <w:bCs/>
                <w:color w:val="1A1A1A"/>
                <w:sz w:val="12"/>
                <w:szCs w:val="12"/>
              </w:rPr>
              <w:t xml:space="preserve">Business Context</w:t>
            </w:r>
          </w:p>
        </w:tc>
        <w:tc>
          <w:tcPr>
            <w:tcW w:type="dxa" w:w="8064"/>
            <w:tcMar>
              <w:top w:type="dxa" w:w="70"/>
              <w:left w:type="dxa" w:w="110"/>
              <w:bottom w:type="dxa" w:w="70"/>
              <w:right w:type="dxa" w:w="110"/>
            </w:tcMar>
            <w:vAlign w:val="top"/>
          </w:tcPr>
          <w:p>
            <w:r>
              <w:rPr>
                <w:b w:val="false"/>
                <w:bCs w:val="false"/>
                <w:color w:val="1A1A1A"/>
                <w:sz w:val="12"/>
                <w:szCs w:val="12"/>
              </w:rPr>
              <w:t xml:space="preserve">No module can enforce least-privilege access until roles and permissions are defined and enforceable. This Work Package completes the security foundation alongside WP-04.</w:t>
            </w:r>
          </w:p>
        </w:tc>
      </w:tr>
      <w:tr>
        <w:tc>
          <w:tcPr>
            <w:tcW w:type="dxa" w:w="2016"/>
            <w:tcMar>
              <w:top w:type="dxa" w:w="70"/>
              <w:left w:type="dxa" w:w="110"/>
              <w:bottom w:type="dxa" w:w="70"/>
              <w:right w:type="dxa" w:w="110"/>
            </w:tcMar>
            <w:vAlign w:val="top"/>
          </w:tcPr>
          <w:p>
            <w:r>
              <w:rPr>
                <w:b/>
                <w:bCs/>
                <w:color w:val="1A1A1A"/>
                <w:sz w:val="12"/>
                <w:szCs w:val="12"/>
              </w:rPr>
              <w:t xml:space="preserve">Scope</w:t>
            </w:r>
          </w:p>
        </w:tc>
        <w:tc>
          <w:tcPr>
            <w:tcW w:type="dxa" w:w="8064"/>
            <w:tcMar>
              <w:top w:type="dxa" w:w="70"/>
              <w:left w:type="dxa" w:w="110"/>
              <w:bottom w:type="dxa" w:w="70"/>
              <w:right w:type="dxa" w:w="110"/>
            </w:tcMar>
            <w:vAlign w:val="top"/>
          </w:tcPr>
          <w:p>
            <w:r>
              <w:rPr>
                <w:b w:val="false"/>
                <w:bCs w:val="false"/>
                <w:color w:val="1A1A1A"/>
                <w:sz w:val="12"/>
                <w:szCs w:val="12"/>
              </w:rPr>
              <w:t xml:space="preserve">Role and permission management; access control list enforcement; session management; access audit viewer; per SRS Part 9 and the Security Architecture.</w:t>
            </w:r>
          </w:p>
        </w:tc>
      </w:tr>
      <w:tr>
        <w:tc>
          <w:tcPr>
            <w:tcW w:type="dxa" w:w="2016"/>
            <w:tcMar>
              <w:top w:type="dxa" w:w="70"/>
              <w:left w:type="dxa" w:w="110"/>
              <w:bottom w:type="dxa" w:w="70"/>
              <w:right w:type="dxa" w:w="110"/>
            </w:tcMar>
            <w:vAlign w:val="top"/>
          </w:tcPr>
          <w:p>
            <w:r>
              <w:rPr>
                <w:b/>
                <w:bCs/>
                <w:color w:val="1A1A1A"/>
                <w:sz w:val="12"/>
                <w:szCs w:val="12"/>
              </w:rPr>
              <w:t xml:space="preserve">Out of Scope</w:t>
            </w:r>
          </w:p>
        </w:tc>
        <w:tc>
          <w:tcPr>
            <w:tcW w:type="dxa" w:w="8064"/>
            <w:tcMar>
              <w:top w:type="dxa" w:w="70"/>
              <w:left w:type="dxa" w:w="110"/>
              <w:bottom w:type="dxa" w:w="70"/>
              <w:right w:type="dxa" w:w="110"/>
            </w:tcMar>
            <w:vAlign w:val="top"/>
          </w:tcPr>
          <w:p>
            <w:r>
              <w:rPr>
                <w:b w:val="false"/>
                <w:bCs w:val="false"/>
                <w:color w:val="1A1A1A"/>
                <w:sz w:val="12"/>
                <w:szCs w:val="12"/>
              </w:rPr>
              <w:t xml:space="preserve">Module-specific business rule authorization (delivered within each module Work Package, consuming this RBAC layer); AI Assistant-specific access controls (WP-23).</w:t>
            </w:r>
          </w:p>
        </w:tc>
      </w:tr>
      <w:tr>
        <w:tc>
          <w:tcPr>
            <w:tcW w:type="dxa" w:w="2016"/>
            <w:tcMar>
              <w:top w:type="dxa" w:w="70"/>
              <w:left w:type="dxa" w:w="110"/>
              <w:bottom w:type="dxa" w:w="70"/>
              <w:right w:type="dxa" w:w="110"/>
            </w:tcMar>
            <w:vAlign w:val="top"/>
          </w:tcPr>
          <w:p>
            <w:r>
              <w:rPr>
                <w:b/>
                <w:bCs/>
                <w:color w:val="1A1A1A"/>
                <w:sz w:val="12"/>
                <w:szCs w:val="12"/>
              </w:rPr>
              <w:t xml:space="preserve">Inputs</w:t>
            </w:r>
          </w:p>
        </w:tc>
        <w:tc>
          <w:tcPr>
            <w:tcW w:type="dxa" w:w="8064"/>
            <w:tcMar>
              <w:top w:type="dxa" w:w="70"/>
              <w:left w:type="dxa" w:w="110"/>
              <w:bottom w:type="dxa" w:w="70"/>
              <w:right w:type="dxa" w:w="110"/>
            </w:tcMar>
            <w:vAlign w:val="top"/>
          </w:tcPr>
          <w:p>
            <w:r>
              <w:rPr>
                <w:b w:val="false"/>
                <w:bCs w:val="false"/>
                <w:color w:val="1A1A1A"/>
                <w:sz w:val="12"/>
                <w:szCs w:val="12"/>
              </w:rPr>
              <w:t xml:space="preserve">SRS Part 9; Security Architecture (EA Blueprint Part 9 / EA Blueprint 2.0 Section 08); Appendix K.</w:t>
            </w:r>
          </w:p>
        </w:tc>
      </w:tr>
      <w:tr>
        <w:tc>
          <w:tcPr>
            <w:tcW w:type="dxa" w:w="2016"/>
            <w:tcMar>
              <w:top w:type="dxa" w:w="70"/>
              <w:left w:type="dxa" w:w="110"/>
              <w:bottom w:type="dxa" w:w="70"/>
              <w:right w:type="dxa" w:w="110"/>
            </w:tcMar>
            <w:vAlign w:val="top"/>
          </w:tcPr>
          <w:p>
            <w:r>
              <w:rPr>
                <w:b/>
                <w:bCs/>
                <w:color w:val="1A1A1A"/>
                <w:sz w:val="12"/>
                <w:szCs w:val="12"/>
              </w:rPr>
              <w:t xml:space="preserve">Outputs</w:t>
            </w:r>
          </w:p>
        </w:tc>
        <w:tc>
          <w:tcPr>
            <w:tcW w:type="dxa" w:w="8064"/>
            <w:tcMar>
              <w:top w:type="dxa" w:w="70"/>
              <w:left w:type="dxa" w:w="110"/>
              <w:bottom w:type="dxa" w:w="70"/>
              <w:right w:type="dxa" w:w="110"/>
            </w:tcMar>
            <w:vAlign w:val="top"/>
          </w:tcPr>
          <w:p>
            <w:r>
              <w:rPr>
                <w:b w:val="false"/>
                <w:bCs w:val="false"/>
                <w:color w:val="1A1A1A"/>
                <w:sz w:val="12"/>
                <w:szCs w:val="12"/>
              </w:rPr>
              <w:t xml:space="preserve">A fully functioning RBAC system enforced across the API gateway and application services.</w:t>
            </w:r>
          </w:p>
        </w:tc>
      </w:tr>
      <w:tr>
        <w:tc>
          <w:tcPr>
            <w:tcW w:type="dxa" w:w="2016"/>
            <w:tcMar>
              <w:top w:type="dxa" w:w="70"/>
              <w:left w:type="dxa" w:w="110"/>
              <w:bottom w:type="dxa" w:w="70"/>
              <w:right w:type="dxa" w:w="110"/>
            </w:tcMar>
            <w:vAlign w:val="top"/>
          </w:tcPr>
          <w:p>
            <w:r>
              <w:rPr>
                <w:b/>
                <w:bCs/>
                <w:color w:val="1A1A1A"/>
                <w:sz w:val="12"/>
                <w:szCs w:val="12"/>
              </w:rPr>
              <w:t xml:space="preserve">Dependencies</w:t>
            </w:r>
          </w:p>
        </w:tc>
        <w:tc>
          <w:tcPr>
            <w:tcW w:type="dxa" w:w="8064"/>
            <w:tcMar>
              <w:top w:type="dxa" w:w="70"/>
              <w:left w:type="dxa" w:w="110"/>
              <w:bottom w:type="dxa" w:w="70"/>
              <w:right w:type="dxa" w:w="110"/>
            </w:tcMar>
            <w:vAlign w:val="top"/>
          </w:tcPr>
          <w:p>
            <w:r>
              <w:rPr>
                <w:b w:val="false"/>
                <w:bCs w:val="false"/>
                <w:color w:val="1A1A1A"/>
                <w:sz w:val="12"/>
                <w:szCs w:val="12"/>
              </w:rPr>
              <w:t xml:space="preserve">WP-01, WP-02, WP-03, WP-04 (organizational context for role scoping). Blocks all subsequent module Work Packages' security control validation.</w:t>
            </w:r>
          </w:p>
        </w:tc>
      </w:tr>
    </w:tbl>
    <w:p>
      <w:pPr>
        <w:spacing w:after="160"/>
      </w:pPr>
    </w:p>
    <w:p>
      <w:pPr>
        <w:spacing w:after="90" w:before="180"/>
      </w:pPr>
      <w:r>
        <w:rPr>
          <w:b/>
          <w:bCs/>
          <w:color w:val="1C1E21"/>
          <w:sz w:val="19"/>
          <w:szCs w:val="19"/>
        </w:rPr>
        <w:t xml:space="preserve">User Stories</w:t>
      </w:r>
    </w:p>
    <w:p>
      <w:pPr>
        <w:pStyle w:val="ListParagraph"/>
        <w:numPr>
          <w:ilvl w:val="0"/>
          <w:numId w:val="1"/>
        </w:numPr>
        <w:spacing w:after="90" w:line="264"/>
      </w:pPr>
      <w:r>
        <w:t xml:space="preserve">US-013: As a Security Architect, I want centrally defined roles and permissions so that access control is consistent across all modules.</w:t>
      </w:r>
    </w:p>
    <w:p>
      <w:pPr>
        <w:pStyle w:val="ListParagraph"/>
        <w:numPr>
          <w:ilvl w:val="0"/>
          <w:numId w:val="1"/>
        </w:numPr>
        <w:spacing w:after="90" w:line="264"/>
      </w:pPr>
      <w:r>
        <w:t xml:space="preserve">US-014: As an Administrator, I want to assign roles to users so that they receive only the access they need.</w:t>
      </w:r>
    </w:p>
    <w:p>
      <w:pPr>
        <w:pStyle w:val="ListParagraph"/>
        <w:numPr>
          <w:ilvl w:val="0"/>
          <w:numId w:val="1"/>
        </w:numPr>
        <w:spacing w:after="90" w:line="264"/>
      </w:pPr>
      <w:r>
        <w:t xml:space="preserve">US-015: As an Auditor, I want an access audit trail so that I can verify least-privilege compliance.</w:t>
      </w:r>
    </w:p>
    <w:p>
      <w:pPr>
        <w:spacing w:after="90" w:before="180"/>
      </w:pPr>
      <w:r>
        <w:rPr>
          <w:b/>
          <w:bCs/>
          <w:color w:val="1C1E21"/>
          <w:sz w:val="19"/>
          <w:szCs w:val="19"/>
        </w:rPr>
        <w:t xml:space="preserve">Functional Requirements</w:t>
      </w:r>
    </w:p>
    <w:p>
      <w:pPr>
        <w:pStyle w:val="ListParagraph"/>
        <w:numPr>
          <w:ilvl w:val="0"/>
          <w:numId w:val="1"/>
        </w:numPr>
        <w:spacing w:after="90" w:line="264"/>
      </w:pPr>
      <w:r>
        <w:t xml:space="preserve">FR-SEC-01: Implement role and permission CRUD per SRS Part 9.</w:t>
      </w:r>
    </w:p>
    <w:p>
      <w:pPr>
        <w:pStyle w:val="ListParagraph"/>
        <w:numPr>
          <w:ilvl w:val="0"/>
          <w:numId w:val="1"/>
        </w:numPr>
        <w:spacing w:after="90" w:line="264"/>
      </w:pPr>
      <w:r>
        <w:t xml:space="preserve">FR-SEC-02: Implement role assignment with organizational scoping (zone-level, project-level).</w:t>
      </w:r>
    </w:p>
    <w:p>
      <w:pPr>
        <w:pStyle w:val="ListParagraph"/>
        <w:numPr>
          <w:ilvl w:val="0"/>
          <w:numId w:val="1"/>
        </w:numPr>
        <w:spacing w:after="90" w:line="264"/>
      </w:pPr>
      <w:r>
        <w:t xml:space="preserve">FR-SEC-03: Implement session management including timeout and forced logout.</w:t>
      </w:r>
    </w:p>
    <w:p>
      <w:pPr>
        <w:pStyle w:val="ListParagraph"/>
        <w:numPr>
          <w:ilvl w:val="0"/>
          <w:numId w:val="1"/>
        </w:numPr>
        <w:spacing w:after="90" w:line="264"/>
      </w:pPr>
      <w:r>
        <w:t xml:space="preserve">FR-SEC-04: Implement access audit logging and viewer.</w:t>
      </w:r>
    </w:p>
    <w:p>
      <w:pPr>
        <w:spacing w:after="90" w:before="180"/>
      </w:pPr>
      <w:r>
        <w:rPr>
          <w:b/>
          <w:bCs/>
          <w:color w:val="1C1E21"/>
          <w:sz w:val="19"/>
          <w:szCs w:val="19"/>
        </w:rPr>
        <w:t xml:space="preserve">Non-Functional Requirements</w:t>
      </w:r>
    </w:p>
    <w:p>
      <w:pPr>
        <w:pStyle w:val="ListParagraph"/>
        <w:numPr>
          <w:ilvl w:val="0"/>
          <w:numId w:val="1"/>
        </w:numPr>
        <w:spacing w:after="90" w:line="264"/>
      </w:pPr>
      <w:r>
        <w:t xml:space="preserve">NFR-SEC-01: Permission checks add no more than the latency budget defined in AIDS Part 13.</w:t>
      </w:r>
    </w:p>
    <w:p>
      <w:pPr>
        <w:pStyle w:val="ListParagraph"/>
        <w:numPr>
          <w:ilvl w:val="0"/>
          <w:numId w:val="1"/>
        </w:numPr>
        <w:spacing w:after="90" w:line="264"/>
      </w:pPr>
      <w:r>
        <w:t xml:space="preserve">NFR-SEC-02: MFA supported for all Administrator and Executive-tier roles.</w:t>
      </w:r>
    </w:p>
    <w:p>
      <w:pPr>
        <w:pStyle w:val="ListParagraph"/>
        <w:numPr>
          <w:ilvl w:val="0"/>
          <w:numId w:val="1"/>
        </w:numPr>
        <w:spacing w:after="90" w:line="264"/>
      </w:pPr>
      <w:r>
        <w:t xml:space="preserve">NFR-SEC-03: 100% of access control decisions are logged, per Appendix K.</w:t>
      </w:r>
    </w:p>
    <w:p>
      <w:pPr>
        <w:spacing w:after="90" w:before="180"/>
      </w:pPr>
      <w:r>
        <w:rPr>
          <w:b/>
          <w:bCs/>
          <w:color w:val="1C1E21"/>
          <w:sz w:val="19"/>
          <w:szCs w:val="19"/>
        </w:rPr>
        <w:t xml:space="preserve">Database Entities</w:t>
      </w:r>
    </w:p>
    <w:p>
      <w:pPr>
        <w:spacing w:after="150" w:line="276"/>
        <w:jc w:val="both"/>
      </w:pPr>
      <w:r>
        <w:t xml:space="preserve">roles, permissions, role_assignments, sessions, access_audit_log (DDS Part 11).</w:t>
      </w:r>
    </w:p>
    <w:p>
      <w:pPr>
        <w:spacing w:after="90" w:before="180"/>
      </w:pPr>
      <w:r>
        <w:rPr>
          <w:b/>
          <w:bCs/>
          <w:color w:val="1C1E21"/>
          <w:sz w:val="19"/>
          <w:szCs w:val="19"/>
        </w:rPr>
        <w:t xml:space="preserve">API Endpoints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4234"/>
        <w:gridCol w:w="5846"/>
      </w:tblGrid>
      <w:tr>
        <w:trPr>
          <w:tblHeader/>
        </w:trPr>
        <w:tc>
          <w:tcPr>
            <w:tcW w:type="dxa" w:w="4234"/>
            <w:shd w:fill="33363C" w:val="clear"/>
            <w:tcMar>
              <w:top w:type="dxa" w:w="70"/>
              <w:left w:type="dxa" w:w="110"/>
              <w:bottom w:type="dxa" w:w="70"/>
              <w:right w:type="dxa" w:w="110"/>
            </w:tcMar>
            <w:vAlign w:val="top"/>
          </w:tcPr>
          <w:p>
            <w:r>
              <w:rPr>
                <w:b/>
                <w:bCs/>
                <w:color w:val="FFFFFF"/>
                <w:sz w:val="17"/>
                <w:szCs w:val="17"/>
              </w:rPr>
              <w:t xml:space="preserve">Method / Path</w:t>
            </w:r>
          </w:p>
        </w:tc>
        <w:tc>
          <w:tcPr>
            <w:tcW w:type="dxa" w:w="5846"/>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4234"/>
            <w:tcMar>
              <w:top w:type="dxa" w:w="70"/>
              <w:left w:type="dxa" w:w="110"/>
              <w:bottom w:type="dxa" w:w="70"/>
              <w:right w:type="dxa" w:w="110"/>
            </w:tcMar>
            <w:vAlign w:val="top"/>
          </w:tcPr>
          <w:p>
            <w:r>
              <w:rPr>
                <w:b/>
                <w:bCs/>
                <w:color w:val="1A1A1A"/>
                <w:sz w:val="12"/>
                <w:szCs w:val="12"/>
              </w:rPr>
              <w:t xml:space="preserve">POST /api/v1/roles</w:t>
            </w:r>
          </w:p>
        </w:tc>
        <w:tc>
          <w:tcPr>
            <w:tcW w:type="dxa" w:w="5846"/>
            <w:tcMar>
              <w:top w:type="dxa" w:w="70"/>
              <w:left w:type="dxa" w:w="110"/>
              <w:bottom w:type="dxa" w:w="70"/>
              <w:right w:type="dxa" w:w="110"/>
            </w:tcMar>
            <w:vAlign w:val="top"/>
          </w:tcPr>
          <w:p>
            <w:r>
              <w:rPr>
                <w:b w:val="false"/>
                <w:bCs w:val="false"/>
                <w:color w:val="1A1A1A"/>
                <w:sz w:val="12"/>
                <w:szCs w:val="12"/>
              </w:rPr>
              <w:t xml:space="preserve">Create a new role.</w:t>
            </w:r>
          </w:p>
        </w:tc>
      </w:tr>
      <w:tr>
        <w:tc>
          <w:tcPr>
            <w:tcW w:type="dxa" w:w="4234"/>
            <w:tcMar>
              <w:top w:type="dxa" w:w="70"/>
              <w:left w:type="dxa" w:w="110"/>
              <w:bottom w:type="dxa" w:w="70"/>
              <w:right w:type="dxa" w:w="110"/>
            </w:tcMar>
            <w:vAlign w:val="top"/>
          </w:tcPr>
          <w:p>
            <w:r>
              <w:rPr>
                <w:b/>
                <w:bCs/>
                <w:color w:val="1A1A1A"/>
                <w:sz w:val="12"/>
                <w:szCs w:val="12"/>
              </w:rPr>
              <w:t xml:space="preserve">GET /api/v1/permissions</w:t>
            </w:r>
          </w:p>
        </w:tc>
        <w:tc>
          <w:tcPr>
            <w:tcW w:type="dxa" w:w="5846"/>
            <w:tcMar>
              <w:top w:type="dxa" w:w="70"/>
              <w:left w:type="dxa" w:w="110"/>
              <w:bottom w:type="dxa" w:w="70"/>
              <w:right w:type="dxa" w:w="110"/>
            </w:tcMar>
            <w:vAlign w:val="top"/>
          </w:tcPr>
          <w:p>
            <w:r>
              <w:rPr>
                <w:b w:val="false"/>
                <w:bCs w:val="false"/>
                <w:color w:val="1A1A1A"/>
                <w:sz w:val="12"/>
                <w:szCs w:val="12"/>
              </w:rPr>
              <w:t xml:space="preserve">List available permissions.</w:t>
            </w:r>
          </w:p>
        </w:tc>
      </w:tr>
      <w:tr>
        <w:tc>
          <w:tcPr>
            <w:tcW w:type="dxa" w:w="4234"/>
            <w:tcMar>
              <w:top w:type="dxa" w:w="70"/>
              <w:left w:type="dxa" w:w="110"/>
              <w:bottom w:type="dxa" w:w="70"/>
              <w:right w:type="dxa" w:w="110"/>
            </w:tcMar>
            <w:vAlign w:val="top"/>
          </w:tcPr>
          <w:p>
            <w:r>
              <w:rPr>
                <w:b/>
                <w:bCs/>
                <w:color w:val="1A1A1A"/>
                <w:sz w:val="12"/>
                <w:szCs w:val="12"/>
              </w:rPr>
              <w:t xml:space="preserve">POST /api/v1/roles/{id}/assign</w:t>
            </w:r>
          </w:p>
        </w:tc>
        <w:tc>
          <w:tcPr>
            <w:tcW w:type="dxa" w:w="5846"/>
            <w:tcMar>
              <w:top w:type="dxa" w:w="70"/>
              <w:left w:type="dxa" w:w="110"/>
              <w:bottom w:type="dxa" w:w="70"/>
              <w:right w:type="dxa" w:w="110"/>
            </w:tcMar>
            <w:vAlign w:val="top"/>
          </w:tcPr>
          <w:p>
            <w:r>
              <w:rPr>
                <w:b w:val="false"/>
                <w:bCs w:val="false"/>
                <w:color w:val="1A1A1A"/>
                <w:sz w:val="12"/>
                <w:szCs w:val="12"/>
              </w:rPr>
              <w:t xml:space="preserve">Assign a role to a user.</w:t>
            </w:r>
          </w:p>
        </w:tc>
      </w:tr>
      <w:tr>
        <w:tc>
          <w:tcPr>
            <w:tcW w:type="dxa" w:w="4234"/>
            <w:tcMar>
              <w:top w:type="dxa" w:w="70"/>
              <w:left w:type="dxa" w:w="110"/>
              <w:bottom w:type="dxa" w:w="70"/>
              <w:right w:type="dxa" w:w="110"/>
            </w:tcMar>
            <w:vAlign w:val="top"/>
          </w:tcPr>
          <w:p>
            <w:r>
              <w:rPr>
                <w:b/>
                <w:bCs/>
                <w:color w:val="1A1A1A"/>
                <w:sz w:val="12"/>
                <w:szCs w:val="12"/>
              </w:rPr>
              <w:t xml:space="preserve">GET /api/v1/sessions</w:t>
            </w:r>
          </w:p>
        </w:tc>
        <w:tc>
          <w:tcPr>
            <w:tcW w:type="dxa" w:w="5846"/>
            <w:tcMar>
              <w:top w:type="dxa" w:w="70"/>
              <w:left w:type="dxa" w:w="110"/>
              <w:bottom w:type="dxa" w:w="70"/>
              <w:right w:type="dxa" w:w="110"/>
            </w:tcMar>
            <w:vAlign w:val="top"/>
          </w:tcPr>
          <w:p>
            <w:r>
              <w:rPr>
                <w:b w:val="false"/>
                <w:bCs w:val="false"/>
                <w:color w:val="1A1A1A"/>
                <w:sz w:val="12"/>
                <w:szCs w:val="12"/>
              </w:rPr>
              <w:t xml:space="preserve">List active sessions.</w:t>
            </w:r>
          </w:p>
        </w:tc>
      </w:tr>
      <w:tr>
        <w:tc>
          <w:tcPr>
            <w:tcW w:type="dxa" w:w="4234"/>
            <w:tcMar>
              <w:top w:type="dxa" w:w="70"/>
              <w:left w:type="dxa" w:w="110"/>
              <w:bottom w:type="dxa" w:w="70"/>
              <w:right w:type="dxa" w:w="110"/>
            </w:tcMar>
            <w:vAlign w:val="top"/>
          </w:tcPr>
          <w:p>
            <w:r>
              <w:rPr>
                <w:b/>
                <w:bCs/>
                <w:color w:val="1A1A1A"/>
                <w:sz w:val="12"/>
                <w:szCs w:val="12"/>
              </w:rPr>
              <w:t xml:space="preserve">DELETE /api/v1/sessions/{id}</w:t>
            </w:r>
          </w:p>
        </w:tc>
        <w:tc>
          <w:tcPr>
            <w:tcW w:type="dxa" w:w="5846"/>
            <w:tcMar>
              <w:top w:type="dxa" w:w="70"/>
              <w:left w:type="dxa" w:w="110"/>
              <w:bottom w:type="dxa" w:w="70"/>
              <w:right w:type="dxa" w:w="110"/>
            </w:tcMar>
            <w:vAlign w:val="top"/>
          </w:tcPr>
          <w:p>
            <w:r>
              <w:rPr>
                <w:b w:val="false"/>
                <w:bCs w:val="false"/>
                <w:color w:val="1A1A1A"/>
                <w:sz w:val="12"/>
                <w:szCs w:val="12"/>
              </w:rPr>
              <w:t xml:space="preserve">Terminate a session.</w:t>
            </w:r>
          </w:p>
        </w:tc>
      </w:tr>
    </w:tbl>
    <w:p>
      <w:pPr>
        <w:spacing w:after="160"/>
      </w:pPr>
    </w:p>
    <w:p>
      <w:pPr>
        <w:spacing w:after="90" w:before="180"/>
      </w:pPr>
      <w:r>
        <w:rPr>
          <w:b/>
          <w:bCs/>
          <w:color w:val="1C1E21"/>
          <w:sz w:val="19"/>
          <w:szCs w:val="19"/>
        </w:rPr>
        <w:t xml:space="preserve">UI Screens</w:t>
      </w:r>
    </w:p>
    <w:p>
      <w:pPr>
        <w:pStyle w:val="ListParagraph"/>
        <w:numPr>
          <w:ilvl w:val="0"/>
          <w:numId w:val="1"/>
        </w:numPr>
        <w:spacing w:after="90" w:line="264"/>
      </w:pPr>
      <w:r>
        <w:t xml:space="preserve">Role Management screen</w:t>
      </w:r>
    </w:p>
    <w:p>
      <w:pPr>
        <w:pStyle w:val="ListParagraph"/>
        <w:numPr>
          <w:ilvl w:val="0"/>
          <w:numId w:val="1"/>
        </w:numPr>
        <w:spacing w:after="90" w:line="264"/>
      </w:pPr>
      <w:r>
        <w:t xml:space="preserve">Permission Matrix editor</w:t>
      </w:r>
    </w:p>
    <w:p>
      <w:pPr>
        <w:pStyle w:val="ListParagraph"/>
        <w:numPr>
          <w:ilvl w:val="0"/>
          <w:numId w:val="1"/>
        </w:numPr>
        <w:spacing w:after="90" w:line="264"/>
      </w:pPr>
      <w:r>
        <w:t xml:space="preserve">Session Management screen</w:t>
      </w:r>
    </w:p>
    <w:p>
      <w:pPr>
        <w:pStyle w:val="ListParagraph"/>
        <w:numPr>
          <w:ilvl w:val="0"/>
          <w:numId w:val="1"/>
        </w:numPr>
        <w:spacing w:after="90" w:line="264"/>
      </w:pPr>
      <w:r>
        <w:t xml:space="preserve">Access Audit Viewer (SRS Part 23).</w:t>
      </w:r>
    </w:p>
    <w:p>
      <w:pPr>
        <w:spacing w:after="90" w:before="180"/>
      </w:pPr>
      <w:r>
        <w:rPr>
          <w:b/>
          <w:bCs/>
          <w:color w:val="1C1E21"/>
          <w:sz w:val="19"/>
          <w:szCs w:val="19"/>
        </w:rPr>
        <w:t xml:space="preserve">Security Controls</w:t>
      </w:r>
    </w:p>
    <w:p>
      <w:pPr>
        <w:pStyle w:val="ListParagraph"/>
        <w:numPr>
          <w:ilvl w:val="0"/>
          <w:numId w:val="1"/>
        </w:numPr>
        <w:spacing w:after="90" w:line="264"/>
      </w:pPr>
      <w:r>
        <w:t xml:space="preserve">Least-privilege enforcement across all roles.</w:t>
      </w:r>
    </w:p>
    <w:p>
      <w:pPr>
        <w:pStyle w:val="ListParagraph"/>
        <w:numPr>
          <w:ilvl w:val="0"/>
          <w:numId w:val="1"/>
        </w:numPr>
        <w:spacing w:after="90" w:line="264"/>
      </w:pPr>
      <w:r>
        <w:t xml:space="preserve">MFA configuration for Administrator and Executive-tier roles.</w:t>
      </w:r>
    </w:p>
    <w:p>
      <w:pPr>
        <w:pStyle w:val="ListParagraph"/>
        <w:numPr>
          <w:ilvl w:val="0"/>
          <w:numId w:val="1"/>
        </w:numPr>
        <w:spacing w:after="90" w:line="264"/>
      </w:pPr>
      <w:r>
        <w:t xml:space="preserve">Session timeout enforcement.</w:t>
      </w:r>
    </w:p>
    <w:p>
      <w:pPr>
        <w:pStyle w:val="ListParagraph"/>
        <w:numPr>
          <w:ilvl w:val="0"/>
          <w:numId w:val="1"/>
        </w:numPr>
        <w:spacing w:after="90" w:line="264"/>
      </w:pPr>
      <w:r>
        <w:t xml:space="preserve">Full access audit trail per Appendix K (Security Controls &amp; Compliance Matrix).</w:t>
      </w:r>
    </w:p>
    <w:p>
      <w:pPr>
        <w:spacing w:after="90" w:before="180"/>
      </w:pPr>
      <w:r>
        <w:rPr>
          <w:b/>
          <w:bCs/>
          <w:color w:val="1C1E21"/>
          <w:sz w:val="19"/>
          <w:szCs w:val="19"/>
        </w:rPr>
        <w:t xml:space="preserve">Acceptance Criteria</w:t>
      </w:r>
    </w:p>
    <w:p>
      <w:pPr>
        <w:spacing w:after="90" w:line="264"/>
      </w:pPr>
      <w:r>
        <w:rPr>
          <w:b/>
          <w:bCs/>
          <w:color w:val="33363C"/>
        </w:rPr>
        <w:t xml:space="preserve">1. </w:t>
      </w:r>
      <w:r>
        <w:t xml:space="preserve">A new role with a defined permission set can be created and assigned to a user.</w:t>
      </w:r>
    </w:p>
    <w:p>
      <w:pPr>
        <w:spacing w:after="90" w:line="264"/>
      </w:pPr>
      <w:r>
        <w:rPr>
          <w:b/>
          <w:bCs/>
          <w:color w:val="33363C"/>
        </w:rPr>
        <w:t xml:space="preserve">2. </w:t>
      </w:r>
      <w:r>
        <w:t xml:space="preserve">A user without the required permission is denied access to a protected action, verified end-to-end through the API gateway.</w:t>
      </w:r>
    </w:p>
    <w:p>
      <w:pPr>
        <w:spacing w:after="90" w:line="264"/>
      </w:pPr>
      <w:r>
        <w:rPr>
          <w:b/>
          <w:bCs/>
          <w:color w:val="33363C"/>
        </w:rPr>
        <w:t xml:space="preserve">3. </w:t>
      </w:r>
      <w:r>
        <w:t xml:space="preserve">Session timeout correctly forces re-authentication after the configured period.</w:t>
      </w:r>
    </w:p>
    <w:p>
      <w:pPr>
        <w:spacing w:after="90" w:line="264"/>
      </w:pPr>
      <w:r>
        <w:rPr>
          <w:b/>
          <w:bCs/>
          <w:color w:val="33363C"/>
        </w:rPr>
        <w:t xml:space="preserve">4. </w:t>
      </w:r>
      <w:r>
        <w:t xml:space="preserve">Access audit log captures 100% of access control decisions in a test suite.</w:t>
      </w:r>
    </w:p>
    <w:p>
      <w:pPr>
        <w:spacing w:after="90" w:before="180"/>
      </w:pPr>
      <w:r>
        <w:rPr>
          <w:b/>
          <w:bCs/>
          <w:color w:val="1C1E21"/>
          <w:sz w:val="19"/>
          <w:szCs w:val="19"/>
        </w:rPr>
        <w:t xml:space="preserve">Test Cases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13"/>
        <w:gridCol w:w="1613"/>
        <w:gridCol w:w="6854"/>
      </w:tblGrid>
      <w:tr>
        <w:trPr>
          <w:tblHeader/>
        </w:trPr>
        <w:tc>
          <w:tcPr>
            <w:tcW w:type="dxa" w:w="1613"/>
            <w:shd w:fill="33363C" w:val="clear"/>
            <w:tcMar>
              <w:top w:type="dxa" w:w="70"/>
              <w:left w:type="dxa" w:w="110"/>
              <w:bottom w:type="dxa" w:w="70"/>
              <w:right w:type="dxa" w:w="110"/>
            </w:tcMar>
            <w:vAlign w:val="top"/>
          </w:tcPr>
          <w:p>
            <w:r>
              <w:rPr>
                <w:b/>
                <w:bCs/>
                <w:color w:val="FFFFFF"/>
                <w:sz w:val="17"/>
                <w:szCs w:val="17"/>
              </w:rPr>
              <w:t xml:space="preserve">Test ID</w:t>
            </w:r>
          </w:p>
        </w:tc>
        <w:tc>
          <w:tcPr>
            <w:tcW w:type="dxa" w:w="1613"/>
            <w:shd w:fill="33363C" w:val="clear"/>
            <w:tcMar>
              <w:top w:type="dxa" w:w="70"/>
              <w:left w:type="dxa" w:w="110"/>
              <w:bottom w:type="dxa" w:w="70"/>
              <w:right w:type="dxa" w:w="110"/>
            </w:tcMar>
            <w:vAlign w:val="top"/>
          </w:tcPr>
          <w:p>
            <w:r>
              <w:rPr>
                <w:b/>
                <w:bCs/>
                <w:color w:val="FFFFFF"/>
                <w:sz w:val="17"/>
                <w:szCs w:val="17"/>
              </w:rPr>
              <w:t xml:space="preserve">Type</w:t>
            </w:r>
          </w:p>
        </w:tc>
        <w:tc>
          <w:tcPr>
            <w:tcW w:type="dxa" w:w="6854"/>
            <w:shd w:fill="33363C" w:val="clear"/>
            <w:tcMar>
              <w:top w:type="dxa" w:w="70"/>
              <w:left w:type="dxa" w:w="110"/>
              <w:bottom w:type="dxa" w:w="70"/>
              <w:right w:type="dxa" w:w="110"/>
            </w:tcMar>
            <w:vAlign w:val="top"/>
          </w:tcPr>
          <w:p>
            <w:r>
              <w:rPr>
                <w:b/>
                <w:bCs/>
                <w:color w:val="FFFFFF"/>
                <w:sz w:val="17"/>
                <w:szCs w:val="17"/>
              </w:rPr>
              <w:t xml:space="preserve">Description</w:t>
            </w:r>
          </w:p>
        </w:tc>
      </w:tr>
      <w:tr>
        <w:tc>
          <w:tcPr>
            <w:tcW w:type="dxa" w:w="1613"/>
            <w:tcMar>
              <w:top w:type="dxa" w:w="70"/>
              <w:left w:type="dxa" w:w="110"/>
              <w:bottom w:type="dxa" w:w="70"/>
              <w:right w:type="dxa" w:w="110"/>
            </w:tcMar>
            <w:vAlign w:val="top"/>
          </w:tcPr>
          <w:p>
            <w:r>
              <w:rPr>
                <w:b/>
                <w:bCs/>
                <w:color w:val="1A1A1A"/>
                <w:sz w:val="12"/>
                <w:szCs w:val="12"/>
              </w:rPr>
              <w:t xml:space="preserve">UT-SEC-01</w:t>
            </w:r>
          </w:p>
        </w:tc>
        <w:tc>
          <w:tcPr>
            <w:tcW w:type="dxa" w:w="1613"/>
            <w:tcMar>
              <w:top w:type="dxa" w:w="70"/>
              <w:left w:type="dxa" w:w="110"/>
              <w:bottom w:type="dxa" w:w="70"/>
              <w:right w:type="dxa" w:w="110"/>
            </w:tcMar>
            <w:vAlign w:val="top"/>
          </w:tcPr>
          <w:p>
            <w:r>
              <w:rPr>
                <w:b w:val="false"/>
                <w:bCs w:val="false"/>
                <w:color w:val="1A1A1A"/>
                <w:sz w:val="12"/>
                <w:szCs w:val="12"/>
              </w:rPr>
              <w:t xml:space="preserve">Unit</w:t>
            </w:r>
          </w:p>
        </w:tc>
        <w:tc>
          <w:tcPr>
            <w:tcW w:type="dxa" w:w="6854"/>
            <w:tcMar>
              <w:top w:type="dxa" w:w="70"/>
              <w:left w:type="dxa" w:w="110"/>
              <w:bottom w:type="dxa" w:w="70"/>
              <w:right w:type="dxa" w:w="110"/>
            </w:tcMar>
            <w:vAlign w:val="top"/>
          </w:tcPr>
          <w:p>
            <w:r>
              <w:rPr>
                <w:b w:val="false"/>
                <w:bCs w:val="false"/>
                <w:color w:val="1A1A1A"/>
                <w:sz w:val="12"/>
                <w:szCs w:val="12"/>
              </w:rPr>
              <w:t xml:space="preserve">Permission evaluation logic correctly resolves role-based access.</w:t>
            </w:r>
          </w:p>
        </w:tc>
      </w:tr>
      <w:tr>
        <w:tc>
          <w:tcPr>
            <w:tcW w:type="dxa" w:w="1613"/>
            <w:tcMar>
              <w:top w:type="dxa" w:w="70"/>
              <w:left w:type="dxa" w:w="110"/>
              <w:bottom w:type="dxa" w:w="70"/>
              <w:right w:type="dxa" w:w="110"/>
            </w:tcMar>
            <w:vAlign w:val="top"/>
          </w:tcPr>
          <w:p>
            <w:r>
              <w:rPr>
                <w:b/>
                <w:bCs/>
                <w:color w:val="1A1A1A"/>
                <w:sz w:val="12"/>
                <w:szCs w:val="12"/>
              </w:rPr>
              <w:t xml:space="preserve">IT-SEC-01</w:t>
            </w:r>
          </w:p>
        </w:tc>
        <w:tc>
          <w:tcPr>
            <w:tcW w:type="dxa" w:w="1613"/>
            <w:tcMar>
              <w:top w:type="dxa" w:w="70"/>
              <w:left w:type="dxa" w:w="110"/>
              <w:bottom w:type="dxa" w:w="70"/>
              <w:right w:type="dxa" w:w="110"/>
            </w:tcMar>
            <w:vAlign w:val="top"/>
          </w:tcPr>
          <w:p>
            <w:r>
              <w:rPr>
                <w:b w:val="false"/>
                <w:bCs w:val="false"/>
                <w:color w:val="1A1A1A"/>
                <w:sz w:val="12"/>
                <w:szCs w:val="12"/>
              </w:rPr>
              <w:t xml:space="preserve">Integration</w:t>
            </w:r>
          </w:p>
        </w:tc>
        <w:tc>
          <w:tcPr>
            <w:tcW w:type="dxa" w:w="6854"/>
            <w:tcMar>
              <w:top w:type="dxa" w:w="70"/>
              <w:left w:type="dxa" w:w="110"/>
              <w:bottom w:type="dxa" w:w="70"/>
              <w:right w:type="dxa" w:w="110"/>
            </w:tcMar>
            <w:vAlign w:val="top"/>
          </w:tcPr>
          <w:p>
            <w:r>
              <w:rPr>
                <w:b w:val="false"/>
                <w:bCs w:val="false"/>
                <w:color w:val="1A1A1A"/>
                <w:sz w:val="12"/>
                <w:szCs w:val="12"/>
              </w:rPr>
              <w:t xml:space="preserve">API gateway enforces the RBAC decision returned by the Security module.</w:t>
            </w:r>
          </w:p>
        </w:tc>
      </w:tr>
      <w:tr>
        <w:tc>
          <w:tcPr>
            <w:tcW w:type="dxa" w:w="1613"/>
            <w:tcMar>
              <w:top w:type="dxa" w:w="70"/>
              <w:left w:type="dxa" w:w="110"/>
              <w:bottom w:type="dxa" w:w="70"/>
              <w:right w:type="dxa" w:w="110"/>
            </w:tcMar>
            <w:vAlign w:val="top"/>
          </w:tcPr>
          <w:p>
            <w:r>
              <w:rPr>
                <w:b/>
                <w:bCs/>
                <w:color w:val="1A1A1A"/>
                <w:sz w:val="12"/>
                <w:szCs w:val="12"/>
              </w:rPr>
              <w:t xml:space="preserve">ST-SEC-01</w:t>
            </w:r>
          </w:p>
        </w:tc>
        <w:tc>
          <w:tcPr>
            <w:tcW w:type="dxa" w:w="1613"/>
            <w:tcMar>
              <w:top w:type="dxa" w:w="70"/>
              <w:left w:type="dxa" w:w="110"/>
              <w:bottom w:type="dxa" w:w="70"/>
              <w:right w:type="dxa" w:w="110"/>
            </w:tcMar>
            <w:vAlign w:val="top"/>
          </w:tcPr>
          <w:p>
            <w:r>
              <w:rPr>
                <w:b w:val="false"/>
                <w:bCs w:val="false"/>
                <w:color w:val="1A1A1A"/>
                <w:sz w:val="12"/>
                <w:szCs w:val="12"/>
              </w:rPr>
              <w:t xml:space="preserve">Security</w:t>
            </w:r>
          </w:p>
        </w:tc>
        <w:tc>
          <w:tcPr>
            <w:tcW w:type="dxa" w:w="6854"/>
            <w:tcMar>
              <w:top w:type="dxa" w:w="70"/>
              <w:left w:type="dxa" w:w="110"/>
              <w:bottom w:type="dxa" w:w="70"/>
              <w:right w:type="dxa" w:w="110"/>
            </w:tcMar>
            <w:vAlign w:val="top"/>
          </w:tcPr>
          <w:p>
            <w:r>
              <w:rPr>
                <w:b w:val="false"/>
                <w:bCs w:val="false"/>
                <w:color w:val="1A1A1A"/>
                <w:sz w:val="12"/>
                <w:szCs w:val="12"/>
              </w:rPr>
              <w:t xml:space="preserve">Privilege escalation attempt is blocked and logged.</w:t>
            </w:r>
          </w:p>
        </w:tc>
      </w:tr>
      <w:tr>
        <w:tc>
          <w:tcPr>
            <w:tcW w:type="dxa" w:w="1613"/>
            <w:tcMar>
              <w:top w:type="dxa" w:w="70"/>
              <w:left w:type="dxa" w:w="110"/>
              <w:bottom w:type="dxa" w:w="70"/>
              <w:right w:type="dxa" w:w="110"/>
            </w:tcMar>
            <w:vAlign w:val="top"/>
          </w:tcPr>
          <w:p>
            <w:r>
              <w:rPr>
                <w:b/>
                <w:bCs/>
                <w:color w:val="1A1A1A"/>
                <w:sz w:val="12"/>
                <w:szCs w:val="12"/>
              </w:rPr>
              <w:t xml:space="preserve">UAT-SEC-01</w:t>
            </w:r>
          </w:p>
        </w:tc>
        <w:tc>
          <w:tcPr>
            <w:tcW w:type="dxa" w:w="1613"/>
            <w:tcMar>
              <w:top w:type="dxa" w:w="70"/>
              <w:left w:type="dxa" w:w="110"/>
              <w:bottom w:type="dxa" w:w="70"/>
              <w:right w:type="dxa" w:w="110"/>
            </w:tcMar>
            <w:vAlign w:val="top"/>
          </w:tcPr>
          <w:p>
            <w:r>
              <w:rPr>
                <w:b w:val="false"/>
                <w:bCs w:val="false"/>
                <w:color w:val="1A1A1A"/>
                <w:sz w:val="12"/>
                <w:szCs w:val="12"/>
              </w:rPr>
              <w:t xml:space="preserve">UAT</w:t>
            </w:r>
          </w:p>
        </w:tc>
        <w:tc>
          <w:tcPr>
            <w:tcW w:type="dxa" w:w="6854"/>
            <w:tcMar>
              <w:top w:type="dxa" w:w="70"/>
              <w:left w:type="dxa" w:w="110"/>
              <w:bottom w:type="dxa" w:w="70"/>
              <w:right w:type="dxa" w:w="110"/>
            </w:tcMar>
            <w:vAlign w:val="top"/>
          </w:tcPr>
          <w:p>
            <w:r>
              <w:rPr>
                <w:b w:val="false"/>
                <w:bCs w:val="false"/>
                <w:color w:val="1A1A1A"/>
                <w:sz w:val="12"/>
                <w:szCs w:val="12"/>
              </w:rPr>
              <w:t xml:space="preserve">Administrator completes full role assignment and verification workflow.</w:t>
            </w:r>
          </w:p>
        </w:tc>
      </w:tr>
    </w:tbl>
    <w:p>
      <w:pPr>
        <w:spacing w:after="160"/>
      </w:pPr>
    </w:p>
    <w:p>
      <w:pPr>
        <w:spacing w:after="90" w:before="180"/>
      </w:pPr>
      <w:r>
        <w:rPr>
          <w:b/>
          <w:bCs/>
          <w:color w:val="1C1E21"/>
          <w:sz w:val="19"/>
          <w:szCs w:val="19"/>
        </w:rPr>
        <w:t xml:space="preserve">Documentation Updates</w:t>
      </w:r>
    </w:p>
    <w:p>
      <w:pPr>
        <w:pStyle w:val="ListParagraph"/>
        <w:numPr>
          <w:ilvl w:val="0"/>
          <w:numId w:val="1"/>
        </w:numPr>
        <w:spacing w:after="90" w:line="264"/>
      </w:pPr>
      <w:r>
        <w:t xml:space="preserve">SRS Part 9 and SRS Part 32 status updated to ‘Implemented’.</w:t>
      </w:r>
    </w:p>
    <w:p>
      <w:pPr>
        <w:pStyle w:val="ListParagraph"/>
        <w:numPr>
          <w:ilvl w:val="0"/>
          <w:numId w:val="1"/>
        </w:numPr>
        <w:spacing w:after="90" w:line="264"/>
      </w:pPr>
      <w:r>
        <w:t xml:space="preserve">Security Controls Matrix (Appendix K) cross-referenced with implementation evidence.</w:t>
      </w:r>
    </w:p>
    <w:p>
      <w:pPr>
        <w:spacing w:after="90" w:before="180"/>
      </w:pPr>
      <w:r>
        <w:rPr>
          <w:b/>
          <w:bCs/>
          <w:color w:val="1C1E21"/>
          <w:sz w:val="19"/>
          <w:szCs w:val="19"/>
        </w:rPr>
        <w:t xml:space="preserve">Related ADRs</w:t>
      </w:r>
    </w:p>
    <w:p>
      <w:pPr>
        <w:pStyle w:val="ListParagraph"/>
        <w:numPr>
          <w:ilvl w:val="0"/>
          <w:numId w:val="1"/>
        </w:numPr>
        <w:spacing w:after="90" w:line="264"/>
      </w:pPr>
      <w:r>
        <w:t xml:space="preserve">ADR-0008: RBAC Model — Role-Based vs. Attribute-Based.</w:t>
      </w:r>
    </w:p>
    <w:p>
      <w:pPr>
        <w:pStyle w:val="ListParagraph"/>
        <w:numPr>
          <w:ilvl w:val="0"/>
          <w:numId w:val="1"/>
        </w:numPr>
        <w:spacing w:after="90" w:line="264"/>
      </w:pPr>
      <w:r>
        <w:t xml:space="preserve">ADR-0009: Session Management Strategy.</w:t>
      </w:r>
    </w:p>
    <w:p>
      <w:pPr>
        <w:spacing w:after="90" w:before="180"/>
      </w:pPr>
      <w:r>
        <w:rPr>
          <w:b/>
          <w:bCs/>
          <w:color w:val="1C1E21"/>
          <w:sz w:val="19"/>
          <w:szCs w:val="19"/>
        </w:rPr>
        <w:t xml:space="preserve">Risks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210"/>
        <w:gridCol w:w="4435"/>
        <w:gridCol w:w="4435"/>
      </w:tblGrid>
      <w:tr>
        <w:trPr>
          <w:tblHeader/>
        </w:trPr>
        <w:tc>
          <w:tcPr>
            <w:tcW w:type="dxa" w:w="1210"/>
            <w:shd w:fill="33363C" w:val="clear"/>
            <w:tcMar>
              <w:top w:type="dxa" w:w="70"/>
              <w:left w:type="dxa" w:w="110"/>
              <w:bottom w:type="dxa" w:w="70"/>
              <w:right w:type="dxa" w:w="110"/>
            </w:tcMar>
            <w:vAlign w:val="top"/>
          </w:tcPr>
          <w:p>
            <w:r>
              <w:rPr>
                <w:b/>
                <w:bCs/>
                <w:color w:val="FFFFFF"/>
                <w:sz w:val="17"/>
                <w:szCs w:val="17"/>
              </w:rPr>
              <w:t xml:space="preserve">Risk ID</w:t>
            </w:r>
          </w:p>
        </w:tc>
        <w:tc>
          <w:tcPr>
            <w:tcW w:type="dxa" w:w="4435"/>
            <w:shd w:fill="33363C" w:val="clear"/>
            <w:tcMar>
              <w:top w:type="dxa" w:w="70"/>
              <w:left w:type="dxa" w:w="110"/>
              <w:bottom w:type="dxa" w:w="70"/>
              <w:right w:type="dxa" w:w="110"/>
            </w:tcMar>
            <w:vAlign w:val="top"/>
          </w:tcPr>
          <w:p>
            <w:r>
              <w:rPr>
                <w:b/>
                <w:bCs/>
                <w:color w:val="FFFFFF"/>
                <w:sz w:val="17"/>
                <w:szCs w:val="17"/>
              </w:rPr>
              <w:t xml:space="preserve">Description</w:t>
            </w:r>
          </w:p>
        </w:tc>
        <w:tc>
          <w:tcPr>
            <w:tcW w:type="dxa" w:w="4435"/>
            <w:shd w:fill="33363C" w:val="clear"/>
            <w:tcMar>
              <w:top w:type="dxa" w:w="70"/>
              <w:left w:type="dxa" w:w="110"/>
              <w:bottom w:type="dxa" w:w="70"/>
              <w:right w:type="dxa" w:w="110"/>
            </w:tcMar>
            <w:vAlign w:val="top"/>
          </w:tcPr>
          <w:p>
            <w:r>
              <w:rPr>
                <w:b/>
                <w:bCs/>
                <w:color w:val="FFFFFF"/>
                <w:sz w:val="17"/>
                <w:szCs w:val="17"/>
              </w:rPr>
              <w:t xml:space="preserve">Mitigation</w:t>
            </w:r>
          </w:p>
        </w:tc>
      </w:tr>
      <w:tr>
        <w:tc>
          <w:tcPr>
            <w:tcW w:type="dxa" w:w="1210"/>
            <w:tcMar>
              <w:top w:type="dxa" w:w="70"/>
              <w:left w:type="dxa" w:w="110"/>
              <w:bottom w:type="dxa" w:w="70"/>
              <w:right w:type="dxa" w:w="110"/>
            </w:tcMar>
            <w:vAlign w:val="top"/>
          </w:tcPr>
          <w:p>
            <w:r>
              <w:rPr>
                <w:b/>
                <w:bCs/>
                <w:color w:val="1A1A1A"/>
                <w:sz w:val="12"/>
                <w:szCs w:val="12"/>
              </w:rPr>
              <w:t xml:space="preserve">R-SEC-01</w:t>
            </w:r>
          </w:p>
        </w:tc>
        <w:tc>
          <w:tcPr>
            <w:tcW w:type="dxa" w:w="4435"/>
            <w:tcMar>
              <w:top w:type="dxa" w:w="70"/>
              <w:left w:type="dxa" w:w="110"/>
              <w:bottom w:type="dxa" w:w="70"/>
              <w:right w:type="dxa" w:w="110"/>
            </w:tcMar>
            <w:vAlign w:val="top"/>
          </w:tcPr>
          <w:p>
            <w:r>
              <w:rPr>
                <w:b w:val="false"/>
                <w:bCs w:val="false"/>
                <w:color w:val="1A1A1A"/>
                <w:sz w:val="12"/>
                <w:szCs w:val="12"/>
              </w:rPr>
              <w:t xml:space="preserve">Overly coarse-grained roles could force privilege creep.</w:t>
            </w:r>
          </w:p>
        </w:tc>
        <w:tc>
          <w:tcPr>
            <w:tcW w:type="dxa" w:w="4435"/>
            <w:tcMar>
              <w:top w:type="dxa" w:w="70"/>
              <w:left w:type="dxa" w:w="110"/>
              <w:bottom w:type="dxa" w:w="70"/>
              <w:right w:type="dxa" w:w="110"/>
            </w:tcMar>
            <w:vAlign w:val="top"/>
          </w:tcPr>
          <w:p>
            <w:r>
              <w:rPr>
                <w:b w:val="false"/>
                <w:bCs w:val="false"/>
                <w:color w:val="1A1A1A"/>
                <w:sz w:val="12"/>
                <w:szCs w:val="12"/>
              </w:rPr>
              <w:t xml:space="preserve">Granular permission model validated against SRS Part 9.</w:t>
            </w:r>
          </w:p>
        </w:tc>
      </w:tr>
    </w:tbl>
    <w:p>
      <w:pPr>
        <w:spacing w:after="160"/>
      </w:pPr>
    </w:p>
    <w:p>
      <w:pPr>
        <w:spacing w:after="90" w:before="180"/>
      </w:pPr>
      <w:r>
        <w:rPr>
          <w:b/>
          <w:bCs/>
          <w:color w:val="1C1E21"/>
          <w:sz w:val="19"/>
          <w:szCs w:val="19"/>
        </w:rPr>
        <w:t xml:space="preserve">Deliverables</w:t>
      </w:r>
    </w:p>
    <w:p>
      <w:pPr>
        <w:pStyle w:val="ListParagraph"/>
        <w:numPr>
          <w:ilvl w:val="0"/>
          <w:numId w:val="1"/>
        </w:numPr>
        <w:spacing w:after="90" w:line="264"/>
      </w:pPr>
      <w:r>
        <w:t xml:space="preserve">DEL-ENG-013: Security &amp; RBAC Module.</w:t>
      </w:r>
    </w:p>
    <w:p>
      <w:pPr>
        <w:pStyle w:val="ListParagraph"/>
        <w:numPr>
          <w:ilvl w:val="0"/>
          <w:numId w:val="1"/>
        </w:numPr>
        <w:spacing w:after="90" w:line="264"/>
      </w:pPr>
      <w:r>
        <w:t xml:space="preserve">DEL-ENG-014: Access Audit Viewer.</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218"/>
        <w:gridCol w:w="7862"/>
      </w:tblGrid>
      <w:tr>
        <w:trPr>
          <w:tblHeader/>
        </w:trPr>
        <w:tc>
          <w:tcPr>
            <w:tcW w:type="dxa" w:w="2218"/>
            <w:shd w:fill="33363C" w:val="clear"/>
            <w:tcMar>
              <w:top w:type="dxa" w:w="70"/>
              <w:left w:type="dxa" w:w="110"/>
              <w:bottom w:type="dxa" w:w="70"/>
              <w:right w:type="dxa" w:w="110"/>
            </w:tcMar>
            <w:vAlign w:val="top"/>
          </w:tcPr>
          <w:p>
            <w:r>
              <w:rPr>
                <w:b/>
                <w:bCs/>
                <w:color w:val="FFFFFF"/>
                <w:sz w:val="17"/>
                <w:szCs w:val="17"/>
              </w:rPr>
              <w:t xml:space="preserve">Gate</w:t>
            </w:r>
          </w:p>
        </w:tc>
        <w:tc>
          <w:tcPr>
            <w:tcW w:type="dxa" w:w="7862"/>
            <w:shd w:fill="33363C" w:val="clear"/>
            <w:tcMar>
              <w:top w:type="dxa" w:w="70"/>
              <w:left w:type="dxa" w:w="110"/>
              <w:bottom w:type="dxa" w:w="70"/>
              <w:right w:type="dxa" w:w="110"/>
            </w:tcMar>
            <w:vAlign w:val="top"/>
          </w:tcPr>
          <w:p>
            <w:r>
              <w:rPr>
                <w:b/>
                <w:bCs/>
                <w:color w:val="FFFFFF"/>
                <w:sz w:val="17"/>
                <w:szCs w:val="17"/>
              </w:rPr>
              <w:t xml:space="preserve">Criteria</w:t>
            </w:r>
          </w:p>
        </w:tc>
      </w:tr>
      <w:tr>
        <w:tc>
          <w:tcPr>
            <w:tcW w:type="dxa" w:w="2218"/>
            <w:tcMar>
              <w:top w:type="dxa" w:w="70"/>
              <w:left w:type="dxa" w:w="110"/>
              <w:bottom w:type="dxa" w:w="70"/>
              <w:right w:type="dxa" w:w="110"/>
            </w:tcMar>
            <w:vAlign w:val="top"/>
          </w:tcPr>
          <w:p>
            <w:r>
              <w:rPr>
                <w:b/>
                <w:bCs/>
                <w:color w:val="1A1A1A"/>
                <w:sz w:val="12"/>
                <w:szCs w:val="12"/>
              </w:rPr>
              <w:t xml:space="preserve">Definition of Ready</w:t>
            </w:r>
          </w:p>
        </w:tc>
        <w:tc>
          <w:tcPr>
            <w:tcW w:type="dxa" w:w="7862"/>
            <w:tcMar>
              <w:top w:type="dxa" w:w="70"/>
              <w:left w:type="dxa" w:w="110"/>
              <w:bottom w:type="dxa" w:w="70"/>
              <w:right w:type="dxa" w:w="110"/>
            </w:tcMar>
            <w:vAlign w:val="top"/>
          </w:tcPr>
          <w:p>
            <w:r>
              <w:rPr>
                <w:b w:val="false"/>
                <w:bCs w:val="false"/>
                <w:color w:val="1A1A1A"/>
                <w:sz w:val="12"/>
                <w:szCs w:val="12"/>
              </w:rPr>
              <w:t xml:space="preserve">WP-01 through WP-04 complete; Security Architecture and SRS Part 9 approved.</w:t>
            </w:r>
          </w:p>
        </w:tc>
      </w:tr>
      <w:tr>
        <w:tc>
          <w:tcPr>
            <w:tcW w:type="dxa" w:w="2218"/>
            <w:tcMar>
              <w:top w:type="dxa" w:w="70"/>
              <w:left w:type="dxa" w:w="110"/>
              <w:bottom w:type="dxa" w:w="70"/>
              <w:right w:type="dxa" w:w="110"/>
            </w:tcMar>
            <w:vAlign w:val="top"/>
          </w:tcPr>
          <w:p>
            <w:r>
              <w:rPr>
                <w:b/>
                <w:bCs/>
                <w:color w:val="1A1A1A"/>
                <w:sz w:val="12"/>
                <w:szCs w:val="12"/>
              </w:rPr>
              <w:t xml:space="preserve">Definition of Done</w:t>
            </w:r>
          </w:p>
        </w:tc>
        <w:tc>
          <w:tcPr>
            <w:tcW w:type="dxa" w:w="7862"/>
            <w:tcMar>
              <w:top w:type="dxa" w:w="70"/>
              <w:left w:type="dxa" w:w="110"/>
              <w:bottom w:type="dxa" w:w="70"/>
              <w:right w:type="dxa" w:w="110"/>
            </w:tcMar>
            <w:vAlign w:val="top"/>
          </w:tcPr>
          <w:p>
            <w:r>
              <w:rPr>
                <w:b w:val="false"/>
                <w:bCs w:val="false"/>
                <w:color w:val="1A1A1A"/>
                <w:sz w:val="12"/>
                <w:szCs w:val="12"/>
              </w:rPr>
              <w:t xml:space="preserve">All acceptance criteria met; test cases passing including UAT; ADRs recorded; documentation and Security Controls Matrix updated; Security Architect and Steering Committee sign-off per Appendix O, Section O.6.</w:t>
            </w:r>
          </w:p>
        </w:tc>
      </w:tr>
    </w:tbl>
    <w:p>
      <w:pPr>
        <w:spacing w:after="160"/>
      </w:pPr>
    </w:p>
    <w:p>
      <w:pPr>
        <w:pStyle w:val="Heading1"/>
        <w:pBdr>
          <w:bottom w:val="single" w:color="DAD3C0" w:sz="4" w:space="4"/>
        </w:pBdr>
        <w:spacing w:after="140" w:before="360"/>
      </w:pPr>
      <w:r>
        <w:rPr>
          <w:b/>
          <w:bCs/>
          <w:color w:val="97771F"/>
          <w:sz w:val="26"/>
          <w:szCs w:val="26"/>
        </w:rPr>
        <w:t xml:space="preserve">5.6  </w:t>
      </w:r>
      <w:r>
        <w:rPr>
          <w:b/>
          <w:bCs/>
          <w:color w:val="33363C"/>
          <w:sz w:val="26"/>
          <w:szCs w:val="26"/>
        </w:rPr>
        <w:t xml:space="preserve">Summary and Bridge to Part 6</w:t>
      </w:r>
    </w:p>
    <w:p>
      <w:pPr>
        <w:spacing w:after="150" w:line="276"/>
        <w:jc w:val="both"/>
      </w:pPr>
      <w:r>
        <w:t xml:space="preserve">This Part fully specified the five foundational Engineering Work Packages that must be complete before any other module Work Package can begin implementation: Platform Database Foundation, API &amp; Integration Platform Foundation, DevSecOps Pipeline &amp; Environment Foundation, Administration &amp; User Management, and Security &amp; Access Control.</w:t>
      </w:r>
    </w:p>
    <w:p>
      <w:pPr>
        <w:spacing w:after="150" w:line="276"/>
        <w:jc w:val="both"/>
      </w:pPr>
      <w:r>
        <w:t xml:space="preserve">Part 6 specifies Work Packages 06 through 10 — Executive Management, Programme Management, Projects, Tasks, and Workflow Engine — the first wave of module-level Work Packages, each built directly on top of the foundation established here.</w:t>
      </w:r>
    </w:p>
    <w:p>
      <w:pPr>
        <w:pStyle w:val="Heading2"/>
        <w:spacing w:after="110" w:before="260"/>
      </w:pPr>
      <w:r>
        <w:rPr>
          <w:b/>
          <w:bCs/>
          <w:color w:val="97771F"/>
          <w:sz w:val="21"/>
          <w:szCs w:val="21"/>
        </w:rPr>
        <w:t xml:space="preserve">5.6.1  </w:t>
      </w:r>
      <w:r>
        <w:rPr>
          <w:b/>
          <w:bCs/>
          <w:color w:val="33363C"/>
          <w:sz w:val="21"/>
          <w:szCs w:val="21"/>
        </w:rPr>
        <w:t xml:space="preserve">Key Takeaways</w:t>
      </w:r>
    </w:p>
    <w:p>
      <w:pPr>
        <w:pStyle w:val="ListParagraph"/>
        <w:numPr>
          <w:ilvl w:val="0"/>
          <w:numId w:val="1"/>
        </w:numPr>
        <w:spacing w:after="90" w:line="264"/>
      </w:pPr>
      <w:r>
        <w:t xml:space="preserve">WP-01 through WP-03 have no dependencies on each other and can be executed in parallel; WP-04 and WP-05 depend on all three.</w:t>
      </w:r>
    </w:p>
    <w:p>
      <w:pPr>
        <w:pStyle w:val="ListParagraph"/>
        <w:numPr>
          <w:ilvl w:val="0"/>
          <w:numId w:val="1"/>
        </w:numPr>
        <w:spacing w:after="90" w:line="264"/>
      </w:pPr>
      <w:r>
        <w:t xml:space="preserve">Every Work Package carries the full field set required by the MEKB: objective through Definition of Done, with zero fields left unspecified.</w:t>
      </w:r>
    </w:p>
    <w:p>
      <w:pPr>
        <w:pStyle w:val="ListParagraph"/>
        <w:numPr>
          <w:ilvl w:val="0"/>
          <w:numId w:val="1"/>
        </w:numPr>
        <w:spacing w:after="90" w:line="264"/>
      </w:pPr>
      <w:r>
        <w:t xml:space="preserve">Nine new ADRs (ADR-0001 through ADR-0009) are anticipated from this wave of Work Packages alone.</w:t>
      </w:r>
    </w:p>
    <w:p>
      <w:pPr>
        <w:pStyle w:val="ListParagraph"/>
        <w:numPr>
          <w:ilvl w:val="0"/>
          <w:numId w:val="1"/>
        </w:numPr>
        <w:spacing w:after="90" w:line="264"/>
      </w:pPr>
      <w:r>
        <w:t xml:space="preserve">WP-04 and WP-05 together complete the platform's authentication, authorization, and organizational-context foundation required by all twenty remaining Work Packages.</w:t>
      </w:r>
    </w:p>
    <w:p>
      <w:pPr>
        <w:pStyle w:val="Heading2"/>
        <w:spacing w:after="110" w:before="260"/>
      </w:pPr>
      <w:r>
        <w:rPr>
          <w:b/>
          <w:bCs/>
          <w:color w:val="97771F"/>
          <w:sz w:val="21"/>
          <w:szCs w:val="21"/>
        </w:rPr>
        <w:t xml:space="preserve">5.6.2  </w:t>
      </w:r>
      <w:r>
        <w:rPr>
          <w:b/>
          <w:bCs/>
          <w:color w:val="33363C"/>
          <w:sz w:val="21"/>
          <w:szCs w:val="21"/>
        </w:rPr>
        <w:t xml:space="preserve">Related Parts</w:t>
      </w:r>
    </w:p>
    <w:p>
      <w:pPr>
        <w:pStyle w:val="ListParagraph"/>
        <w:numPr>
          <w:ilvl w:val="0"/>
          <w:numId w:val="1"/>
        </w:numPr>
        <w:spacing w:after="90" w:line="264"/>
      </w:pPr>
      <w:r>
        <w:t xml:space="preserve">MEKB Part 4 — Engineering Work Breakdown Structure</w:t>
      </w:r>
    </w:p>
    <w:p>
      <w:pPr>
        <w:pStyle w:val="ListParagraph"/>
        <w:numPr>
          <w:ilvl w:val="0"/>
          <w:numId w:val="1"/>
        </w:numPr>
        <w:spacing w:after="90" w:line="264"/>
      </w:pPr>
      <w:r>
        <w:t xml:space="preserve">MEKB Part 6 — Engineering Work Packages 06–10</w:t>
      </w:r>
    </w:p>
    <w:p>
      <w:pPr>
        <w:pStyle w:val="ListParagraph"/>
        <w:numPr>
          <w:ilvl w:val="0"/>
          <w:numId w:val="1"/>
        </w:numPr>
        <w:spacing w:after="90" w:line="264"/>
      </w:pPr>
      <w:r>
        <w:t xml:space="preserve">MEKB Part 9 — Sprint Roadmap</w:t>
      </w:r>
    </w:p>
    <w:p>
      <w:pPr>
        <w:pStyle w:val="ListParagraph"/>
        <w:numPr>
          <w:ilvl w:val="0"/>
          <w:numId w:val="1"/>
        </w:numPr>
        <w:spacing w:after="90" w:line="264"/>
      </w:pPr>
      <w:r>
        <w:t xml:space="preserve">MEKB Part 10 — Work Package Dependency Matrix and Master Prompt Library</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33363C"/>
      <w:sz w:val="26"/>
      <w:szCs w:val="26"/>
    </w:rPr>
  </w:style>
  <w:style w:type="paragraph" w:styleId="Heading2">
    <w:name w:val="Heading 2"/>
    <w:basedOn w:val="Normal"/>
    <w:next w:val="Normal"/>
    <w:qFormat/>
    <w:pPr>
      <w:spacing w:after="110" w:before="240"/>
    </w:pPr>
    <w:rPr>
      <w:rFonts w:ascii="Calibri" w:cs="Calibri" w:eastAsia="Calibri" w:hAnsi="Calibri"/>
      <w:b/>
      <w:bCs/>
      <w:color w:val="33363C"/>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2026-07-20T12:22:14.985Z</dcterms:created>
  <dcterms:modified xsi:type="dcterms:W3CDTF">2026-07-20T12:22:14.986Z</dcterms:modified>
</cp:coreProperties>
</file>

<file path=docProps/custom.xml><?xml version="1.0" encoding="utf-8"?>
<Properties xmlns="http://schemas.openxmlformats.org/officeDocument/2006/custom-properties" xmlns:vt="http://schemas.openxmlformats.org/officeDocument/2006/docPropsVTypes"/>
</file>