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b/>
          <w:bCs/>
          <w:caps/>
          <w:color w:val="97771F"/>
          <w:sz w:val="22"/>
          <w:szCs w:val="22"/>
        </w:rPr>
        <w:t xml:space="preserve">SAPZ MASTER ENGINEERING KNOWLEDGE BASE</w:t>
      </w:r>
    </w:p>
    <w:p>
      <w:pPr>
        <w:spacing w:after="260"/>
        <w:jc w:val="center"/>
      </w:pPr>
      <w:r>
        <w:rPr>
          <w:b/>
          <w:bCs/>
          <w:color w:val="1C1E21"/>
          <w:sz w:val="28"/>
          <w:szCs w:val="28"/>
        </w:rPr>
        <w:t xml:space="preserve">Part 7</w:t>
      </w:r>
    </w:p>
    <w:p>
      <w:pPr>
        <w:pBdr>
          <w:bottom w:val="single" w:color="33363C" w:sz="14" w:space="10"/>
        </w:pBdr>
        <w:spacing w:after="160"/>
        <w:jc w:val="center"/>
      </w:pPr>
      <w:r>
        <w:rPr>
          <w:b/>
          <w:bCs/>
          <w:color w:val="1C1E21"/>
          <w:sz w:val="40"/>
          <w:szCs w:val="40"/>
        </w:rPr>
        <w:t xml:space="preserve">Engineering Work Packages 11–15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Master Engineering Knowledge Base (MEKB) — Bridging Documentation and Implementation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97771F"/>
          <w:sz w:val="22"/>
          <w:szCs w:val="22"/>
        </w:rPr>
        <w:t xml:space="preserve">PART 7</w:t>
      </w:r>
    </w:p>
    <w:p>
      <w:pPr>
        <w:pBdr>
          <w:bottom w:val="single" w:color="33363C" w:sz="12" w:space="8"/>
        </w:pBdr>
        <w:spacing w:after="200"/>
        <w:jc w:val="left"/>
      </w:pPr>
      <w:r>
        <w:rPr>
          <w:b/>
          <w:bCs/>
          <w:color w:val="1C1E21"/>
          <w:sz w:val="44"/>
          <w:szCs w:val="44"/>
        </w:rPr>
        <w:t xml:space="preserve">Engineering Work Packages 11–15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Part Overview</w:t>
      </w:r>
    </w:p>
    <w:p>
      <w:pPr>
        <w:spacing w:after="150" w:line="276"/>
        <w:jc w:val="both"/>
      </w:pPr>
      <w:r>
        <w:t xml:space="preserve">This Part specifies Engineering Work Packages WP-11 through WP-15 — Approvals, Documents, Knowledge Repository, Media, and Search — extending the platform from process orchestration (Part 6) into document- and knowledge-centric capability, including the platform's first AI &amp; Knowledge Management Engineering Work Packages.</w:t>
      </w:r>
    </w:p>
    <w:p>
      <w:pPr>
        <w:spacing w:after="150" w:line="276"/>
        <w:jc w:val="both"/>
      </w:pPr>
      <w:r>
        <w:t xml:space="preserve">Approvals (WP-11) is the first consumer of the Workflow Engine (WP-10) delivered in Part 6, demonstrating the shared orchestration pattern. Documents (WP-12) then becomes the platform's system of record, feeding both the Knowledge Repository (WP-13) and, together with it, the platform-wide Search capability (WP-15). Media (WP-14) proceeds largely independently, sharing only foundational security and delivery infrastructure.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3F0E8" w:sz="2"/>
              <w:left w:val="single" w:color="97771F" w:sz="24"/>
              <w:bottom w:val="single" w:color="F3F0E8" w:sz="2"/>
              <w:right w:val="single" w:color="F3F0E8" w:sz="2"/>
            </w:tcBorders>
            <w:shd w:fill="F3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7771F"/>
                <w:sz w:val="17"/>
                <w:szCs w:val="17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WP-12 → WP-13 → WP-15 form a content dependency chain: Documents supplies the content, Knowledge Repository organizes it, and Search indexes both. No Work Package in this chain should be started before its upstream dependency reaches a stable data contract, consistent with Part 1's traceability backbone.</w:t>
            </w:r>
          </w:p>
        </w:tc>
      </w:tr>
    </w:tbl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7.1  </w:t>
      </w:r>
      <w:r>
        <w:rPr>
          <w:b/>
          <w:bCs/>
          <w:color w:val="33363C"/>
          <w:sz w:val="26"/>
          <w:szCs w:val="26"/>
        </w:rPr>
        <w:t xml:space="preserve">WP-11 — Approvals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a formal, auditable, multi-level approval mechanism for programme decisions and documents, built on the Workflow Engine (WP-10).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Approvals are the most common workflow instantiation on the platform — programme decisions, document releases, and budget changes all require a formal sign-off with non-repudiation.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 Service, Delegation Manager, Approval Chain Resolver, per SRS Part 8, consuming the Workflow Engine (WP-10) for state orchestration.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The underlying workflow state machine itself (WP-10); document versioning (WP-12).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8; Workflow Engine (WP-10); Administration (WP-04) for delegation rules.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Approvals module supporting multi-level approval chains with delegation and a full audit trail.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WP-10 (Workflow Engine, primary dependency); WP-04 (Administration, for delegation configuration).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US-031: As an Approver, I want to review and approve or reject a request with comments so that decisions are documented.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US-032: As an Approver going on leave, I want to delegate my approval authority so that requests are not delayed.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US-033: As a Compliance Officer, I want a complete, non-repudiable approval audit trail so that decisions can withstand an IFAD audit.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FR-APR-01: Implement approval request creation and multi-level chain resolution, per SRS Part 8.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FR-APR-02: Implement delegation of approval authority with time-bound validity.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FR-APR-03: Implement rejection with mandatory comment capture.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FR-APR-04: Implement approval chain configuration built on the Workflow Engine (WP-10).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NFR-APR-01: Approval actions are non-repudiable and immutably logged.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NFR-APR-02: Approval Inbox loads within the response time defined in SRS Part 33.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approval_requests, approval_chains, approval_decisions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/api/v1/approvals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an approval request.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/api/v1/approvals/{id}/decision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Record an approval or rejection decision.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/api/v1/approvals/{id}/delegate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Delegate approval authority.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/api/v1/approvals/inbox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pending approvals for the current user.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Inbox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Detail screen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Delegation settings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Non-repudiation control on approval actions (signed decision records).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Full approval audit trail per Appendix 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Delegation restricted to valid organizational scope.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multi-level approval chain correctly routes a request through each approver in sequence.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delegated approver can act on behalf of the delegator within the delegation's validity window.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rejection requires and captures a comment.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The approval audit trail is complete and immutable for a test approval chain.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UT-APR-01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 chain resolver correctly sequences multi-level approvers.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IT-APR-01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 decision correctly triggers the underlying Workflow Engine state transition.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ST-APR-01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Approval record cannot be altered after submission.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UAT-APR-01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Approver completes a full multi-level approval workflow, including a delegation scenario,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8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Approvals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ADR-0015: Approval Non-Repudiation Mechanism.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R-APR-01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Delegation misconfiguration could allow unauthorized approval.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Organizational scope validation enforced on delegation assignment.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DEL-ENG-025: Approvals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DEL-ENG-026: Approval Inbox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WP-10 and WP-04 complete; SRS Part 8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Technical Lead and Compliance Officer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7.2  </w:t>
      </w:r>
      <w:r>
        <w:rPr>
          <w:b/>
          <w:bCs/>
          <w:color w:val="33363C"/>
          <w:sz w:val="26"/>
          <w:szCs w:val="26"/>
        </w:rPr>
        <w:t xml:space="preserve">WP-12 —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document lifecycle management — upload, metadata, version control, retention — as the platform's system of record for formal programme documents.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Documents underpin Approvals, Knowledge Repository, and donor reporting. A robust, auditable document management capability is a precondition for programme governance.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 Service, Version Control Engine, Retention Policy Manager, per SRS Part 11.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Knowledge taxonomy and semantic search (WP-13); media-specific handling such as transcoding (WP-14).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11; Security &amp; Access Control (WP-05) for document-level access control.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Documents module supporting upload, versioning, and retention-governed archival.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WP-05 (Security, for access control); WP-11 (Approvals, for document release gating).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US-034: As a Document Owner, I want to upload a document with metadata so that it is discoverable and properly classified.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US-035: As a Reviewer, I want to check out a document for edits so that concurrent editing conflicts are prevented.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US-036: As a Records Officer, I want retention policies enforced automatically so that documents are archived per programme retention schedules.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FR-DOC-01: Implement document upload with virus scanning and metadata tagging, per SRS Part 11.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FR-DOC-02: Implement version control with check-in/check-out locking.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FR-DOC-03: Implement retention policy enforcement and archival scheduling.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NFR-DOC-01: Support large file uploads within the size limits defined in SRS Part 30.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NFR-DOC-02: All documents encrypted at rest.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documents, document_versions, document_metadata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/api/v1/documents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Upload a new document.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/api/v1/documents/{id}/versions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version history.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/api/v1/documents/{id}/checkout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Check out a document for editing.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/api/v1/documents/{id}/checkin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Check in an edited document.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 Library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 Document Page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Version History viewer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Document-level access control (WP-05).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Mandatory virus scanning gate on upload.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Encryption at rest per DDS Part 11.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document can be uploaded with metadata and passes the virus scanning gate.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Version history correctly tracks sequential edits with check-in/check-out locking.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document under an active retention policy cannot be deleted before its retention date.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A user without document-level access permission cannot retrieve the document.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UT-DOC-01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Version increment logic correctly sequences versions.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IT-DOC-01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 upload triggers virus scan and metadata indexing.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ST-DOC-01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Unauthorized user is denied document access.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UAT-DOC-01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 Owner completes a full upload-review-approve workflow in staging, including an Approvals (WP-11) gate.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11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Documents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ADR-0016: Document Storage and Versioning Strategy.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R-DOC-01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Large binary files could degrade storage performance.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Object storage architecture validated in this Work Package.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DEL-ENG-027: Documents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DEL-ENG-028: Document Library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WP-05 complete; WP-11 complete or contract stable; SRS Part 11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Backend Lead and Records Officer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7.3  </w:t>
      </w:r>
      <w:r>
        <w:rPr>
          <w:b/>
          <w:bCs/>
          <w:color w:val="33363C"/>
          <w:sz w:val="26"/>
          <w:szCs w:val="26"/>
        </w:rPr>
        <w:t xml:space="preserve">WP-13 — Knowledge Repository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the Knowledge Repository — taxonomy, curated collections, and article authoring — organizing programme documents and institutional knowledge into a searchable structure.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The Knowledge Repository is the platform's principal differentiator, converting an archive of programme documents into an actively organized institutional knowledge base, and is the foundation for the AI Assistant (WP-23, Phase 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Knowledge Repository Service, Taxonomy Manager, Curation Workflow, per SRS Part 12.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Semantic/AI-powered search itself (WP-15, WP-23); document storage mechanics (WP-12).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12; Documents (WP-12); AI &amp; Knowledge Management Strategy (EA Blueprint 2.0 Section 09).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Knowledge Repository allowing documents to be classified, cross-referenced, and curated into collections.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WP-12 (Documents, as the underlying content source).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US-037: As a Knowledge Manager, I want to classify documents into a taxonomy so that institutional knowledge is organized.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US-038: As a Staff Member, I want to browse curated collections so that I can find relevant knowledge without searching from scratch.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US-039: As a Knowledge Manager, I want to author knowledge articles so that tacit knowledge is captured explicitly.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FR-KR-01: Implement taxonomy definition and document classification, per SRS Part 12.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FR-KR-02: Implement curated collection creation and management.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FR-KR-03: Implement knowledge article authoring and publishing workflow.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NFR-KR-01: Repository scales to tens of thousands of documents without degraded browse performance.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NFR-KR-02: Classification changes are versioned and auditable.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knowledge_articles, taxonomy_terms, knowledge_collections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/api/v1/knowledge/articles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Create a knowledge article.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/api/v1/knowledge/collections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curated collections.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/api/v1/knowledge/taxonomy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Define a taxonomy term.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/api/v1/knowledge/articles/{id}/classify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Classify a document or article.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Knowledge Repository browser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Article Editor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Collection curator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Classification-based access control — public, internal, restricted — enforced via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document can be classified against the defined taxonomy.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 curated collection can be created and populated with classified content.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knowledge article can be authored, reviewed, and published.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Restricted-classification content is not visible to users without the corresponding permission.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UT-KR-01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Taxonomy classification logic correctly assigns terms.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IT-KR-01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 classification correctly reflects in the Knowledge Repository browser.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ST-KR-01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User without restricted-content permission cannot view restricted articles.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UAT-KR-01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UAT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Knowledge Manager completes a full classify-curate-publish workflow in staging.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12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Knowledge Repository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ADR-0017: Knowledge Taxonomy Model.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R-KR-01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Inconsistent classification could fragment the knowledge base.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Controlled taxonomy vocabulary governed by the Knowledge Manager role.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DEL-ENG-029: Knowledge Repository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DEL-ENG-030: Knowledge Repository Browser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WP-12 complete; SRS Part 12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 including UAT; ADR recorded; documentation updated; AI/KM Lead and Solution Architect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7.4  </w:t>
      </w:r>
      <w:r>
        <w:rPr>
          <w:b/>
          <w:bCs/>
          <w:color w:val="33363C"/>
          <w:sz w:val="26"/>
          <w:szCs w:val="26"/>
        </w:rPr>
        <w:t xml:space="preserve">WP-14 — Media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media asset management — upload, transcoding, gallery organization — for images, video, and audio used in programme communication.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Media assets support demonstration, training, and Public Portal content. A dedicated, CDN-backed media pipeline is required to keep the platform performant.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Media Service, Transcoding Pipeline, Media Gallery Manager, per SRS Part 13.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Document-specific handling (WP-12); the Public Portal publishing workflow itself (WP-22).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13; Documents (WP-12) for shared upload and security patterns.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Media module supporting upload, transcoding, and gallery organization of media assets.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WP-05 (Security, for access control); WP-03 (DevSecOps, for CDN/storage configuration).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US-040: As a Communications Officer, I want to upload and organize media assets so that they are available for programme communication.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US-041: As a Communications Officer, I want uploaded video automatically transcoded so that it plays reliably across devices.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US-042: As a Staff Member, I want to browse a media gallery so that I can find approved visual assets.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FR-MED-01: Implement media upload with format validation, per SRS Part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FR-MED-02: Implement automated transcoding pipeline for video and audio.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FR-MED-03: Implement gallery organization and metadata tagging.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NFR-MED-01: Support the common media formats defined in SRS Part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NFR-MED-02: Media delivery is CDN-backed for acceptable load times across Zone connections.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media_assets, media_metadata, media_galleries (DDS Part 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/api/v1/media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Upload a media asset.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/api/v1/media/{id}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a media asset.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/api/v1/media/galleries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gallery listings.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Library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Upload widget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Gallery viewer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access control via WP-05 RBAC.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 content validation to reject disallowed file types.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media asset can be uploaded and appears correctly tagged in the Media Library.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An uploaded video is automatically transcoded into the platform's standard delivery formats.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Gallery views correctly group media by configured metadata.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Media delivery meets CDN-backed load-time expectations in a representative test.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UT-MED-01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Format validation logic rejects disallowed file types.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IT-MED-01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Upload correctly triggers the transcoding pipeline.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PT-MED-01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Performance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Media delivery meets load-time targets under representative bandwidth.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13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Media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ADR-0018: Media Storage and CDN Strategy.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R-MED-01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Large video files could exceed storage or bandwidth budgets.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Transcoding to bandwidth-appropriate delivery formats.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DEL-ENG-031: Media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DEL-ENG-032: Media Library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WP-03 and WP-05 complete; SRS Part 13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passing; ADR recorded; documentation updated; Backend Lead and DevSecOps Lead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7.5  </w:t>
      </w:r>
      <w:r>
        <w:rPr>
          <w:b/>
          <w:bCs/>
          <w:color w:val="33363C"/>
          <w:sz w:val="26"/>
          <w:szCs w:val="26"/>
        </w:rPr>
        <w:t xml:space="preserve">WP-15 — Search (Platform-Wide)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806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Objective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Deliver unified, platform-wide search across documents, records, and knowledge articles, with faceted filtering and relevance ranking.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Business Context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Search is a cross-cutting capability every module depends on for discoverability. A single, permission-aware search index prevents each module from building its own inconsistent search implementation.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Search Indexing Service, Query Processor, Relevance Ranking Engine, per SRS Part 14.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 of Scope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Semantic / natural-language search, deferred to the AI Assistant (WP-23, Phase 2); module-specific business logic filters, owned by each module.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Inputs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SRS Part 14 and Part 31; Documents (WP-12) and Knowledge Repository (WP-13) as primary indexed content sources.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Outputs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 functioning platform-wide search capability with permission-scoped results and faceted filtering.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Dependencies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WP-12 (Documents), WP-13 (Knowledge Repository), WP-05 (Security, for result-level access enforcement).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US-043: As a Staff Member, I want a single global search bar so that I can find relevant content across all modules.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US-044: As a Staff Member, I want faceted filters so that I can narrow search results by type, date, or zone.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US-045: As a Security Architect, I want search results scoped to the requester's permissions so that no data leakage occurs through search.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FR-SRCH-01: Implement full-text indexing of documents and knowledge articles, per SRS Part 14.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FR-SRCH-02: Implement faceted filtering and search-as-you-type suggestions.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FR-SRCH-03: Implement permission-aware result filtering consistent with WP-05 RBAC.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NFR-SRCH-01: Search results return within the sub-2-second target defined in SRS Part 31.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NFR-SRCH-02: Search index updates reflect new or changed content within the freshness window defined in SRS Part 31.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Database Entities</w:t>
      </w:r>
    </w:p>
    <w:p>
      <w:pPr>
        <w:spacing w:after="150" w:line="276"/>
        <w:jc w:val="both"/>
      </w:pPr>
      <w:r>
        <w:t xml:space="preserve">search_index (denormalized), saved_searches (DDS Part 12).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rPr>
          <w:tblHeader/>
        </w:trPr>
        <w:tc>
          <w:tcPr>
            <w:tcW w:type="dxa" w:w="423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 / Path</w:t>
            </w:r>
          </w:p>
        </w:tc>
        <w:tc>
          <w:tcPr>
            <w:tcW w:type="dxa" w:w="584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/api/v1/search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Execute a platform-wide search query.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GET /api/v1/search/suggest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Retrieve search-as-you-type suggestions.</w:t>
            </w:r>
          </w:p>
        </w:tc>
      </w:tr>
      <w:tr>
        <w:tc>
          <w:tcPr>
            <w:tcW w:type="dxa" w:w="42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POST /api/v1/search/saved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Save a search query.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UI Screens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Global Search bar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Search Results screen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Faceted filter panel (SRS Part 23).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Security Controls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Search results filtered to the requesting user's access permissions before being returned.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index leakage of restricted content in suggestions.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33363C"/>
        </w:rPr>
        <w:t xml:space="preserve">1. </w:t>
      </w:r>
      <w:r>
        <w:t xml:space="preserve">A search query returns relevant results across documents and knowledge articles.</w:t>
      </w:r>
    </w:p>
    <w:p>
      <w:pPr>
        <w:spacing w:after="90" w:line="264"/>
      </w:pPr>
      <w:r>
        <w:rPr>
          <w:b/>
          <w:bCs/>
          <w:color w:val="33363C"/>
        </w:rPr>
        <w:t xml:space="preserve">2. </w:t>
      </w:r>
      <w:r>
        <w:t xml:space="preserve">Faceted filters correctly narrow the result set.</w:t>
      </w:r>
    </w:p>
    <w:p>
      <w:pPr>
        <w:spacing w:after="90" w:line="264"/>
      </w:pPr>
      <w:r>
        <w:rPr>
          <w:b/>
          <w:bCs/>
          <w:color w:val="33363C"/>
        </w:rPr>
        <w:t xml:space="preserve">3. </w:t>
      </w:r>
      <w:r>
        <w:t xml:space="preserve">A user without access to a restricted document does not see it in search results, verified end-to-end.</w:t>
      </w:r>
    </w:p>
    <w:p>
      <w:pPr>
        <w:spacing w:after="90" w:line="264"/>
      </w:pPr>
      <w:r>
        <w:rPr>
          <w:b/>
          <w:bCs/>
          <w:color w:val="33363C"/>
        </w:rPr>
        <w:t xml:space="preserve">4. </w:t>
      </w:r>
      <w:r>
        <w:t xml:space="preserve">Search response time meets the SRS Part 31 threshold under representative index volume.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6854"/>
      </w:tblGrid>
      <w:tr>
        <w:trPr>
          <w:tblHeader/>
        </w:trPr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13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854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UT-SRCH-01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Unit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Relevance ranking correctly orders results by defined scoring rules.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IT-SRCH-01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Integration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New document upload (WP-12) is reflected in search results within the freshness window.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ST-SRCH-01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Security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Restricted document does not appear in search results for an unauthorized user.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PT-SRCH-01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Performance</w:t>
            </w:r>
          </w:p>
        </w:tc>
        <w:tc>
          <w:tcPr>
            <w:tcW w:type="dxa" w:w="685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Search response time meets the SRS Part 31 target under load.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14 and Part 31 status updated to ‘Implemented’.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Search User Guide drafted.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Related ADRs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ADR-0019: Search Indexing Platform Selection.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ID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35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R-SRCH-01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Index growth could degrade query performance over time.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Index partitioning and performance monitoring per DDS Part 16.</w:t>
            </w:r>
          </w:p>
        </w:tc>
      </w:tr>
    </w:tbl>
    <w:p>
      <w:pPr>
        <w:spacing w:after="160"/>
      </w:pP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DEL-ENG-033: Search Module.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DEL-ENG-034: Global Search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Ready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WP-12, WP-13, WP-05 complete; SRS Part 14 approved.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2"/>
                <w:szCs w:val="12"/>
              </w:rPr>
              <w:t xml:space="preserve">Definition of Done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2"/>
                <w:szCs w:val="12"/>
              </w:rPr>
              <w:t xml:space="preserve">All acceptance criteria met; test cases passing; ADR recorded; documentation updated; AI/KM Lead and Security Architect sign-off.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7.6  </w:t>
      </w:r>
      <w:r>
        <w:rPr>
          <w:b/>
          <w:bCs/>
          <w:color w:val="33363C"/>
          <w:sz w:val="26"/>
          <w:szCs w:val="26"/>
        </w:rPr>
        <w:t xml:space="preserve">Summary and Bridge to Part 8</w:t>
      </w:r>
    </w:p>
    <w:p>
      <w:pPr>
        <w:spacing w:after="150" w:line="276"/>
        <w:jc w:val="both"/>
      </w:pPr>
      <w:r>
        <w:t xml:space="preserve">This Part fully specified Work Packages 11 through 15 — Approvals, Documents, Knowledge Repository, Media, and Search — completing the platform's document, knowledge, and discoverability capability. Fifteen of the programme's twenty-five Work Packages are now fully specified across Parts 5 through 7.</w:t>
      </w:r>
    </w:p>
    <w:p>
      <w:pPr>
        <w:spacing w:after="150" w:line="276"/>
        <w:jc w:val="both"/>
      </w:pPr>
      <w:r>
        <w:t xml:space="preserve">Part 8 specifies the remaining ten Work Packages — WP-16 through WP-25 — covering Reporting, Analytics, Notifications, Training, Support, Help Desk, Public Portal, and AI Assistant, together with the two closeout Work Packages for Quality Engineering &amp; Release Readiness and Documentation, ADR &amp; Traceability Closeout.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7.6.1  </w:t>
      </w:r>
      <w:r>
        <w:rPr>
          <w:b/>
          <w:bCs/>
          <w:color w:val="33363C"/>
          <w:sz w:val="21"/>
          <w:szCs w:val="21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Approvals (WP-11) demonstrates the Workflow Engine (WP-10) consumption pattern that later process-driven Work Packages should follow rather than building bespoke orchestration.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Documents, Knowledge Repository, and Search form a strict content dependency chain (WP-12 → WP-13 → WP-15).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Five new ADRs (ADR-0015 through ADR-0019) are anticipated from this wave of Work Packages.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Fifteen of twenty-five Work Packages are now fully specified across Parts 5, 6, and 7.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7.6.2  </w:t>
      </w:r>
      <w:r>
        <w:rPr>
          <w:b/>
          <w:bCs/>
          <w:color w:val="33363C"/>
          <w:sz w:val="21"/>
          <w:szCs w:val="21"/>
        </w:rPr>
        <w:t xml:space="preserve">Related Parts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4 — Engineering Work Breakdown Structure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6 — Engineering Work Packages 06–10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8 — Engineering Work Packages 16–25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9 — Sprint Roadmap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33363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3336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2026-07-20T12:44:51.849Z</dcterms:created>
  <dcterms:modified xsi:type="dcterms:W3CDTF">2026-07-20T12:44:51.849Z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