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b/>
          <w:bCs/>
          <w:caps/>
          <w:color w:val="97771F"/>
          <w:sz w:val="22"/>
          <w:szCs w:val="22"/>
        </w:rPr>
        <w:t xml:space="preserve">SAPZ MASTER ENGINEERING KNOWLEDGE BASE</w:t>
      </w:r>
    </w:p>
    <w:p>
      <w:pPr>
        <w:spacing w:after="260"/>
        <w:jc w:val="center"/>
      </w:pPr>
      <w:r>
        <w:rPr>
          <w:b/>
          <w:bCs/>
          <w:color w:val="1C1E21"/>
          <w:sz w:val="28"/>
          <w:szCs w:val="28"/>
        </w:rPr>
        <w:t xml:space="preserve">Part 8</w:t>
      </w:r>
    </w:p>
    <w:p>
      <w:pPr>
        <w:pBdr>
          <w:bottom w:val="single" w:color="33363C" w:sz="14" w:space="10"/>
        </w:pBdr>
        <w:spacing w:after="160"/>
        <w:jc w:val="center"/>
      </w:pPr>
      <w:r>
        <w:rPr>
          <w:b/>
          <w:bCs/>
          <w:color w:val="1C1E21"/>
          <w:sz w:val="40"/>
          <w:szCs w:val="40"/>
        </w:rPr>
        <w:t xml:space="preserve">Engineering Work Packages 16–25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Master Engineering Knowledge Base (MEKB) — Bridging Documentation and Implementation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97771F"/>
          <w:sz w:val="22"/>
          <w:szCs w:val="22"/>
        </w:rPr>
        <w:t xml:space="preserve">PART 8</w:t>
      </w:r>
    </w:p>
    <w:p>
      <w:pPr>
        <w:pBdr>
          <w:bottom w:val="single" w:color="33363C" w:sz="12" w:space="8"/>
        </w:pBdr>
        <w:spacing w:after="200"/>
        <w:jc w:val="left"/>
      </w:pPr>
      <w:r>
        <w:rPr>
          <w:b/>
          <w:bCs/>
          <w:color w:val="1C1E21"/>
          <w:sz w:val="44"/>
          <w:szCs w:val="44"/>
        </w:rPr>
        <w:t xml:space="preserve">Engineering Work Packages 16–25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Part Overview</w:t>
      </w:r>
    </w:p>
    <w:p>
      <w:pPr>
        <w:spacing w:after="150" w:line="276"/>
        <w:jc w:val="both"/>
      </w:pPr>
      <w:r>
        <w:t xml:space="preserve">This Part specifies the final ten Engineering Work Packages — WP-16 through WP-25 — completing the programme's full set of twenty-five Work Packages. WP-16 through WP-23 deliver the platform's remaining functional modules: Reporting, Analytics, Notifications, Training, Support, Help Desk, Public Portal, and the AI Assistant. WP-24 and WP-25 are the programme's two closeout Work Packages, certifying release readiness and finalizing documentation and traceability.</w:t>
      </w:r>
    </w:p>
    <w:p>
      <w:pPr>
        <w:spacing w:after="150" w:line="276"/>
        <w:jc w:val="both"/>
      </w:pPr>
      <w:r>
        <w:t xml:space="preserve">With this Part, every Work Package referenced throughout the MEKB — from the Work Breakdown Structure in Part 4 through the Sprint Roadmap in Part 9 and the Dependency Matrix in Part 10 — is now fully specified to the same standard: self-contained, independently implementable, and bounded by an explicit Definition of Ready and Definition of Done.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AF2" w:sz="2"/>
              <w:left w:val="single" w:color="5B4E75" w:sz="24"/>
              <w:bottom w:val="single" w:color="EDEAF2" w:sz="2"/>
              <w:right w:val="single" w:color="EDEAF2" w:sz="2"/>
            </w:tcBorders>
            <w:shd w:fill="EDEA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E75"/>
                <w:sz w:val="17"/>
                <w:szCs w:val="17"/>
              </w:rPr>
              <w:t xml:space="preserve">GOVERNANCE NOTE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WP-24 and WP-25 are deliberately sequenced last. Neither Work Package introduces new functional scope; both certify and close out the scope delivered across WP-01 through WP-23, consistent with the Deliverable Lifecycle defined in Appendix O, Section O.2 (Planned through Archived).</w:t>
            </w:r>
          </w:p>
        </w:tc>
      </w:tr>
    </w:tbl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8.1  </w:t>
      </w:r>
      <w:r>
        <w:rPr>
          <w:b/>
          <w:bCs/>
          <w:color w:val="33363C"/>
          <w:sz w:val="26"/>
          <w:szCs w:val="26"/>
        </w:rPr>
        <w:t xml:space="preserve">WP-16 — Reporting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standardized and ad-hoc reporting across all programme data via a shared Report Engine.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Every module produces data that stakeholders need to report on. A shared reporting engine prevents each module from building bespoke report generation.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Report Engine, Report Scheduler, Export Formatter, per SRS Part 15, consuming the Report Catalogue defined in SRS Part 25.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Analytics/trend computation itself (WP-17); Executive Management-specific dashboard aggregation (WP-06, already delivered).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15 and Part 25; all data-producing modules delivered in WP-04 through WP-15.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Reporting module supporting catalogue-driven report execution, scheduling, and export.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 (Programme Management), WP-08 (Projects) as primary early data sources; extensible to all subsequent modules.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US-046: As a Programme Manager, I want to run a standardized report from the catalogue so that I get consistent output without building it manually.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US-047: As a Finance Officer, I want to schedule a report for automatic monthly distribution so that stakeholders receive updates without manual effort.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US-048: As a Business Analyst, I want to build an ad-hoc report so that I can answer a one-off data question.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FR-RPT-01: Implement report catalogue execution against the Report Catalogue defined in SRS Part 25.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FR-RPT-02: Implement report scheduling and automated distribution.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FR-RPT-03: Implement export in standard formats — PDF, XLSX, CSV.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FR-RPT-04: Implement an ad-hoc report builder with field selection and filtering.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NFR-RPT-01: Reports complete within the SLA defined for their data volume, per SRS Part 33.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NFR-RPT-02: Report access is scoped to the underlying data permissions of the requesting user.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report_definitions, report_executions, report_schedules (DDS Part 13).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/api/v1/reports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List the report catalogue.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/api/v1/reports/{id}/execute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Execute a report.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/api/v1/reports/schedules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report schedule.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/api/v1/reports/{id}/export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Export report output.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Catalogue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Builder (ad-hoc)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Scheduled Reports manager (SRS Part 25).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Report-level access control aligned to underlying data permissions per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catalogue report executes successfully and returns correct data for a test dataset.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scheduled report is distributed automatically at the configured interval.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Report export produces correctly formatted PDF, XLSX, and CSV output.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 user cannot access report data beyond their underlying permissions.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UT-RPT-01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Report field selection logic correctly restricts to permitted fields.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IT-RPT-01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Report execution correctly aggregates data from Programme Management and Projects.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ST-RPT-01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Report execution is denied for data outside the user's permission scope.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UAT-RPT-01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Programme Manager runs and schedules a catalogue report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15 and Part 25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Reporting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ADR-0020: Reporting Engine Architecture.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R-RPT-01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Ad-hoc report queries could degrade database performance if unconstrained.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Query complexity limits and read-replica execution.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DEL-ENG-035: Reporting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DEL-ENG-036: Report Catalogue and Builder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 and WP-08 complete; SRS Part 15 and Part 25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Backend Lead and QA Lead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8.2  </w:t>
      </w:r>
      <w:r>
        <w:rPr>
          <w:b/>
          <w:bCs/>
          <w:color w:val="33363C"/>
          <w:sz w:val="26"/>
          <w:szCs w:val="26"/>
        </w:rPr>
        <w:t xml:space="preserve">WP-17 —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trend analysis, forecasting, and comparative performance insight beyond static reporting.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Executive Management (WP-06) and Programme Management stakeholders require insight into trends and forecasts, not just point-in-time reports.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Analytics Engine, KPI Computation Service, Trend Visualization Library, per SRS Part 16.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Static report generation (WP-16, already delivered); AI-driven forecasting refinement (WP-23, Phase 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16; Reporting (WP-16); Programme Management (WP-07) and Projects (WP-08)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Analytics module supporting trend dashboards and KPI computation feeding Executive Management (WP-06).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WP-16 (Reporting, for underlying data access patterns); WP-06 (Executive Management, as primary consumer).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US-049: As an NPCO Executive, I want trend dashboards so that I can see whether programme performance is improving or declining.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US-050: As a Programme Manager, I want comparative analysis across zones so that I can identify underperforming areas.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US-051: As a Finance Officer, I want forecast variance analysis so that I can anticipate budget shortfalls.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FR-ANL-01: Implement KPI computation and datamart population, per SRS Part 16.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FR-ANL-02: Implement trend dashboard visualization.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FR-ANL-03: Implement comparative analysis across zones and projects.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NFR-ANL-01: Analytics data refreshes within the near-real-time window defined in SRS Part 16.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NFR-ANL-02: Trend computations scale to the full programme data volume without degraded dashboard performance.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analytics_datamarts, kpi_definitions (DDS Part 13).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/api/v1/analytics/trends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trend data.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/api/v1/analytics/kpis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computed KPIs.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/api/v1/analytics/compare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comparative analysis across zones/projects.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Analytics Dashboard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Trend Explorer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Comparative Analysis view (SRS Part 24).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Analytics access aligned to Executive Management and Programme Management RBAC per WP-05.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Trend dashboard correctly reflects historical KPI changes over a test data period.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Comparative analysis correctly ranks zones/projects by a selected metric.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Datamart refresh completes within the defined near-real-time window.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Analytics access is correctly restricted to authorized roles.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UT-ANL-01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KPI computation logic produces correct aggregate values.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IT-ANL-01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Datamart refresh correctly reflects new Programme Management and Projects data.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PT-ANL-01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Performance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Dashboard renders within acceptable time for full-scale test data volume.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16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Analytics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ADR-0021: Analytics Datamart Architecture.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R-ANL-01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Datamart staleness could mislead decision-makers if refresh fails silently.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Refresh monitoring and alerting via WP-03 observability.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DEL-ENG-037: Analytics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DEL-ENG-038: Analytics Dashboard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WP-16 complete; SRS Part 16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passing; ADR recorded; documentation updated; Backend Lead and Programme Manager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8.3  </w:t>
      </w:r>
      <w:r>
        <w:rPr>
          <w:b/>
          <w:bCs/>
          <w:color w:val="33363C"/>
          <w:sz w:val="26"/>
          <w:szCs w:val="26"/>
        </w:rPr>
        <w:t xml:space="preserve">WP-18 — Notifications (Platform-Wide)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a shared, channel-appropriate notification dispatch capability for platform events across all modules.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Every process-driven module (Tasks, Workflow, Approvals) already assumes notification delivery exists. This Work Package completes that dependency with a single, reusable dispatch service.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Notification Dispatcher, Channel Adapter (email/SMS/in-app), Preference Manager, per SRS Part 17.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Module-specific notification trigger logic, already embedded within each producing module (Tasks, Workflow, Approvals).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17; Tasks (WP-09), Workflow (WP-10), Approvals (WP-11) as event producers.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Notifications module delivering in-app, email, and SMS notifications with user-configurable preferences.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WP-09, WP-10, WP-11 (event producers already delivered).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US-052: As a Staff Member, I want to receive a notification when a task is assigned to me so that I don't miss new work.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US-053: As a Staff Member, I want to configure my notification channel preferences so that I'm not overwhelmed with alerts.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US-054: As an Approver, I want a notification when an approval is pending so that requests are not delayed.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FR-NOT-01: Implement notification dispatch across in-app, email, and SMS channels, per SRS Part 17.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FR-NOT-02: Implement user notification preference management.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FR-NOT-03: Implement digest scheduling for low-priority notifications.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NFR-NOT-01: Notifications are delivered within the SLA defined in SRS Part 17.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NFR-NOT-02: No duplicate notifications are sent for a single event.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notifications, notification_preferences, notification_templates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/api/v1/notifications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notifications for the current user.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PATCH /api/v1/notifications/preferences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Update notification preferences.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/api/v1/notifications/dispatch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Internal dispatch trigger (service-to-service).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Center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Preference settings screen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content scoped to the recipient's access permissions.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sensitive data included in SMS/email previews.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task assignment event correctly triggers an in-app notification.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user's channel preference correctly routes notifications to the selected channel(s).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No duplicate notification is generated for a single underlying event in a test suite.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Notification delivery meets the defined SLA under representative load.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UT-NOT-01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Deduplication logic correctly suppresses duplicate notification triggers.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IT-NOT-01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Workflow (WP-10) escalation event correctly triggers a notification.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PT-NOT-01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Performance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Notification delivery meets SLA under representative event volume.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17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Notifications configuration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ADR-0022: Notification Channel Architecture.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R-NOT-01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Notification volume could overwhelm users, leading to alert fatigue.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Digest scheduling and granular preference controls.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DEL-ENG-039: Notifications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DEL-ENG-040: Notification Center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WP-09, WP-10, WP-11 complete; SRS Part 17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passing; ADR recorded; documentation updated; Backend Lead and Product Owner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8.4  </w:t>
      </w:r>
      <w:r>
        <w:rPr>
          <w:b/>
          <w:bCs/>
          <w:color w:val="33363C"/>
          <w:sz w:val="26"/>
          <w:szCs w:val="26"/>
        </w:rPr>
        <w:t xml:space="preserve">WP-19 — Training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training content delivery and progress tracking to support platform capacity building.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Sustained adoption depends on trained staff. The Training module operationalizes the Training &amp; Capacity Building Plan (PDIB Part 12) within the platform itself.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Training Content Service, Progress Tracker, Certification Engine, per SRS Part 18.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Training content authoring workflow beyond basic upload, which reuses the Documents module (WP-12) for content storage.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18; PDIB Part 12; Administration (WP-04) for user records.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Training module supporting course delivery, progress tracking, and certification.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WP-04 (Administration, for user records); WP-12 (Documents, for training content storage).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US-055: As a Staff Member, I want to complete a training course within the platform so that I don't need a separate system.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US-056: As a Training Coordinator, I want to track completion rates so that I can identify staff needing follow-up.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US-057: As a Staff Member, I want a certification record so that I have proof of completed training.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FR-TRN-01: Implement training course catalogue and content delivery, per SRS Part 18.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FR-TRN-02: Implement progress tracking per user per course.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FR-TRN-03: Implement certification issuance on course completion.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NFR-TRN-01: Training content supports offline-capable delivery for low-connectivity zones.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NFR-TRN-02: Progress records are durable and auditable.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training_courses, training_progress, certifications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/api/v1/training/courses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List the training catalogue.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/api/v1/training/progress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Record training progress.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/api/v1/training/certifications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certification records.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Training Catalogue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Course Player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Certification Dashboard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Training content access governed by role, per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staff member can complete a training course and progress is correctly tracked.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Course completion issues a certification record.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Training Coordinator can view completion rates across staff.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Training content remains accessible under simulated low-connectivity conditions.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UT-TRN-01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Progress tracking logic correctly computes completion percentage.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IT-TRN-01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Course completion correctly triggers certification issuance.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UAT-TRN-01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Staff Member completes a full training course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18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Training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ADR-0023: Offline-Capable Content Delivery Strategy.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R-TRN-01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Low-connectivity zones could experience incomplete progress sync.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Offline-first progress caching with background sync.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DEL-ENG-041: Training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DEL-ENG-042: Training Catalogue and Course Player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WP-04 and WP-12 complete; SRS Part 18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Frontend Lead and Change Management Lead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8.5  </w:t>
      </w:r>
      <w:r>
        <w:rPr>
          <w:b/>
          <w:bCs/>
          <w:color w:val="33363C"/>
          <w:sz w:val="26"/>
          <w:szCs w:val="26"/>
        </w:rPr>
        <w:t xml:space="preserve">WP-20 —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internal support ticketing for platform users experiencing issues.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dedicated support ticketing capability, integrated with Notifications and Workflow, reduces resolution time and keeps issue history auditable.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Support Ticket Service, SLA Escalation Engine, per SRS Part 19.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Self-service FAQ content, delivered separately in Help Desk (WP-21).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19; Notifications (WP-18) for ticket alerts; Workflow (WP-10) for escalation.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Support module supporting ticket creation, assignment, and SLA-driven escalation.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WP-18 (Notifications), WP-10 (Workflow, for escalation orchestration).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US-058: As a Staff Member, I want to submit a support ticket so that my issue is tracked and resolved.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US-059: As a Support Agent, I want a ticket queue so that I can manage and prioritize incoming issues.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US-060: As a Support Manager, I want automatic escalation on SLA breach so that unresolved tickets are surfaced.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FR-SUP-01: Implement ticket creation, assignment, and status tracking, per SRS Part 19.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FR-SUP-02: Implement SLA-based escalation using the Workflow Engine (WP-10).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FR-SUP-03: Implement ticket history and resolution notes.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NFR-SUP-01: Ticket submission completes within the response time defined in SRS Part 33.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NFR-SUP-02: SLA escalation triggers reliably within the configured threshold.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support_tickets, ticket_history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/api/v1/support/tickets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Submit a support ticket.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/api/v1/support/tickets/{id}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ticket detail.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PATCH /api/v1/support/tickets/{id}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Update ticket status or assignment.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Submit Ticket form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Ticket Queue (support staff)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My Tickets view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Ticket visibility scoped to submitter and assigned support staff, per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ticket can be submitted and appears in the Support Agent's queue.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An unresolved ticket past its SLA threshold triggers an escalation event.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Ticket history correctly records all status changes and resolution notes.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 user cannot view another user's ticket unless they are assigned support staff.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UT-SUP-01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SLA threshold calculation correctly determines escalation timing.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IT-SUP-01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SLA breach correctly triggers a Workflow Engine escalation and a Notifications alert.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UAT-SUP-01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Support Agent processes a ticket from submission to resolution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19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Support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ADR-0024: Support Ticket SLA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R-SUP-01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High ticket volume during rollout could overwhelm support staff.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Help Desk (WP-21) self-service deflection reduces incoming volume.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DEL-ENG-043: Support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DEL-ENG-044: Ticket Queue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WP-18 and WP-10 complete; SRS Part 19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Backend Lead and Support Manager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8.6  </w:t>
      </w:r>
      <w:r>
        <w:rPr>
          <w:b/>
          <w:bCs/>
          <w:color w:val="33363C"/>
          <w:sz w:val="26"/>
          <w:szCs w:val="26"/>
        </w:rPr>
        <w:t xml:space="preserve">WP-21 — Help Desk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a self-service knowledge layer — FAQs and guided troubleshooting — reducing Support (WP-20) ticket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well-maintained Help Desk reduces load on human support staff and gives users immediate answers to common questions.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Help Desk Content Service, FAQ Manager, per SRS Part 20.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Ticket management itself (WP-20); AI-driven chatbot troubleshooting (WP-23, Phase 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20; Knowledge Repository (WP-13) for shared content patterns; Support (WP-20) for ticket deflection metrics.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Help Desk module supporting FAQ browsing and guided troubleshooting.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WP-13 (Knowledge Repository, for content model reuse); WP-20 (Support, for deflection measurement).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US-061: As a Staff Member, I want to search FAQs before submitting a ticket so that I can resolve simple issues myself.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US-062: As a Help Desk Content Owner, I want to keep FAQ content current so that it reflects the latest platform release.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US-063: As a Staff Member, I want guided troubleshooting steps so that I can diagnose common issues without contacting support.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FR-HD-01: Implement FAQ catalogue and content management, per SRS Part 20.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FR-HD-02: Implement guided troubleshooting flows for common issue categories.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FR-HD-03: Implement a contextual help widget embeddable across other modules.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NFR-HD-01: FAQ content review cycle aligned to each platform release, per Handbook Chapter 17.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NFR-HD-02: Help Desk search returns relevant results within the SRS Part 31 threshold.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helpdesk_articles, faq_entries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/api/v1/helpdesk/articles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Help Desk articles.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/api/v1/helpdesk/faq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FAQ entries.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/api/v1/helpdesk/articles/{id}/feedback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Submit article helpfulness feedback.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Help Desk portal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FAQ browser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Contextual help widget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Public/internal content classification enforced per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user can search and find a relevant FAQ entry for a common issue.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Guided troubleshooting correctly walks a user through a defined issue category.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The contextual help widget correctly surfaces relevant articles based on the current module context.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Article feedback is correctly captured and reportable.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UT-HD-01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FAQ search ranking correctly prioritizes relevant entries.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IT-HD-01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Contextual help widget correctly surfaces module-relevant articles.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UAT-HD-01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Staff Member resolves a simulated issue via Help Desk without submitting a Support ticket.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20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Help Desk content authoring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ADR-0025: Help Desk Content Model — shared with Knowledge Repository taxonomy.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R-HD-01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Stale FAQ content could mislead users.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Mandatory content review at each release per Handbook Chapter 17.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DEL-ENG-045: Help Desk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DEL-ENG-046: Help Desk Portal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WP-13 and WP-20 complete; SRS Part 20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Frontend Lead and Support Manager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8.7  </w:t>
      </w:r>
      <w:r>
        <w:rPr>
          <w:b/>
          <w:bCs/>
          <w:color w:val="33363C"/>
          <w:sz w:val="26"/>
          <w:szCs w:val="26"/>
        </w:rPr>
        <w:t xml:space="preserve">WP-22 — Public Portal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the external-facing Public Portal providing programme transparency to public stakeholders.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Public transparency is a donor and government expectation. The Public Portal must publish only approved content while remaining strictly separated from internal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Public Portal Service, Public Content Publisher, Feedback Intake, per SRS Part 21.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Internal Programme Management editing (WP-07); the Approvals gate mechanics themselves (WP-11, already delivered and reused here).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21; Programme Management (WP-07) as source data via a publish workflow; Approvals (WP-11) as the publish gate; Documents (WP-12) for the public document library.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Public Portal presenting published programme summaries, reports, and a feedback channel to the public.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WP-07, WP-11, WP-12.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US-064: As a Member of the Public, I want to view programme progress summaries so that I understand how the SAPZ programme is performing.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US-065: As a Communications Officer, I want to publish approved content to the Public Portal so that transparency requirements are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US-066: As a Member of the Public, I want to submit feedback so that my input can reach the programme team.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FR-PUB-01: Implement public programme summary pages sourced from approved Programme Management content, per SRS Part 21.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FR-PUB-02: Implement a publish-only workflow gated through Approvals (WP-11).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FR-PUB-03: Implement the public feedback intake form.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NFR-PUB-01: Public Portal achieves the high-availability target defined in PDIB Part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NFR-PUB-02: Public Portal meets WCAG 2.1 AA accessibility, per SRS Part 34.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NFR-PUB-03: No unauthenticated request can access internal-only data.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public_content, public_feedback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/api/v1/public/programmes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published programme summaries.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/api/v1/public/feedback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Submit public feedback.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/api/v1/public/documents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the public document library.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 Portal homepage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Programme Summary pages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 Document Library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Feedback form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Strict separation from internal data stores.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Publish-only workflow gated through Approvals.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authentication required for public content, by design, per SRS Part 21.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Only content that has passed the Approvals (WP-11) publish gate appears on the Public Portal.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Public Portal pages meet WCAG 2.1 AA accessibility criteria in an automated audit.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Public feedback submission is captured and routed to the appropriate internal recipient.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 penetration test confirms no path from the Public Portal to internal-only data.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IT-PUB-01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Approved Programme Management content correctly appears on the Public Portal after publish.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ST-PUB-01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Attempted access to internal API endpoints from the Public Portal context is denied.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UAT-PUB-01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Communications Officer publishes content through the full Approvals-gated workflow and verifies public visibility.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21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 Portal Content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ADR-0026: Public/Internal Data Separation Architecture.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R-PUB-01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Accidental publication of unapproved or sensitive content.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Mandatory Approvals gate combined with a strict data separation architecture.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DEL-ENG-047: Public Portal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DEL-ENG-048: Public Portal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WP-07, WP-11, WP-12 complete; SRS Part 21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 and penetration test; ADR recorded; documentation updated; Security Architect and Communications Lead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8.8  </w:t>
      </w:r>
      <w:r>
        <w:rPr>
          <w:b/>
          <w:bCs/>
          <w:color w:val="33363C"/>
          <w:sz w:val="26"/>
          <w:szCs w:val="26"/>
        </w:rPr>
        <w:t xml:space="preserve">WP-23 — AI Assistant (Phase 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a conversational AI interface over the Knowledge Repository and platform data for staff and, where appropriate, public users.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The AI Assistant is the platform's principal differentiator and the culmination of the AI &amp; Knowledge Management Strategy. It is explicitly scoped as a Phase 2 capability, built once the Knowledge Repository and Search have reached a stable content base.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 Assistant Conversational Service, Retrieval-Augmented Generation Pipeline, Escalation-to-Human Handler, per SRS Part 22.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The underlying Knowledge Repository and Search indexes themselves (WP-13, WP-15, already delivered and reused here).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22; Knowledge Repository (WP-13); Search (WP-15); TSAS Part 12 (AI Validation Strategy).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AI Assistant capable of retrieval-augmented question answering with a defined human-escalation path.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WP-13, WP-15, WP-05 (Security, for query/response access scoping).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US-067: As a Staff Member, I want to ask the AI Assistant a question in natural language so that I get an answer without searching manually.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US-068: As a Staff Member, I want the AI Assistant to cite its sources so that I can verify the answer.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US-069: As a Staff Member, I want to escalate to a human when the AI Assistant cannot answer so that I am not left without support.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FR-AI-01: Implement retrieval-augmented generation over the Knowledge Repository and Search indexes, per SRS Part 22.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FR-AI-02: Implement source citation in AI Assistant responses.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FR-AI-03: Implement escalation-to-human handoff when confidence is below a defined threshold.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NFR-AI-01: Response accuracy meets the threshold defined in TSAS Part 12.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NFR-AI-02: No AI Assistant response exposes data beyond the requesting user's access permissions.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NFR-AI-03: All queries and responses are logged for audit, per SRS Part 22.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ai_conversation_logs, ai_feedback (DDS Part 12).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/api/v1/ai/query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Submit a natural-language query.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/api/v1/ai/feedback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Submit feedback on an AI Assistant response.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/api/v1/ai/escalate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Escalate a conversation to human support.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 Assistant chat widget, contextual and platform-wide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Full query and response logging for audit.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Permission-aware retrieval consistent with WP-05 RBAC and WP-15 result filtering.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exposure of restricted content in generated responses.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The AI Assistant answers a representative set of test questions at or above the TSAS Part 12 accuracy threshold.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Every AI Assistant response includes a citation to its source document or article.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low-confidence query correctly triggers escalation to human support (WP-20).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 user does not receive AI Assistant content derived from documents outside their access permissions, verified in a red-team test.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IT-AI-01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 Assistant query correctly retrieves from the Search (WP-15) index.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ST-AI-01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 Assistant does not surface restricted-content data to an unauthorized user.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UAT-AI-01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 Validation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 Assistant achieves the defined accuracy threshold across the TSAS Part 12 validation question set.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22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 Assistant User Guide and model card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ADR-0027: AI Assistant Architecture — retrieval-augmented generation model selection.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R-AI-01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AI-generated responses could be inaccurate or misleading.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Mandatory source citation, confidence-based escalation, and TSAS Part 12 validation gating.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DEL-ENG-049: AI Assistant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DEL-ENG-050: AI Assistant Chat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DEL-ENG-051: AI Model Card.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WP-13, WP-15, WP-05 complete; SRS Part 22 approved; TSAS Part 12 validation criteria defined.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TSAS Part 12 validation passed; ADR recorded; documentation updated; AI/KM Lead and Steering Committee sign-off per Appendix O, Section O.6.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8.9  </w:t>
      </w:r>
      <w:r>
        <w:rPr>
          <w:b/>
          <w:bCs/>
          <w:color w:val="33363C"/>
          <w:sz w:val="26"/>
          <w:szCs w:val="26"/>
        </w:rPr>
        <w:t xml:space="preserve">WP-24 — Quality Engineering &amp; Release Readiness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Execute the full test strategy across all delivered Work Packages and certify release readiness for go-live.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 individual module Work Package's own testing substitutes for programme-wide regression, performance, and release readiness verification. This Work Package is the final quality gate before deployment.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Cross-module regression test execution, test automation consolidation, performance and security testing at platform scale, release readiness checklist execution, per TSAS Parts 4–16.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Module-specific unit and integration tests, already delivered within each module's own Work Package.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TSAS Parts 1–19; all completed Work Packages WP-01 through WP-23.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certified release-ready platform with a complete regression suite and a signed-off Release Readiness Report.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WP-23 (all preceding Work Packages).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US-070: As a QA Lead, I want a full regression suite so that a change in one module doesn't silently break another.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US-071: As a Programme Manager, I want a Release Readiness Report so that I can make an informed go-live decision.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US-072: As a Security Architect, I want a platform-wide penetration test before go-live so that residual risk is understood.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FR-QA-01: Execute the full functional regression suite across all Work Packages, per TSAS Part 4–5.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FR-QA-02: Execute platform-wide performance and load testing, per TSAS Part 9.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FR-QA-03: Execute a platform-wide penetration test, per TSAS Part 8.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FR-QA-04: Execute the Release Readiness Checklist, per TSAS Part 15.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NFR-QA-01: Regression suite achieves the test coverage target defined in TSAS Part 16.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NFR-QA-02: All Severity 1 and Severity 2 defects are resolved before go-live sign-off.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None directly — this Work Package consumes and reports against the schema and data delivered by all prior Work Packages.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None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Exercises the full API surface delivered by WP-01 through WP-23 through automated test suites.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None directly — exercises the full UI surface delivered by WP-01 through WP-23 through automated and manual UAT.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Full platform-wide security regression per Appendix 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Penetration test remediation verified before sign-off.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The full regression suite passes with zero unresolved Severity 1/2 defects.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Platform-wide performance testing meets the thresholds defined across SRS Part 33 and DDS Part 16.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The platform-wide penetration test is complete with all findings remediated or formally risk-accepted by the Security Architect.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The Release Readiness Checklist (TSAS Part 15) is 100% complete and signed off.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IT-QA-01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Full cross-module regression suite executes successfully.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PT-QA-01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Performance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Platform-wide load test meets defined concurrent user and response-time targets.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ST-QA-01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Platform-wide penetration test identifies no unremediated critical findings.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TSAS Part 15 (Release Readiness Checklist) marked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Readiness Report published per Appendix O.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None — this Work Package validates, rather than introduces, architectural decisions.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R-QA-01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Late-discovered defects could delay go-live.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Continuous regression testing throughout Parts 5–7 rather than deferring all testing to this Work Package alone.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DEL-ENG-052: Full Regression Test Suite.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DEL-ENG-053: Release Readiness Report.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DEL-ENG-054: Penetration Test Report.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WP-23 complete.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Release Readiness Report signed off by QA Lead, Security Architect, and Project Manager per Appendix O, Section O.6.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8.10  </w:t>
      </w:r>
      <w:r>
        <w:rPr>
          <w:b/>
          <w:bCs/>
          <w:color w:val="33363C"/>
          <w:sz w:val="26"/>
          <w:szCs w:val="26"/>
        </w:rPr>
        <w:t xml:space="preserve">WP-25 — Documentation, ADR &amp; Traceability Closeout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Finalize all engineering documentation, consolidate the ADR log, and certify complete requirements traceability before programme closure.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IFAD and Federal Government of Nigeria acceptance depends on a complete, auditable documentation and traceability record. This Work Package is the final governance gate alongside WP-24.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Final Handbook and Appendices update, ADR log consolidation, Enterprise Traceability Matrix completion and verification, per Appendix J and Appendix O.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New feature documentation, delivered incrementally within each module Work Package; this Work Package closes out and verifies completeness rather than authoring new content.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documentation updates recorded across WP-01 through WP-24; Appendix J; Appendix O.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finalized, verified, complete documentation and traceability record.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WP-24 (all preceding Work Packages, as sources of documentation).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US-073: As a Technical Writer, I want to verify every Work Package's documentation updates are complete so that the Handbook accurately reflects the built system.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US-074: As an Enterprise Architect, I want a consolidated ADR log so that all architectural decisions are traceable in one place.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US-075: As an Auditor, I want a verified Enterprise Traceability Matrix so that I can confirm zero orphaned requirements.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FR-DOC-CL-01: Verify and finalize all Engineering Handbook and Appendix updates referenced across WP-01 through WP-24.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FR-DOC-CL-02: Consolidate all twenty-seven ADRs (ADR-0001 through ADR-0027) into the master ADR log, per Handbook Chapter 22.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FR-DOC-CL-03: Complete and verify the Enterprise Traceability Matrix against Appendix J's coverage requirements.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NFR-DOC-CL-01: 100% of requirements have complete traceability, per Appendix J, Section J.14 compliance metrics.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NFR-DOC-CL-02: 100% of deliverables in the Master Deliverables Register (Appendix O) reach Baseline or Published status.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None directly — this Work Package operates on documentation and traceability artifacts, not application data.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None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Documentation and governance Work Package.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None — documentation and governance Work Package.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classification and access control consistent with Appendix O, Section O.8 (Document Control).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Every Work Package's Documentation Updates field (WP-01 through WP-24) is verified as completed in the repository.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All twenty-seven ADRs are present, correctly formatted, and cross-referenced in the master ADR log.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The Enterprise Traceability Matrix shows 100% coverage against the ten compliance metrics in Appendix J, Section J.14.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The Master Deliverables Register (Appendix O, Section O.4) shows all engineering deliverables at Baseline or Published status.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IT-DOC-CL-01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Traceability Matrix cross-reference check confirms no orphaned requirements.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UAT-DOC-CL-01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PMO reviews and signs off the completed Deliverables Register at a Steering Committee meeting, per Appendix O, Section O.13.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Engineering Handbook and Appendices finalized to their go-live version.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Enterprise Traceability Matrix published.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Master ADR log published.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None — this Work Package consolidates, rather than introduces, ADRs.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R-DOC-CL-01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Documentation debt accumulated during rapid sprint execution could surface late.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Continuous documentation verification at each Work Package's Definition of Done.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DEL-ENG-055: Finalized Engineering Handbook and Appendices.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DEL-ENG-056: Master ADR Log.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DEL-ENG-057: Verified Enterprise Traceability Matrix.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WP-24 complete.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Traceability Matrix and Deliverables Register signed off by Programme Manager and PMO per Appendix O, Sections O.6 and O.13.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8.11  </w:t>
      </w:r>
      <w:r>
        <w:rPr>
          <w:b/>
          <w:bCs/>
          <w:color w:val="33363C"/>
          <w:sz w:val="26"/>
          <w:szCs w:val="26"/>
        </w:rPr>
        <w:t xml:space="preserve">Summary and Bridge to Part 9</w:t>
      </w:r>
    </w:p>
    <w:p>
      <w:pPr>
        <w:spacing w:after="150" w:line="276"/>
        <w:jc w:val="both"/>
      </w:pPr>
      <w:r>
        <w:t xml:space="preserve">This Part fully specified the final ten Engineering Work Packages, completing all twenty-five Work Packages across Parts 5 through 8. Reporting, Analytics, and Notifications extend the platform's cross-module capability; Training, Support, and Help Desk complete the platform's people-facing capability; Public Portal delivers external transparency; the AI Assistant delivers the platform's Phase 2 differentiator; and Quality Engineering &amp; Release Readiness together with Documentation, ADR &amp; Traceability Closeout certify the programme for go-live.</w:t>
      </w:r>
    </w:p>
    <w:p>
      <w:pPr>
        <w:spacing w:after="150" w:line="276"/>
        <w:jc w:val="both"/>
      </w:pPr>
      <w:r>
        <w:t xml:space="preserve">Part 9 — Sprint Roadmap — sequences all twenty-five Work Packages into a concrete sprint-by-sprint delivery plan, from Sprint 0 through the final release, with objectives, dependencies, deliverables, exit criteria, risks, and milestones defined for each sprint.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8.11.1  </w:t>
      </w:r>
      <w:r>
        <w:rPr>
          <w:b/>
          <w:bCs/>
          <w:color w:val="33363C"/>
          <w:sz w:val="21"/>
          <w:szCs w:val="21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twenty-five Engineering Work Packages (WP-01 through WP-25) are now fully specified — the complete implementation scope of the SAPZ ESM and CKR platform.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AI Assistant (WP-23) is the only Work Package explicitly gated on TSAS Part 12 AI validation rather than conventional QA sign-off alone.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WP-24 and WP-25 introduce no new ADRs — they certify and consolidate the twenty-seven ADRs (ADR-0001 through ADR-0027) produced by WP-01 through WP-23.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Work Package's Definition of Done ties back to a named role sign-off, consistent with the Approval Authority Matrix in Appendix O, Section O.6.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8.11.2  </w:t>
      </w:r>
      <w:r>
        <w:rPr>
          <w:b/>
          <w:bCs/>
          <w:color w:val="33363C"/>
          <w:sz w:val="21"/>
          <w:szCs w:val="21"/>
        </w:rPr>
        <w:t xml:space="preserve">Related Parts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4 — Engineering Work Breakdown Structure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7 — Engineering Work Packages 11–15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9 — Sprint Roadmap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10 — Master Product Backlog, Work Package Dependency Matrix, and Master Prompt Library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33363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3336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2026-07-20T13:00:41.923Z</dcterms:created>
  <dcterms:modified xsi:type="dcterms:W3CDTF">2026-07-20T13:00:41.923Z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