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9</w:t>
      </w:r>
    </w:p>
    <w:p>
      <w:pPr>
        <w:pBdr>
          <w:bottom w:val="single" w:color="33363C" w:sz="14" w:space="10"/>
        </w:pBdr>
        <w:spacing w:after="160"/>
        <w:jc w:val="center"/>
      </w:pPr>
      <w:r>
        <w:rPr>
          <w:b/>
          <w:bCs/>
          <w:color w:val="1C1E21"/>
          <w:sz w:val="40"/>
          <w:szCs w:val="40"/>
        </w:rPr>
        <w:t xml:space="preserve">Sprint Roadmap</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9</w:t>
      </w:r>
    </w:p>
    <w:p>
      <w:pPr>
        <w:pBdr>
          <w:bottom w:val="single" w:color="33363C" w:sz="12" w:space="8"/>
        </w:pBdr>
        <w:spacing w:after="200"/>
        <w:jc w:val="left"/>
      </w:pPr>
      <w:r>
        <w:rPr>
          <w:b/>
          <w:bCs/>
          <w:color w:val="1C1E21"/>
          <w:sz w:val="44"/>
          <w:szCs w:val="44"/>
        </w:rPr>
        <w:t xml:space="preserve">Sprint Roadmap</w:t>
      </w:r>
    </w:p>
    <w:p>
      <w:pPr>
        <w:spacing w:after="90" w:before="180"/>
      </w:pPr>
      <w:r>
        <w:rPr>
          <w:b/>
          <w:bCs/>
          <w:color w:val="1C1E21"/>
          <w:sz w:val="19"/>
          <w:szCs w:val="19"/>
        </w:rPr>
        <w:t xml:space="preserve">Part Overview</w:t>
      </w:r>
    </w:p>
    <w:p>
      <w:pPr>
        <w:spacing w:after="150" w:line="276"/>
        <w:jc w:val="both"/>
      </w:pPr>
      <w:r>
        <w:t xml:space="preserve">This Part sequences all twenty-five Engineering Work Packages specified in Parts 5 through 8 into a concrete, sprint-by-sprint delivery plan — Sprint 0 through Sprint 19 — spanning mobilization, foundational infrastructure, module-by-module functional delivery, and programme closeout. Each sprint states its objectives, the Work Packages in scope, dependencies, deliverables, exit criteria, risks, and any programme milestone it completes.</w:t>
      </w:r>
    </w:p>
    <w:p>
      <w:pPr>
        <w:spacing w:after="150" w:line="276"/>
        <w:jc w:val="both"/>
      </w:pPr>
      <w:r>
        <w:t xml:space="preserve">The sequencing below follows directly from the Dependencies field already fixed in each Work Package's specification (Parts 5–8) and from the Cross-Domain Dependency Summary established in Part 2, Section 2.10. No Work Package is scheduled before its stated dependencies are complete.</w:t>
      </w:r>
    </w:p>
    <w:p>
      <w:pPr>
        <w:pStyle w:val="Heading1"/>
        <w:pBdr>
          <w:bottom w:val="single" w:color="DAD3C0" w:sz="4" w:space="4"/>
        </w:pBdr>
        <w:spacing w:after="140" w:before="360"/>
      </w:pPr>
      <w:r>
        <w:rPr>
          <w:b/>
          <w:bCs/>
          <w:color w:val="97771F"/>
          <w:sz w:val="26"/>
          <w:szCs w:val="26"/>
        </w:rPr>
        <w:t xml:space="preserve">9.1  </w:t>
      </w:r>
      <w:r>
        <w:rPr>
          <w:b/>
          <w:bCs/>
          <w:color w:val="33363C"/>
          <w:sz w:val="26"/>
          <w:szCs w:val="26"/>
        </w:rPr>
        <w:t xml:space="preserve">Sprint Cadence and Release Structure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assumptions underlying the sprint sequence — cadence, numbering, and release grouping.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Programme Manager and PMO a planning baseline consistent with PDIB Part 6 (Agile Delivery Framework) and Part 17 (Implementation Schedule).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Sprint length and calendar dates are governed by PDIB Part 17; this Part sequences Work Packages in relative Sprint order only.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sprint sequence that any Programme Manager can map onto an actual calendar via PDIB Part 17 without re-deriving Work Package order.</w:t>
            </w:r>
          </w:p>
        </w:tc>
      </w:tr>
    </w:tbl>
    <w:p>
      <w:pPr>
        <w:spacing w:after="160"/>
      </w:pPr>
    </w:p>
    <w:p>
      <w:pPr>
        <w:spacing w:after="150" w:line="276"/>
        <w:jc w:val="both"/>
      </w:pPr>
      <w:r>
        <w:t xml:space="preserve">This roadmap assumes the two-week sprint cadence and Agile Delivery Framework defined in PDIB Part 6. Sprint 0 is a mobilization sprint with no Work Package delivery; Sprints 1 through 19 each deliver one or more Work Packages. Actual calendar start and end dates for each sprint are governed by PDIB Part 17 (Implementation Schedule) and are not restated here — this Part fixes relative sequence and dependency, not absolute 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WP-23 (AI Assistant) is labeled 'Phase 2' in the SRS to indicate its position in the platform's functional phasing, not a deferred post-go-live release. Per its Definition of Ready fixed in Part 8, WP-24 (Quality Engineering &amp; Release Readiness) depends on WP-01 through WP-23 being complete — so this roadmap sequences the AI Assistant into the initial delivery cycle, ahead of the final QA and closeout sprints. A Programme Manager may choose to re-scope WP-24's dependency to defer WP-23 to a post-go-live release; doing so requires a Change Request against Part 8, per Part 1, Section 1.6.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411"/>
        <w:gridCol w:w="1814"/>
        <w:gridCol w:w="4637"/>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Release</w:t>
            </w:r>
          </w:p>
        </w:tc>
        <w:tc>
          <w:tcPr>
            <w:tcW w:type="dxa" w:w="1411"/>
            <w:shd w:fill="33363C" w:val="clear"/>
            <w:tcMar>
              <w:top w:type="dxa" w:w="70"/>
              <w:left w:type="dxa" w:w="110"/>
              <w:bottom w:type="dxa" w:w="70"/>
              <w:right w:type="dxa" w:w="110"/>
            </w:tcMar>
            <w:vAlign w:val="top"/>
          </w:tcPr>
          <w:p>
            <w:r>
              <w:rPr>
                <w:b/>
                <w:bCs/>
                <w:color w:val="FFFFFF"/>
                <w:sz w:val="17"/>
                <w:szCs w:val="17"/>
              </w:rPr>
              <w:t xml:space="preserve">Sprints</w:t>
            </w:r>
          </w:p>
        </w:tc>
        <w:tc>
          <w:tcPr>
            <w:tcW w:type="dxa" w:w="1814"/>
            <w:shd w:fill="33363C" w:val="clear"/>
            <w:tcMar>
              <w:top w:type="dxa" w:w="70"/>
              <w:left w:type="dxa" w:w="110"/>
              <w:bottom w:type="dxa" w:w="70"/>
              <w:right w:type="dxa" w:w="110"/>
            </w:tcMar>
            <w:vAlign w:val="top"/>
          </w:tcPr>
          <w:p>
            <w:r>
              <w:rPr>
                <w:b/>
                <w:bCs/>
                <w:color w:val="FFFFFF"/>
                <w:sz w:val="17"/>
                <w:szCs w:val="17"/>
              </w:rPr>
              <w:t xml:space="preserve">Work Packages</w:t>
            </w:r>
          </w:p>
        </w:tc>
        <w:tc>
          <w:tcPr>
            <w:tcW w:type="dxa" w:w="4637"/>
            <w:shd w:fill="33363C" w:val="clear"/>
            <w:tcMar>
              <w:top w:type="dxa" w:w="70"/>
              <w:left w:type="dxa" w:w="110"/>
              <w:bottom w:type="dxa" w:w="70"/>
              <w:right w:type="dxa" w:w="110"/>
            </w:tcMar>
            <w:vAlign w:val="top"/>
          </w:tcPr>
          <w:p>
            <w:r>
              <w:rPr>
                <w:b/>
                <w:bCs/>
                <w:color w:val="FFFFFF"/>
                <w:sz w:val="17"/>
                <w:szCs w:val="17"/>
              </w:rPr>
              <w:t xml:space="preserve">Scope</w:t>
            </w:r>
          </w:p>
        </w:tc>
      </w:tr>
      <w:tr>
        <w:tc>
          <w:tcPr>
            <w:tcW w:type="dxa" w:w="2218"/>
            <w:tcMar>
              <w:top w:type="dxa" w:w="70"/>
              <w:left w:type="dxa" w:w="110"/>
              <w:bottom w:type="dxa" w:w="70"/>
              <w:right w:type="dxa" w:w="110"/>
            </w:tcMar>
            <w:vAlign w:val="top"/>
          </w:tcPr>
          <w:p>
            <w:r>
              <w:rPr>
                <w:b/>
                <w:bCs/>
                <w:color w:val="1A1A1A"/>
                <w:sz w:val="13"/>
                <w:szCs w:val="13"/>
              </w:rPr>
              <w:t xml:space="preserve">Release 0.1 — Foundation</w:t>
            </w:r>
          </w:p>
        </w:tc>
        <w:tc>
          <w:tcPr>
            <w:tcW w:type="dxa" w:w="1411"/>
            <w:tcMar>
              <w:top w:type="dxa" w:w="70"/>
              <w:left w:type="dxa" w:w="110"/>
              <w:bottom w:type="dxa" w:w="70"/>
              <w:right w:type="dxa" w:w="110"/>
            </w:tcMar>
            <w:vAlign w:val="top"/>
          </w:tcPr>
          <w:p>
            <w:r>
              <w:rPr>
                <w:b w:val="false"/>
                <w:bCs w:val="false"/>
                <w:color w:val="1A1A1A"/>
                <w:sz w:val="13"/>
                <w:szCs w:val="13"/>
              </w:rPr>
              <w:t xml:space="preserve">Sprint 0–4</w:t>
            </w:r>
          </w:p>
        </w:tc>
        <w:tc>
          <w:tcPr>
            <w:tcW w:type="dxa" w:w="1814"/>
            <w:tcMar>
              <w:top w:type="dxa" w:w="70"/>
              <w:left w:type="dxa" w:w="110"/>
              <w:bottom w:type="dxa" w:w="70"/>
              <w:right w:type="dxa" w:w="110"/>
            </w:tcMar>
            <w:vAlign w:val="top"/>
          </w:tcPr>
          <w:p>
            <w:r>
              <w:rPr>
                <w:b w:val="false"/>
                <w:bCs w:val="false"/>
                <w:color w:val="1A1A1A"/>
                <w:sz w:val="13"/>
                <w:szCs w:val="13"/>
              </w:rPr>
              <w:t xml:space="preserve">WP-01 to WP-05</w:t>
            </w:r>
          </w:p>
        </w:tc>
        <w:tc>
          <w:tcPr>
            <w:tcW w:type="dxa" w:w="4637"/>
            <w:tcMar>
              <w:top w:type="dxa" w:w="70"/>
              <w:left w:type="dxa" w:w="110"/>
              <w:bottom w:type="dxa" w:w="70"/>
              <w:right w:type="dxa" w:w="110"/>
            </w:tcMar>
            <w:vAlign w:val="top"/>
          </w:tcPr>
          <w:p>
            <w:r>
              <w:rPr>
                <w:b w:val="false"/>
                <w:bCs w:val="false"/>
                <w:color w:val="1A1A1A"/>
                <w:sz w:val="13"/>
                <w:szCs w:val="13"/>
              </w:rPr>
              <w:t xml:space="preserve">Non-demonstrable platform infrastructure: database, API, DevSecOps, administration, security.</w:t>
            </w:r>
          </w:p>
        </w:tc>
      </w:tr>
      <w:tr>
        <w:tc>
          <w:tcPr>
            <w:tcW w:type="dxa" w:w="2218"/>
            <w:tcMar>
              <w:top w:type="dxa" w:w="70"/>
              <w:left w:type="dxa" w:w="110"/>
              <w:bottom w:type="dxa" w:w="70"/>
              <w:right w:type="dxa" w:w="110"/>
            </w:tcMar>
            <w:vAlign w:val="top"/>
          </w:tcPr>
          <w:p>
            <w:r>
              <w:rPr>
                <w:b/>
                <w:bCs/>
                <w:color w:val="1A1A1A"/>
                <w:sz w:val="13"/>
                <w:szCs w:val="13"/>
              </w:rPr>
              <w:t xml:space="preserve">Release 0.5 — Core Delivery Chain</w:t>
            </w:r>
          </w:p>
        </w:tc>
        <w:tc>
          <w:tcPr>
            <w:tcW w:type="dxa" w:w="1411"/>
            <w:tcMar>
              <w:top w:type="dxa" w:w="70"/>
              <w:left w:type="dxa" w:w="110"/>
              <w:bottom w:type="dxa" w:w="70"/>
              <w:right w:type="dxa" w:w="110"/>
            </w:tcMar>
            <w:vAlign w:val="top"/>
          </w:tcPr>
          <w:p>
            <w:r>
              <w:rPr>
                <w:b w:val="false"/>
                <w:bCs w:val="false"/>
                <w:color w:val="1A1A1A"/>
                <w:sz w:val="13"/>
                <w:szCs w:val="13"/>
              </w:rPr>
              <w:t xml:space="preserve">Sprint 5–9</w:t>
            </w:r>
          </w:p>
        </w:tc>
        <w:tc>
          <w:tcPr>
            <w:tcW w:type="dxa" w:w="1814"/>
            <w:tcMar>
              <w:top w:type="dxa" w:w="70"/>
              <w:left w:type="dxa" w:w="110"/>
              <w:bottom w:type="dxa" w:w="70"/>
              <w:right w:type="dxa" w:w="110"/>
            </w:tcMar>
            <w:vAlign w:val="top"/>
          </w:tcPr>
          <w:p>
            <w:r>
              <w:rPr>
                <w:b w:val="false"/>
                <w:bCs w:val="false"/>
                <w:color w:val="1A1A1A"/>
                <w:sz w:val="13"/>
                <w:szCs w:val="13"/>
              </w:rPr>
              <w:t xml:space="preserve">WP-06 to WP-11</w:t>
            </w:r>
          </w:p>
        </w:tc>
        <w:tc>
          <w:tcPr>
            <w:tcW w:type="dxa" w:w="4637"/>
            <w:tcMar>
              <w:top w:type="dxa" w:w="70"/>
              <w:left w:type="dxa" w:w="110"/>
              <w:bottom w:type="dxa" w:w="70"/>
              <w:right w:type="dxa" w:w="110"/>
            </w:tcMar>
            <w:vAlign w:val="top"/>
          </w:tcPr>
          <w:p>
            <w:r>
              <w:rPr>
                <w:b w:val="false"/>
                <w:bCs w:val="false"/>
                <w:color w:val="1A1A1A"/>
                <w:sz w:val="13"/>
                <w:szCs w:val="13"/>
              </w:rPr>
              <w:t xml:space="preserve">First internally demonstrable capability: programme, project, task, workflow, and approval management.</w:t>
            </w:r>
          </w:p>
        </w:tc>
      </w:tr>
      <w:tr>
        <w:tc>
          <w:tcPr>
            <w:tcW w:type="dxa" w:w="2218"/>
            <w:tcMar>
              <w:top w:type="dxa" w:w="70"/>
              <w:left w:type="dxa" w:w="110"/>
              <w:bottom w:type="dxa" w:w="70"/>
              <w:right w:type="dxa" w:w="110"/>
            </w:tcMar>
            <w:vAlign w:val="top"/>
          </w:tcPr>
          <w:p>
            <w:r>
              <w:rPr>
                <w:b/>
                <w:bCs/>
                <w:color w:val="1A1A1A"/>
                <w:sz w:val="13"/>
                <w:szCs w:val="13"/>
              </w:rPr>
              <w:t xml:space="preserve">Release 0.8 — Content &amp; Discovery</w:t>
            </w:r>
          </w:p>
        </w:tc>
        <w:tc>
          <w:tcPr>
            <w:tcW w:type="dxa" w:w="1411"/>
            <w:tcMar>
              <w:top w:type="dxa" w:w="70"/>
              <w:left w:type="dxa" w:w="110"/>
              <w:bottom w:type="dxa" w:w="70"/>
              <w:right w:type="dxa" w:w="110"/>
            </w:tcMar>
            <w:vAlign w:val="top"/>
          </w:tcPr>
          <w:p>
            <w:r>
              <w:rPr>
                <w:b w:val="false"/>
                <w:bCs w:val="false"/>
                <w:color w:val="1A1A1A"/>
                <w:sz w:val="13"/>
                <w:szCs w:val="13"/>
              </w:rPr>
              <w:t xml:space="preserve">Sprint 10–12</w:t>
            </w:r>
          </w:p>
        </w:tc>
        <w:tc>
          <w:tcPr>
            <w:tcW w:type="dxa" w:w="1814"/>
            <w:tcMar>
              <w:top w:type="dxa" w:w="70"/>
              <w:left w:type="dxa" w:w="110"/>
              <w:bottom w:type="dxa" w:w="70"/>
              <w:right w:type="dxa" w:w="110"/>
            </w:tcMar>
            <w:vAlign w:val="top"/>
          </w:tcPr>
          <w:p>
            <w:r>
              <w:rPr>
                <w:b w:val="false"/>
                <w:bCs w:val="false"/>
                <w:color w:val="1A1A1A"/>
                <w:sz w:val="13"/>
                <w:szCs w:val="13"/>
              </w:rPr>
              <w:t xml:space="preserve">WP-12 to WP-15</w:t>
            </w:r>
          </w:p>
        </w:tc>
        <w:tc>
          <w:tcPr>
            <w:tcW w:type="dxa" w:w="4637"/>
            <w:tcMar>
              <w:top w:type="dxa" w:w="70"/>
              <w:left w:type="dxa" w:w="110"/>
              <w:bottom w:type="dxa" w:w="70"/>
              <w:right w:type="dxa" w:w="110"/>
            </w:tcMar>
            <w:vAlign w:val="top"/>
          </w:tcPr>
          <w:p>
            <w:r>
              <w:rPr>
                <w:b w:val="false"/>
                <w:bCs w:val="false"/>
                <w:color w:val="1A1A1A"/>
                <w:sz w:val="13"/>
                <w:szCs w:val="13"/>
              </w:rPr>
              <w:t xml:space="preserve">Document, knowledge, media, and search capability.</w:t>
            </w:r>
          </w:p>
        </w:tc>
      </w:tr>
      <w:tr>
        <w:tc>
          <w:tcPr>
            <w:tcW w:type="dxa" w:w="2218"/>
            <w:tcMar>
              <w:top w:type="dxa" w:w="70"/>
              <w:left w:type="dxa" w:w="110"/>
              <w:bottom w:type="dxa" w:w="70"/>
              <w:right w:type="dxa" w:w="110"/>
            </w:tcMar>
            <w:vAlign w:val="top"/>
          </w:tcPr>
          <w:p>
            <w:r>
              <w:rPr>
                <w:b/>
                <w:bCs/>
                <w:color w:val="1A1A1A"/>
                <w:sz w:val="13"/>
                <w:szCs w:val="13"/>
              </w:rPr>
              <w:t xml:space="preserve">Release 0.9 — Full Functional Scope</w:t>
            </w:r>
          </w:p>
        </w:tc>
        <w:tc>
          <w:tcPr>
            <w:tcW w:type="dxa" w:w="1411"/>
            <w:tcMar>
              <w:top w:type="dxa" w:w="70"/>
              <w:left w:type="dxa" w:w="110"/>
              <w:bottom w:type="dxa" w:w="70"/>
              <w:right w:type="dxa" w:w="110"/>
            </w:tcMar>
            <w:vAlign w:val="top"/>
          </w:tcPr>
          <w:p>
            <w:r>
              <w:rPr>
                <w:b w:val="false"/>
                <w:bCs w:val="false"/>
                <w:color w:val="1A1A1A"/>
                <w:sz w:val="13"/>
                <w:szCs w:val="13"/>
              </w:rPr>
              <w:t xml:space="preserve">Sprint 13–16</w:t>
            </w:r>
          </w:p>
        </w:tc>
        <w:tc>
          <w:tcPr>
            <w:tcW w:type="dxa" w:w="1814"/>
            <w:tcMar>
              <w:top w:type="dxa" w:w="70"/>
              <w:left w:type="dxa" w:w="110"/>
              <w:bottom w:type="dxa" w:w="70"/>
              <w:right w:type="dxa" w:w="110"/>
            </w:tcMar>
            <w:vAlign w:val="top"/>
          </w:tcPr>
          <w:p>
            <w:r>
              <w:rPr>
                <w:b w:val="false"/>
                <w:bCs w:val="false"/>
                <w:color w:val="1A1A1A"/>
                <w:sz w:val="13"/>
                <w:szCs w:val="13"/>
              </w:rPr>
              <w:t xml:space="preserve">WP-16 to WP-22</w:t>
            </w:r>
          </w:p>
        </w:tc>
        <w:tc>
          <w:tcPr>
            <w:tcW w:type="dxa" w:w="4637"/>
            <w:tcMar>
              <w:top w:type="dxa" w:w="70"/>
              <w:left w:type="dxa" w:w="110"/>
              <w:bottom w:type="dxa" w:w="70"/>
              <w:right w:type="dxa" w:w="110"/>
            </w:tcMar>
            <w:vAlign w:val="top"/>
          </w:tcPr>
          <w:p>
            <w:r>
              <w:rPr>
                <w:b w:val="false"/>
                <w:bCs w:val="false"/>
                <w:color w:val="1A1A1A"/>
                <w:sz w:val="13"/>
                <w:szCs w:val="13"/>
              </w:rPr>
              <w:t xml:space="preserve">Reporting, analytics, notifications, training, support, help desk, and the Public Portal.</w:t>
            </w:r>
          </w:p>
        </w:tc>
      </w:tr>
      <w:tr>
        <w:tc>
          <w:tcPr>
            <w:tcW w:type="dxa" w:w="2218"/>
            <w:tcMar>
              <w:top w:type="dxa" w:w="70"/>
              <w:left w:type="dxa" w:w="110"/>
              <w:bottom w:type="dxa" w:w="70"/>
              <w:right w:type="dxa" w:w="110"/>
            </w:tcMar>
            <w:vAlign w:val="top"/>
          </w:tcPr>
          <w:p>
            <w:r>
              <w:rPr>
                <w:b/>
                <w:bCs/>
                <w:color w:val="1A1A1A"/>
                <w:sz w:val="13"/>
                <w:szCs w:val="13"/>
              </w:rPr>
              <w:t xml:space="preserve">Release 1.0 — General Availability</w:t>
            </w:r>
          </w:p>
        </w:tc>
        <w:tc>
          <w:tcPr>
            <w:tcW w:type="dxa" w:w="1411"/>
            <w:tcMar>
              <w:top w:type="dxa" w:w="70"/>
              <w:left w:type="dxa" w:w="110"/>
              <w:bottom w:type="dxa" w:w="70"/>
              <w:right w:type="dxa" w:w="110"/>
            </w:tcMar>
            <w:vAlign w:val="top"/>
          </w:tcPr>
          <w:p>
            <w:r>
              <w:rPr>
                <w:b w:val="false"/>
                <w:bCs w:val="false"/>
                <w:color w:val="1A1A1A"/>
                <w:sz w:val="13"/>
                <w:szCs w:val="13"/>
              </w:rPr>
              <w:t xml:space="preserve">Sprint 17–19</w:t>
            </w:r>
          </w:p>
        </w:tc>
        <w:tc>
          <w:tcPr>
            <w:tcW w:type="dxa" w:w="1814"/>
            <w:tcMar>
              <w:top w:type="dxa" w:w="70"/>
              <w:left w:type="dxa" w:w="110"/>
              <w:bottom w:type="dxa" w:w="70"/>
              <w:right w:type="dxa" w:w="110"/>
            </w:tcMar>
            <w:vAlign w:val="top"/>
          </w:tcPr>
          <w:p>
            <w:r>
              <w:rPr>
                <w:b w:val="false"/>
                <w:bCs w:val="false"/>
                <w:color w:val="1A1A1A"/>
                <w:sz w:val="13"/>
                <w:szCs w:val="13"/>
              </w:rPr>
              <w:t xml:space="preserve">WP-23 to WP-25</w:t>
            </w:r>
          </w:p>
        </w:tc>
        <w:tc>
          <w:tcPr>
            <w:tcW w:type="dxa" w:w="4637"/>
            <w:tcMar>
              <w:top w:type="dxa" w:w="70"/>
              <w:left w:type="dxa" w:w="110"/>
              <w:bottom w:type="dxa" w:w="70"/>
              <w:right w:type="dxa" w:w="110"/>
            </w:tcMar>
            <w:vAlign w:val="top"/>
          </w:tcPr>
          <w:p>
            <w:r>
              <w:rPr>
                <w:b w:val="false"/>
                <w:bCs w:val="false"/>
                <w:color w:val="1A1A1A"/>
                <w:sz w:val="13"/>
                <w:szCs w:val="13"/>
              </w:rPr>
              <w:t xml:space="preserve">AI Assistant, full regression and release certification, documentation closeout, and go-live.</w:t>
            </w:r>
          </w:p>
        </w:tc>
      </w:tr>
    </w:tbl>
    <w:p>
      <w:pPr>
        <w:pStyle w:val="Heading1"/>
        <w:pBdr>
          <w:bottom w:val="single" w:color="DAD3C0" w:sz="4" w:space="4"/>
        </w:pBdr>
        <w:spacing w:after="140" w:before="360"/>
      </w:pPr>
      <w:r>
        <w:rPr>
          <w:b/>
          <w:bCs/>
          <w:color w:val="97771F"/>
          <w:sz w:val="26"/>
          <w:szCs w:val="26"/>
        </w:rPr>
        <w:t xml:space="preserve">9.2  </w:t>
      </w:r>
      <w:r>
        <w:rPr>
          <w:b/>
          <w:bCs/>
          <w:color w:val="33363C"/>
          <w:sz w:val="26"/>
          <w:szCs w:val="26"/>
        </w:rPr>
        <w:t xml:space="preserve">Sprint-by-Sprint Roadmap</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the complete Sprint 0–19 roadmap in full detail.</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The single reference for sprint planning, standups, and Steering Committee progress reporting.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sprint's Work Packages, dependencies, and risks are drawn directly from Parts 2, 5, 6, 7, and 8 — no new scope is introduced.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sprint sequence executable without further planning work beyond calendar-mapping via PDIB Part 17.</w:t>
            </w:r>
          </w:p>
        </w:tc>
      </w:tr>
    </w:tbl>
    <w:p>
      <w:pPr>
        <w:spacing w:after="160"/>
      </w:pPr>
    </w:p>
    <w:p>
      <w:pPr>
        <w:pStyle w:val="Heading1"/>
        <w:pBdr>
          <w:bottom w:val="single" w:color="DAD3C0" w:sz="4" w:space="4"/>
        </w:pBdr>
        <w:spacing w:after="140" w:before="360"/>
      </w:pPr>
      <w:r>
        <w:rPr>
          <w:b/>
          <w:bCs/>
          <w:color w:val="97771F"/>
          <w:sz w:val="26"/>
          <w:szCs w:val="26"/>
        </w:rPr>
        <w:t xml:space="preserve">9.2.1  </w:t>
      </w:r>
      <w:r>
        <w:rPr>
          <w:b/>
          <w:bCs/>
          <w:color w:val="33363C"/>
          <w:sz w:val="26"/>
          <w:szCs w:val="26"/>
        </w:rPr>
        <w:t xml:space="preserve">Sprint 0 — Mobilization &amp; Environment Readiness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Onboard the engineering team and Antigravity; confirm access to all governing documents; finalize DevSecOps tooling selection; groom the Master Product Backlog into Sprint 1 readiness.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None — preparatory sprint.</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Team and Antigravity onboarding record; tooling selection notes feeding ADR-0001/0003/0005; Sprint 1 backlog groomed to Definition of Ready.</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All engineers and Antigravity have verified repository access; WP-01, WP-02, and WP-03 backlog items meet Definition of Ready per Handbook Chapter 19.</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Delayed environment access could push the entire schedule — mitigated by starting environment provisioning in Sprint 0 rather than Sprint 1.</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Programme Kickoff (Appendix O, Section O.7 — Project Initiation carry-forward into Development).</w:t>
            </w:r>
          </w:p>
        </w:tc>
      </w:tr>
    </w:tbl>
    <w:p>
      <w:pPr>
        <w:spacing w:after="160"/>
      </w:pPr>
    </w:p>
    <w:p>
      <w:pPr>
        <w:pStyle w:val="Heading1"/>
        <w:pBdr>
          <w:bottom w:val="single" w:color="DAD3C0" w:sz="4" w:space="4"/>
        </w:pBdr>
        <w:spacing w:after="140" w:before="360"/>
      </w:pPr>
      <w:r>
        <w:rPr>
          <w:b/>
          <w:bCs/>
          <w:color w:val="97771F"/>
          <w:sz w:val="26"/>
          <w:szCs w:val="26"/>
        </w:rPr>
        <w:t xml:space="preserve">9.2.2  </w:t>
      </w:r>
      <w:r>
        <w:rPr>
          <w:b/>
          <w:bCs/>
          <w:color w:val="33363C"/>
          <w:sz w:val="26"/>
          <w:szCs w:val="26"/>
        </w:rPr>
        <w:t xml:space="preserve">Sprint 1 — Platform Database Foundation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Stand up the complete physical database schema, migration framework, and audit logging baseline.</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WP-01.</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DEL-ENG-001, DEL-ENG-002, DEL-ENG-003.</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WP-01 Definition of Done met in full.</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R-DB-01 — schema rework if module-level requirements surface gaps in DDS.</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Database Baseline Established.</w:t>
            </w:r>
          </w:p>
        </w:tc>
      </w:tr>
    </w:tbl>
    <w:p>
      <w:pPr>
        <w:spacing w:after="160"/>
      </w:pPr>
    </w:p>
    <w:p>
      <w:pPr>
        <w:pStyle w:val="Heading1"/>
        <w:pBdr>
          <w:bottom w:val="single" w:color="DAD3C0" w:sz="4" w:space="4"/>
        </w:pBdr>
        <w:spacing w:after="140" w:before="360"/>
      </w:pPr>
      <w:r>
        <w:rPr>
          <w:b/>
          <w:bCs/>
          <w:color w:val="97771F"/>
          <w:sz w:val="26"/>
          <w:szCs w:val="26"/>
        </w:rPr>
        <w:t xml:space="preserve">9.2.3  </w:t>
      </w:r>
      <w:r>
        <w:rPr>
          <w:b/>
          <w:bCs/>
          <w:color w:val="33363C"/>
          <w:sz w:val="26"/>
          <w:szCs w:val="26"/>
        </w:rPr>
        <w:t xml:space="preserve">Sprint 2 — API &amp; DevSecOps Foundations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Stand up the API gateway, base OpenAPI contract, authentication middleware, CI/CD pipeline, and environment configuration.</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WP-02, WP-03 (executed in parallel — independent domains).</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WP-01 (for WP-02's entity-aligned contracts).</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DEL-ENG-004 through DEL-ENG-010.</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WP-02 and WP-03 Definitions of Done both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R-API-01 — gateway single point of failure; R-DEVOPS-01 — environment drift.</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9.2.4  </w:t>
      </w:r>
      <w:r>
        <w:rPr>
          <w:b/>
          <w:bCs/>
          <w:color w:val="33363C"/>
          <w:sz w:val="26"/>
          <w:szCs w:val="26"/>
        </w:rPr>
        <w:t xml:space="preserve">Sprint 3 — Administration &amp; User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user provisioning, organizational unit management, and system configuration.</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WP-04.</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WP-01, WP-02, WP-03.</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DEL-ENG-011, DEL-ENG-012.</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WP-04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R-ADM-01 — organizational hierarchy changes after go-live could require data migration.</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9.2.5  </w:t>
      </w:r>
      <w:r>
        <w:rPr>
          <w:b/>
          <w:bCs/>
          <w:color w:val="33363C"/>
          <w:sz w:val="26"/>
          <w:szCs w:val="26"/>
        </w:rPr>
        <w:t xml:space="preserve">Sprint 4 — Security &amp; 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Complete the platform's RBAC enforcement layer — roles, permissions, session management, access audit.</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WP-05.</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WP-01 through WP-04.</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DEL-ENG-013, DEL-ENG-014.</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WP-05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R-SEC-01 — overly coarse-grained roles could force privilege creep.</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Foundation Wave Complete — WP-01 through WP-05 done; every subsequent Work Package may now begin. Appendix O, Section O.7 Development milestone formally opens.</w:t>
            </w:r>
          </w:p>
        </w:tc>
      </w:tr>
    </w:tbl>
    <w:p>
      <w:pPr>
        <w:spacing w:after="160"/>
      </w:pPr>
    </w:p>
    <w:p>
      <w:pPr>
        <w:pStyle w:val="Heading1"/>
        <w:pBdr>
          <w:bottom w:val="single" w:color="DAD3C0" w:sz="4" w:space="4"/>
        </w:pBdr>
        <w:spacing w:after="140" w:before="360"/>
      </w:pPr>
      <w:r>
        <w:rPr>
          <w:b/>
          <w:bCs/>
          <w:color w:val="97771F"/>
          <w:sz w:val="26"/>
          <w:szCs w:val="26"/>
        </w:rPr>
        <w:t xml:space="preserve">9.2.6  </w:t>
      </w:r>
      <w:r>
        <w:rPr>
          <w:b/>
          <w:bCs/>
          <w:color w:val="33363C"/>
          <w:sz w:val="26"/>
          <w:szCs w:val="26"/>
        </w:rPr>
        <w:t xml:space="preserve">Sprint 5 — Programme Management &amp; Executive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top-level programme/zone/budget organizing structure and the first cross-module executive reporting consumer.</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WP-07, WP-06 (parallel — WP-06 may proceed against a mocked WP-07 contract).</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WP-01 through WP-05.</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DEL-ENG-015 through DEL-ENG-018.</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WP-07 and WP-06 Definitions of Done both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R-PROG-01 — zone restructuring after go-live; R-EXEC-01 — KPI definitions may change.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9.2.7  </w:t>
      </w:r>
      <w:r>
        <w:rPr>
          <w:b/>
          <w:bCs/>
          <w:color w:val="33363C"/>
          <w:sz w:val="26"/>
          <w:szCs w:val="26"/>
        </w:rPr>
        <w:t xml:space="preserve">Sprint 6 — Projects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project registration, resourcing, and timeline management within each zone.</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WP-08.</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WP-07.</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DEL-ENG-019, DEL-ENG-020.</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WP-08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R-PROJ-01 — high project volume per zone could stress timeline rendering performance.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9.2.8  </w:t>
      </w:r>
      <w:r>
        <w:rPr>
          <w:b/>
          <w:bCs/>
          <w:color w:val="33363C"/>
          <w:sz w:val="26"/>
          <w:szCs w:val="26"/>
        </w:rPr>
        <w:t xml:space="preserve">Sprint 7 —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granular task tracking — assignment, dependencies, status — within projects.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WP-09.</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WP-08.</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DEL-ENG-021, DEL-ENG-022.</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WP-09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R-TASK-01 — complex dependency chains could degrade Task Board performance.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9.2.9  </w:t>
      </w:r>
      <w:r>
        <w:rPr>
          <w:b/>
          <w:bCs/>
          <w:color w:val="33363C"/>
          <w:sz w:val="26"/>
          <w:szCs w:val="26"/>
        </w:rPr>
        <w:t xml:space="preserve">Sprint 8 — Workflow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configurable, auditable workflow engine that orchestrates multi-step business processes.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WP-10.</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WP-04, WP-09.</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DEL-ENG-023, DEL-ENG-024.</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WP-10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R-WF-01 — overly flexible workflow configuration could allow invalid business processes.</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Core Delivery Chain Complete — Programme Management → Projects → Tasks → Workflow Engine now fully operational end to end.</w:t>
            </w:r>
          </w:p>
        </w:tc>
      </w:tr>
    </w:tbl>
    <w:p>
      <w:pPr>
        <w:spacing w:after="160"/>
      </w:pPr>
    </w:p>
    <w:p>
      <w:pPr>
        <w:pStyle w:val="Heading1"/>
        <w:pBdr>
          <w:bottom w:val="single" w:color="DAD3C0" w:sz="4" w:space="4"/>
        </w:pBdr>
        <w:spacing w:after="140" w:before="360"/>
      </w:pPr>
      <w:r>
        <w:rPr>
          <w:b/>
          <w:bCs/>
          <w:color w:val="97771F"/>
          <w:sz w:val="26"/>
          <w:szCs w:val="26"/>
        </w:rPr>
        <w:t xml:space="preserve">9.2.10  </w:t>
      </w:r>
      <w:r>
        <w:rPr>
          <w:b/>
          <w:bCs/>
          <w:color w:val="33363C"/>
          <w:sz w:val="26"/>
          <w:szCs w:val="26"/>
        </w:rPr>
        <w:t xml:space="preserve">Sprint 9 — 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formal, auditable, multi-level approval mechanism built on the Workflow Engine.</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WP-11.</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WP-10, WP-04.</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DEL-ENG-025, DEL-ENG-026.</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WP-11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R-APR-01 — delegation misconfiguration could allow unauthorized approval.</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9.2.11  </w:t>
      </w:r>
      <w:r>
        <w:rPr>
          <w:b/>
          <w:bCs/>
          <w:color w:val="33363C"/>
          <w:sz w:val="26"/>
          <w:szCs w:val="26"/>
        </w:rPr>
        <w:t xml:space="preserve">Sprint 10 — Documents &amp; Media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platform's document system of record and its media asset management pipeline.</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WP-12, WP-14 (parallel — independent content domains).</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WP-05, WP-11 (Documents); WP-03, WP-05 (Media).</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DEL-ENG-027, DEL-ENG-028, DEL-ENG-031, DEL-ENG-032.</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WP-12 and WP-14 Definitions of Done both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R-DOC-01 — large binary files could degrade storage performance; R-MED-01 — large video files could exceed storage/bandwidth budgets.</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9.2.12  </w:t>
      </w:r>
      <w:r>
        <w:rPr>
          <w:b/>
          <w:bCs/>
          <w:color w:val="33363C"/>
          <w:sz w:val="26"/>
          <w:szCs w:val="26"/>
        </w:rPr>
        <w:t xml:space="preserve">Sprint 11 — Knowledge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Organize programme documents and institutional knowledge into a searchable, curated structure.</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WP-13.</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WP-12.</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DEL-ENG-029, DEL-ENG-030.</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WP-13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R-KR-01 — inconsistent classification could fragment the knowledge base.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9.2.13  </w:t>
      </w:r>
      <w:r>
        <w:rPr>
          <w:b/>
          <w:bCs/>
          <w:color w:val="33363C"/>
          <w:sz w:val="26"/>
          <w:szCs w:val="26"/>
        </w:rPr>
        <w:t xml:space="preserve">Sprint 12 — Search (Platform-Wide)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unified, permission-aware, platform-wide search across documents and knowledge articles.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WP-15.</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WP-12, WP-13, WP-05.</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DEL-ENG-033, DEL-ENG-034.</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WP-15 Definition of Done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R-SRCH-01 — index growth could degrade query performance over time.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Knowledge &amp; Discovery Layer Complete — Documents, Knowledge Repository, and Search now form a working content chain, the direct foundation for the AI Assistant (Sprint 17).</w:t>
            </w:r>
          </w:p>
        </w:tc>
      </w:tr>
    </w:tbl>
    <w:p>
      <w:pPr>
        <w:spacing w:after="160"/>
      </w:pPr>
    </w:p>
    <w:p>
      <w:pPr>
        <w:pStyle w:val="Heading1"/>
        <w:pBdr>
          <w:bottom w:val="single" w:color="DAD3C0" w:sz="4" w:space="4"/>
        </w:pBdr>
        <w:spacing w:after="140" w:before="360"/>
      </w:pPr>
      <w:r>
        <w:rPr>
          <w:b/>
          <w:bCs/>
          <w:color w:val="97771F"/>
          <w:sz w:val="26"/>
          <w:szCs w:val="26"/>
        </w:rPr>
        <w:t xml:space="preserve">9.2.14  </w:t>
      </w:r>
      <w:r>
        <w:rPr>
          <w:b/>
          <w:bCs/>
          <w:color w:val="33363C"/>
          <w:sz w:val="26"/>
          <w:szCs w:val="26"/>
        </w:rPr>
        <w:t xml:space="preserve">Sprint 13 — Reporting &amp;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catalogue-driven reporting and trend/forecast analytics across programme data.</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WP-16, WP-17 (sequential within sprint — Analytics consumes Reporting's data access patterns).</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WP-07, WP-08 (Reporting); WP-16 (Analytics).</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DEL-ENG-035 through DEL-ENG-038.</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WP-16 and WP-17 Definitions of Done both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R-RPT-01 — ad-hoc report queries could degrade database performance; R-ANL-01 — datamart staleness could mislead decision-makers.</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9.2.15  </w:t>
      </w:r>
      <w:r>
        <w:rPr>
          <w:b/>
          <w:bCs/>
          <w:color w:val="33363C"/>
          <w:sz w:val="26"/>
          <w:szCs w:val="26"/>
        </w:rPr>
        <w:t xml:space="preserve">Sprint 14 — Notifications &amp;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shared platform-wide notification dispatch service and in-platform training delivery.</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WP-18, WP-19 (parallel — independent domains).</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WP-09, WP-10, WP-11 (Notifications); WP-04, WP-12 (Training).</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DEL-ENG-039 through DEL-ENG-042.</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WP-18 and WP-19 Definitions of Done both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R-NOT-01 — notification volume could overwhelm users; R-TRN-01 — low-connectivity zones could experience incomplete progress sync.</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9.2.16  </w:t>
      </w:r>
      <w:r>
        <w:rPr>
          <w:b/>
          <w:bCs/>
          <w:color w:val="33363C"/>
          <w:sz w:val="26"/>
          <w:szCs w:val="26"/>
        </w:rPr>
        <w:t xml:space="preserve">Sprint 15 — Support &amp; Help Desk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internal support ticketing and the self-service Help Desk that deflects ticket volume.</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WP-20, WP-21 (sequential within sprint — Help Desk reuses Support's deflection metrics).</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WP-18, WP-10 (Support); WP-13, WP-20 (Help Desk).</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DEL-ENG-043 through DEL-ENG-046.</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WP-20 and WP-21 Definitions of Done both met.</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R-SUP-01 — high ticket volume during rollout could overwhelm support staff.</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none.</w:t>
            </w:r>
          </w:p>
        </w:tc>
      </w:tr>
    </w:tbl>
    <w:p>
      <w:pPr>
        <w:spacing w:after="160"/>
      </w:pPr>
    </w:p>
    <w:p>
      <w:pPr>
        <w:pStyle w:val="Heading1"/>
        <w:pBdr>
          <w:bottom w:val="single" w:color="DAD3C0" w:sz="4" w:space="4"/>
        </w:pBdr>
        <w:spacing w:after="140" w:before="360"/>
      </w:pPr>
      <w:r>
        <w:rPr>
          <w:b/>
          <w:bCs/>
          <w:color w:val="97771F"/>
          <w:sz w:val="26"/>
          <w:szCs w:val="26"/>
        </w:rPr>
        <w:t xml:space="preserve">9.2.17  </w:t>
      </w:r>
      <w:r>
        <w:rPr>
          <w:b/>
          <w:bCs/>
          <w:color w:val="33363C"/>
          <w:sz w:val="26"/>
          <w:szCs w:val="26"/>
        </w:rPr>
        <w:t xml:space="preserve">Sprint 16 — Public Portal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external-facing Public Portal providing programme transparency to public stakeholders.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WP-22.</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WP-07, WP-11, WP-12.</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DEL-ENG-047, DEL-ENG-048.</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WP-22 Definition of Done met, including the platform-wide penetration test scoped to public/internal data separation.</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R-PUB-01 — accidental publication of unapproved or sensitive content.</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All Phase 1 Functional Modules Complete — WP-01 through WP-22 fully delivered.</w:t>
            </w:r>
          </w:p>
        </w:tc>
      </w:tr>
    </w:tbl>
    <w:p>
      <w:pPr>
        <w:spacing w:after="160"/>
      </w:pPr>
    </w:p>
    <w:p>
      <w:pPr>
        <w:pStyle w:val="Heading1"/>
        <w:pBdr>
          <w:bottom w:val="single" w:color="DAD3C0" w:sz="4" w:space="4"/>
        </w:pBdr>
        <w:spacing w:after="140" w:before="360"/>
      </w:pPr>
      <w:r>
        <w:rPr>
          <w:b/>
          <w:bCs/>
          <w:color w:val="97771F"/>
          <w:sz w:val="26"/>
          <w:szCs w:val="26"/>
        </w:rPr>
        <w:t xml:space="preserve">9.2.18  </w:t>
      </w:r>
      <w:r>
        <w:rPr>
          <w:b/>
          <w:bCs/>
          <w:color w:val="33363C"/>
          <w:sz w:val="26"/>
          <w:szCs w:val="26"/>
        </w:rPr>
        <w:t xml:space="preserve">Sprint 17 — AI Assistant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Deliver the retrieval-augmented conversational AI interface over the Knowledge Repository and Search indexes.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WP-23.</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WP-13, WP-15, WP-05.</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DEL-ENG-049, DEL-ENG-050, DEL-ENG-051.</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WP-23 Definition of Done met, including the TSAS Part 12 AI validation gate.</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R-AI-01 — AI-generated responses could be inaccurate or misleading.</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Phase 2 Capability Delivered.</w:t>
            </w:r>
          </w:p>
        </w:tc>
      </w:tr>
    </w:tbl>
    <w:p>
      <w:pPr>
        <w:spacing w:after="160"/>
      </w:pPr>
    </w:p>
    <w:p>
      <w:pPr>
        <w:pStyle w:val="Heading1"/>
        <w:pBdr>
          <w:bottom w:val="single" w:color="DAD3C0" w:sz="4" w:space="4"/>
        </w:pBdr>
        <w:spacing w:after="140" w:before="360"/>
      </w:pPr>
      <w:r>
        <w:rPr>
          <w:b/>
          <w:bCs/>
          <w:color w:val="97771F"/>
          <w:sz w:val="26"/>
          <w:szCs w:val="26"/>
        </w:rPr>
        <w:t xml:space="preserve">9.2.19  </w:t>
      </w:r>
      <w:r>
        <w:rPr>
          <w:b/>
          <w:bCs/>
          <w:color w:val="33363C"/>
          <w:sz w:val="26"/>
          <w:szCs w:val="26"/>
        </w:rPr>
        <w:t xml:space="preserve">Sprint 18 — Quality Engineering &amp; Release Readiness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Execute full-platform regression, performance, and penetration testing; certify release readiness.</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WP-24.</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WP-01 through WP-23.</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DEL-ENG-052, DEL-ENG-053, DEL-ENG-054.</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WP-24 Definition of Done met — zero unresolved Severity 1/2 defects; Release Readiness Checklist 100% complete.</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R-QA-01 — late-discovered defects could delay go-live.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Appendix O, Section O.7 Testing milestone complete.</w:t>
            </w:r>
          </w:p>
        </w:tc>
      </w:tr>
    </w:tbl>
    <w:p>
      <w:pPr>
        <w:spacing w:after="160"/>
      </w:pPr>
    </w:p>
    <w:p>
      <w:pPr>
        <w:pStyle w:val="Heading1"/>
        <w:pBdr>
          <w:bottom w:val="single" w:color="DAD3C0" w:sz="4" w:space="4"/>
        </w:pBdr>
        <w:spacing w:after="140" w:before="360"/>
      </w:pPr>
      <w:r>
        <w:rPr>
          <w:b/>
          <w:bCs/>
          <w:color w:val="97771F"/>
          <w:sz w:val="26"/>
          <w:szCs w:val="26"/>
        </w:rPr>
        <w:t xml:space="preserve">9.2.20  </w:t>
      </w:r>
      <w:r>
        <w:rPr>
          <w:b/>
          <w:bCs/>
          <w:color w:val="33363C"/>
          <w:sz w:val="26"/>
          <w:szCs w:val="26"/>
        </w:rPr>
        <w:t xml:space="preserve">Sprint 19 — Documentation Closeout, Go-Live &amp; Project Closure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3"/>
                <w:szCs w:val="13"/>
              </w:rPr>
              <w:t xml:space="preserve">Objectives</w:t>
            </w:r>
          </w:p>
        </w:tc>
        <w:tc>
          <w:tcPr>
            <w:tcW w:type="dxa" w:w="8064"/>
            <w:tcMar>
              <w:top w:type="dxa" w:w="70"/>
              <w:left w:type="dxa" w:w="110"/>
              <w:bottom w:type="dxa" w:w="70"/>
              <w:right w:type="dxa" w:w="110"/>
            </w:tcMar>
            <w:vAlign w:val="top"/>
          </w:tcPr>
          <w:p>
            <w:r>
              <w:rPr>
                <w:b w:val="false"/>
                <w:bCs w:val="false"/>
                <w:color w:val="1A1A1A"/>
                <w:sz w:val="13"/>
                <w:szCs w:val="13"/>
              </w:rPr>
              <w:t xml:space="preserve">Finalize all engineering documentation, consolidate the ADR log, verify complete traceability, and execute production cutover.</w:t>
            </w:r>
          </w:p>
        </w:tc>
      </w:tr>
      <w:tr>
        <w:tc>
          <w:tcPr>
            <w:tcW w:type="dxa" w:w="2016"/>
            <w:tcMar>
              <w:top w:type="dxa" w:w="70"/>
              <w:left w:type="dxa" w:w="110"/>
              <w:bottom w:type="dxa" w:w="70"/>
              <w:right w:type="dxa" w:w="110"/>
            </w:tcMar>
            <w:vAlign w:val="top"/>
          </w:tcPr>
          <w:p>
            <w:r>
              <w:rPr>
                <w:b/>
                <w:bCs/>
                <w:color w:val="1A1A1A"/>
                <w:sz w:val="13"/>
                <w:szCs w:val="13"/>
              </w:rPr>
              <w:t xml:space="preserve">Work Packages</w:t>
            </w:r>
          </w:p>
        </w:tc>
        <w:tc>
          <w:tcPr>
            <w:tcW w:type="dxa" w:w="8064"/>
            <w:tcMar>
              <w:top w:type="dxa" w:w="70"/>
              <w:left w:type="dxa" w:w="110"/>
              <w:bottom w:type="dxa" w:w="70"/>
              <w:right w:type="dxa" w:w="110"/>
            </w:tcMar>
            <w:vAlign w:val="top"/>
          </w:tcPr>
          <w:p>
            <w:r>
              <w:rPr>
                <w:b w:val="false"/>
                <w:bCs w:val="false"/>
                <w:color w:val="1A1A1A"/>
                <w:sz w:val="13"/>
                <w:szCs w:val="13"/>
              </w:rPr>
              <w:t xml:space="preserve">WP-25.</w:t>
            </w:r>
          </w:p>
        </w:tc>
      </w:tr>
      <w:tr>
        <w:tc>
          <w:tcPr>
            <w:tcW w:type="dxa" w:w="2016"/>
            <w:tcMar>
              <w:top w:type="dxa" w:w="70"/>
              <w:left w:type="dxa" w:w="110"/>
              <w:bottom w:type="dxa" w:w="70"/>
              <w:right w:type="dxa" w:w="110"/>
            </w:tcMar>
            <w:vAlign w:val="top"/>
          </w:tcPr>
          <w:p>
            <w:r>
              <w:rPr>
                <w:b/>
                <w:bCs/>
                <w:color w:val="1A1A1A"/>
                <w:sz w:val="13"/>
                <w:szCs w:val="13"/>
              </w:rPr>
              <w:t xml:space="preserve">Dependencies</w:t>
            </w:r>
          </w:p>
        </w:tc>
        <w:tc>
          <w:tcPr>
            <w:tcW w:type="dxa" w:w="8064"/>
            <w:tcMar>
              <w:top w:type="dxa" w:w="70"/>
              <w:left w:type="dxa" w:w="110"/>
              <w:bottom w:type="dxa" w:w="70"/>
              <w:right w:type="dxa" w:w="110"/>
            </w:tcMar>
            <w:vAlign w:val="top"/>
          </w:tcPr>
          <w:p>
            <w:r>
              <w:rPr>
                <w:b w:val="false"/>
                <w:bCs w:val="false"/>
                <w:color w:val="1A1A1A"/>
                <w:sz w:val="13"/>
                <w:szCs w:val="13"/>
              </w:rPr>
              <w:t xml:space="preserve">WP-01 through WP-24.</w:t>
            </w:r>
          </w:p>
        </w:tc>
      </w:tr>
      <w:tr>
        <w:tc>
          <w:tcPr>
            <w:tcW w:type="dxa" w:w="2016"/>
            <w:tcMar>
              <w:top w:type="dxa" w:w="70"/>
              <w:left w:type="dxa" w:w="110"/>
              <w:bottom w:type="dxa" w:w="70"/>
              <w:right w:type="dxa" w:w="110"/>
            </w:tcMar>
            <w:vAlign w:val="top"/>
          </w:tcPr>
          <w:p>
            <w:r>
              <w:rPr>
                <w:b/>
                <w:bCs/>
                <w:color w:val="1A1A1A"/>
                <w:sz w:val="13"/>
                <w:szCs w:val="13"/>
              </w:rPr>
              <w:t xml:space="preserve">Deliverables</w:t>
            </w:r>
          </w:p>
        </w:tc>
        <w:tc>
          <w:tcPr>
            <w:tcW w:type="dxa" w:w="8064"/>
            <w:tcMar>
              <w:top w:type="dxa" w:w="70"/>
              <w:left w:type="dxa" w:w="110"/>
              <w:bottom w:type="dxa" w:w="70"/>
              <w:right w:type="dxa" w:w="110"/>
            </w:tcMar>
            <w:vAlign w:val="top"/>
          </w:tcPr>
          <w:p>
            <w:r>
              <w:rPr>
                <w:b w:val="false"/>
                <w:bCs w:val="false"/>
                <w:color w:val="1A1A1A"/>
                <w:sz w:val="13"/>
                <w:szCs w:val="13"/>
              </w:rPr>
              <w:t xml:space="preserve">DEL-ENG-055, DEL-ENG-056, DEL-ENG-057; production deployment package per PDIB Part 13.</w:t>
            </w:r>
          </w:p>
        </w:tc>
      </w:tr>
      <w:tr>
        <w:tc>
          <w:tcPr>
            <w:tcW w:type="dxa" w:w="2016"/>
            <w:tcMar>
              <w:top w:type="dxa" w:w="70"/>
              <w:left w:type="dxa" w:w="110"/>
              <w:bottom w:type="dxa" w:w="70"/>
              <w:right w:type="dxa" w:w="110"/>
            </w:tcMar>
            <w:vAlign w:val="top"/>
          </w:tcPr>
          <w:p>
            <w:r>
              <w:rPr>
                <w:b/>
                <w:bCs/>
                <w:color w:val="1A1A1A"/>
                <w:sz w:val="13"/>
                <w:szCs w:val="13"/>
              </w:rPr>
              <w:t xml:space="preserve">Exit Criteria</w:t>
            </w:r>
          </w:p>
        </w:tc>
        <w:tc>
          <w:tcPr>
            <w:tcW w:type="dxa" w:w="8064"/>
            <w:tcMar>
              <w:top w:type="dxa" w:w="70"/>
              <w:left w:type="dxa" w:w="110"/>
              <w:bottom w:type="dxa" w:w="70"/>
              <w:right w:type="dxa" w:w="110"/>
            </w:tcMar>
            <w:vAlign w:val="top"/>
          </w:tcPr>
          <w:p>
            <w:r>
              <w:rPr>
                <w:b w:val="false"/>
                <w:bCs w:val="false"/>
                <w:color w:val="1A1A1A"/>
                <w:sz w:val="13"/>
                <w:szCs w:val="13"/>
              </w:rPr>
              <w:t xml:space="preserve">WP-25 Definition of Done met — Enterprise Traceability Matrix at 100% coverage; Master Deliverables Register at Baseline/Published status; production cutover executed per PDIB Part 13.</w:t>
            </w:r>
          </w:p>
        </w:tc>
      </w:tr>
      <w:tr>
        <w:tc>
          <w:tcPr>
            <w:tcW w:type="dxa" w:w="2016"/>
            <w:tcMar>
              <w:top w:type="dxa" w:w="70"/>
              <w:left w:type="dxa" w:w="110"/>
              <w:bottom w:type="dxa" w:w="70"/>
              <w:right w:type="dxa" w:w="110"/>
            </w:tcMar>
            <w:vAlign w:val="top"/>
          </w:tcPr>
          <w:p>
            <w:r>
              <w:rPr>
                <w:b/>
                <w:bCs/>
                <w:color w:val="1A1A1A"/>
                <w:sz w:val="13"/>
                <w:szCs w:val="13"/>
              </w:rPr>
              <w:t xml:space="preserve">Risks</w:t>
            </w:r>
          </w:p>
        </w:tc>
        <w:tc>
          <w:tcPr>
            <w:tcW w:type="dxa" w:w="8064"/>
            <w:tcMar>
              <w:top w:type="dxa" w:w="70"/>
              <w:left w:type="dxa" w:w="110"/>
              <w:bottom w:type="dxa" w:w="70"/>
              <w:right w:type="dxa" w:w="110"/>
            </w:tcMar>
            <w:vAlign w:val="top"/>
          </w:tcPr>
          <w:p>
            <w:r>
              <w:rPr>
                <w:b w:val="false"/>
                <w:bCs w:val="false"/>
                <w:color w:val="1A1A1A"/>
                <w:sz w:val="13"/>
                <w:szCs w:val="13"/>
              </w:rPr>
              <w:t xml:space="preserve">R-DOC-CL-01 — documentation debt accumulated during rapid sprint execution could surface late.</w:t>
            </w:r>
          </w:p>
        </w:tc>
      </w:tr>
      <w:tr>
        <w:tc>
          <w:tcPr>
            <w:tcW w:type="dxa" w:w="2016"/>
            <w:tcMar>
              <w:top w:type="dxa" w:w="70"/>
              <w:left w:type="dxa" w:w="110"/>
              <w:bottom w:type="dxa" w:w="70"/>
              <w:right w:type="dxa" w:w="110"/>
            </w:tcMar>
            <w:vAlign w:val="top"/>
          </w:tcPr>
          <w:p>
            <w:r>
              <w:rPr>
                <w:b/>
                <w:bCs/>
                <w:color w:val="1A1A1A"/>
                <w:sz w:val="13"/>
                <w:szCs w:val="13"/>
              </w:rPr>
              <w:t xml:space="preserve">Milestone</w:t>
            </w:r>
          </w:p>
        </w:tc>
        <w:tc>
          <w:tcPr>
            <w:tcW w:type="dxa" w:w="8064"/>
            <w:tcMar>
              <w:top w:type="dxa" w:w="70"/>
              <w:left w:type="dxa" w:w="110"/>
              <w:bottom w:type="dxa" w:w="70"/>
              <w:right w:type="dxa" w:w="110"/>
            </w:tcMar>
            <w:vAlign w:val="top"/>
          </w:tcPr>
          <w:p>
            <w:r>
              <w:rPr>
                <w:b w:val="false"/>
                <w:bCs w:val="false"/>
                <w:color w:val="1A1A1A"/>
                <w:sz w:val="13"/>
                <w:szCs w:val="13"/>
              </w:rPr>
              <w:t xml:space="preserve">Appendix O, Section O.7 Deployment, Go-Live, and Project Closure milestones — programme delivery complete.</w:t>
            </w:r>
          </w:p>
        </w:tc>
      </w:tr>
    </w:tbl>
    <w:p>
      <w:pPr>
        <w:spacing w:after="160"/>
      </w:pPr>
    </w:p>
    <w:p>
      <w:pPr>
        <w:pStyle w:val="Heading1"/>
        <w:pBdr>
          <w:bottom w:val="single" w:color="DAD3C0" w:sz="4" w:space="4"/>
        </w:pBdr>
        <w:spacing w:after="140" w:before="360"/>
      </w:pPr>
      <w:r>
        <w:rPr>
          <w:b/>
          <w:bCs/>
          <w:color w:val="97771F"/>
          <w:sz w:val="26"/>
          <w:szCs w:val="26"/>
        </w:rPr>
        <w:t xml:space="preserve">9.3  </w:t>
      </w:r>
      <w:r>
        <w:rPr>
          <w:b/>
          <w:bCs/>
          <w:color w:val="33363C"/>
          <w:sz w:val="26"/>
          <w:szCs w:val="26"/>
        </w:rPr>
        <w:t xml:space="preserve">Programme Milestone Summary</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Map the sprint roadmap's internal milestones to the programme-level Delivery Milestones defined in Appendix O, Section O.7.</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Steering Committee a direct line of sight from sprint execution to contractual milestone reporting.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Requirements and Architecture milestones (Appendix O) were completed by the prior document families (SRS, EA Blueprints); this roadmap covers Development, Testing, Deployment, Go-Live, and Project Closure.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Appendix O Delivery Milestone traceable to the specific sprint(s) that complete it.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613"/>
        <w:gridCol w:w="6048"/>
      </w:tblGrid>
      <w:tr>
        <w:trPr>
          <w:tblHeader/>
        </w:trPr>
        <w:tc>
          <w:tcPr>
            <w:tcW w:type="dxa" w:w="2419"/>
            <w:shd w:fill="33363C" w:val="clear"/>
            <w:tcMar>
              <w:top w:type="dxa" w:w="70"/>
              <w:left w:type="dxa" w:w="110"/>
              <w:bottom w:type="dxa" w:w="70"/>
              <w:right w:type="dxa" w:w="110"/>
            </w:tcMar>
            <w:vAlign w:val="top"/>
          </w:tcPr>
          <w:p>
            <w:r>
              <w:rPr>
                <w:b/>
                <w:bCs/>
                <w:color w:val="FFFFFF"/>
                <w:sz w:val="17"/>
                <w:szCs w:val="17"/>
              </w:rPr>
              <w:t xml:space="preserve">Appendix O Milestone</w:t>
            </w:r>
          </w:p>
        </w:tc>
        <w:tc>
          <w:tcPr>
            <w:tcW w:type="dxa" w:w="1613"/>
            <w:shd w:fill="33363C" w:val="clear"/>
            <w:tcMar>
              <w:top w:type="dxa" w:w="70"/>
              <w:left w:type="dxa" w:w="110"/>
              <w:bottom w:type="dxa" w:w="70"/>
              <w:right w:type="dxa" w:w="110"/>
            </w:tcMar>
            <w:vAlign w:val="top"/>
          </w:tcPr>
          <w:p>
            <w:r>
              <w:rPr>
                <w:b/>
                <w:bCs/>
                <w:color w:val="FFFFFF"/>
                <w:sz w:val="17"/>
                <w:szCs w:val="17"/>
              </w:rPr>
              <w:t xml:space="preserve">Sprint(s)</w:t>
            </w:r>
          </w:p>
        </w:tc>
        <w:tc>
          <w:tcPr>
            <w:tcW w:type="dxa" w:w="6048"/>
            <w:shd w:fill="33363C" w:val="clear"/>
            <w:tcMar>
              <w:top w:type="dxa" w:w="70"/>
              <w:left w:type="dxa" w:w="110"/>
              <w:bottom w:type="dxa" w:w="70"/>
              <w:right w:type="dxa" w:w="110"/>
            </w:tcMar>
            <w:vAlign w:val="top"/>
          </w:tcPr>
          <w:p>
            <w:r>
              <w:rPr>
                <w:b/>
                <w:bCs/>
                <w:color w:val="FFFFFF"/>
                <w:sz w:val="17"/>
                <w:szCs w:val="17"/>
              </w:rPr>
              <w:t xml:space="preserve">Completing Work Package(s)</w:t>
            </w:r>
          </w:p>
        </w:tc>
      </w:tr>
      <w:tr>
        <w:tc>
          <w:tcPr>
            <w:tcW w:type="dxa" w:w="2419"/>
            <w:tcMar>
              <w:top w:type="dxa" w:w="70"/>
              <w:left w:type="dxa" w:w="110"/>
              <w:bottom w:type="dxa" w:w="70"/>
              <w:right w:type="dxa" w:w="110"/>
            </w:tcMar>
            <w:vAlign w:val="top"/>
          </w:tcPr>
          <w:p>
            <w:r>
              <w:rPr>
                <w:b/>
                <w:bCs/>
                <w:color w:val="1A1A1A"/>
                <w:sz w:val="13"/>
                <w:szCs w:val="13"/>
              </w:rPr>
              <w:t xml:space="preserve">Development</w:t>
            </w:r>
          </w:p>
        </w:tc>
        <w:tc>
          <w:tcPr>
            <w:tcW w:type="dxa" w:w="1613"/>
            <w:tcMar>
              <w:top w:type="dxa" w:w="70"/>
              <w:left w:type="dxa" w:w="110"/>
              <w:bottom w:type="dxa" w:w="70"/>
              <w:right w:type="dxa" w:w="110"/>
            </w:tcMar>
            <w:vAlign w:val="top"/>
          </w:tcPr>
          <w:p>
            <w:r>
              <w:rPr>
                <w:b w:val="false"/>
                <w:bCs w:val="false"/>
                <w:color w:val="1A1A1A"/>
                <w:sz w:val="13"/>
                <w:szCs w:val="13"/>
              </w:rPr>
              <w:t xml:space="preserve">Sprint 1–17</w:t>
            </w:r>
          </w:p>
        </w:tc>
        <w:tc>
          <w:tcPr>
            <w:tcW w:type="dxa" w:w="6048"/>
            <w:tcMar>
              <w:top w:type="dxa" w:w="70"/>
              <w:left w:type="dxa" w:w="110"/>
              <w:bottom w:type="dxa" w:w="70"/>
              <w:right w:type="dxa" w:w="110"/>
            </w:tcMar>
            <w:vAlign w:val="top"/>
          </w:tcPr>
          <w:p>
            <w:r>
              <w:rPr>
                <w:b w:val="false"/>
                <w:bCs w:val="false"/>
                <w:color w:val="1A1A1A"/>
                <w:sz w:val="13"/>
                <w:szCs w:val="13"/>
              </w:rPr>
              <w:t xml:space="preserve">WP-01 through WP-23</w:t>
            </w:r>
          </w:p>
        </w:tc>
      </w:tr>
      <w:tr>
        <w:tc>
          <w:tcPr>
            <w:tcW w:type="dxa" w:w="2419"/>
            <w:tcMar>
              <w:top w:type="dxa" w:w="70"/>
              <w:left w:type="dxa" w:w="110"/>
              <w:bottom w:type="dxa" w:w="70"/>
              <w:right w:type="dxa" w:w="110"/>
            </w:tcMar>
            <w:vAlign w:val="top"/>
          </w:tcPr>
          <w:p>
            <w:r>
              <w:rPr>
                <w:b/>
                <w:bCs/>
                <w:color w:val="1A1A1A"/>
                <w:sz w:val="13"/>
                <w:szCs w:val="13"/>
              </w:rPr>
              <w:t xml:space="preserve">Testing</w:t>
            </w:r>
          </w:p>
        </w:tc>
        <w:tc>
          <w:tcPr>
            <w:tcW w:type="dxa" w:w="1613"/>
            <w:tcMar>
              <w:top w:type="dxa" w:w="70"/>
              <w:left w:type="dxa" w:w="110"/>
              <w:bottom w:type="dxa" w:w="70"/>
              <w:right w:type="dxa" w:w="110"/>
            </w:tcMar>
            <w:vAlign w:val="top"/>
          </w:tcPr>
          <w:p>
            <w:r>
              <w:rPr>
                <w:b w:val="false"/>
                <w:bCs w:val="false"/>
                <w:color w:val="1A1A1A"/>
                <w:sz w:val="13"/>
                <w:szCs w:val="13"/>
              </w:rPr>
              <w:t xml:space="preserve">Sprint 18</w:t>
            </w:r>
          </w:p>
        </w:tc>
        <w:tc>
          <w:tcPr>
            <w:tcW w:type="dxa" w:w="6048"/>
            <w:tcMar>
              <w:top w:type="dxa" w:w="70"/>
              <w:left w:type="dxa" w:w="110"/>
              <w:bottom w:type="dxa" w:w="70"/>
              <w:right w:type="dxa" w:w="110"/>
            </w:tcMar>
            <w:vAlign w:val="top"/>
          </w:tcPr>
          <w:p>
            <w:r>
              <w:rPr>
                <w:b w:val="false"/>
                <w:bCs w:val="false"/>
                <w:color w:val="1A1A1A"/>
                <w:sz w:val="13"/>
                <w:szCs w:val="13"/>
              </w:rPr>
              <w:t xml:space="preserve">WP-24</w:t>
            </w:r>
          </w:p>
        </w:tc>
      </w:tr>
      <w:tr>
        <w:tc>
          <w:tcPr>
            <w:tcW w:type="dxa" w:w="2419"/>
            <w:tcMar>
              <w:top w:type="dxa" w:w="70"/>
              <w:left w:type="dxa" w:w="110"/>
              <w:bottom w:type="dxa" w:w="70"/>
              <w:right w:type="dxa" w:w="110"/>
            </w:tcMar>
            <w:vAlign w:val="top"/>
          </w:tcPr>
          <w:p>
            <w:r>
              <w:rPr>
                <w:b/>
                <w:bCs/>
                <w:color w:val="1A1A1A"/>
                <w:sz w:val="13"/>
                <w:szCs w:val="13"/>
              </w:rPr>
              <w:t xml:space="preserve">Deployment</w:t>
            </w:r>
          </w:p>
        </w:tc>
        <w:tc>
          <w:tcPr>
            <w:tcW w:type="dxa" w:w="1613"/>
            <w:tcMar>
              <w:top w:type="dxa" w:w="70"/>
              <w:left w:type="dxa" w:w="110"/>
              <w:bottom w:type="dxa" w:w="70"/>
              <w:right w:type="dxa" w:w="110"/>
            </w:tcMar>
            <w:vAlign w:val="top"/>
          </w:tcPr>
          <w:p>
            <w:r>
              <w:rPr>
                <w:b w:val="false"/>
                <w:bCs w:val="false"/>
                <w:color w:val="1A1A1A"/>
                <w:sz w:val="13"/>
                <w:szCs w:val="13"/>
              </w:rPr>
              <w:t xml:space="preserve">Sprint 19</w:t>
            </w:r>
          </w:p>
        </w:tc>
        <w:tc>
          <w:tcPr>
            <w:tcW w:type="dxa" w:w="6048"/>
            <w:tcMar>
              <w:top w:type="dxa" w:w="70"/>
              <w:left w:type="dxa" w:w="110"/>
              <w:bottom w:type="dxa" w:w="70"/>
              <w:right w:type="dxa" w:w="110"/>
            </w:tcMar>
            <w:vAlign w:val="top"/>
          </w:tcPr>
          <w:p>
            <w:r>
              <w:rPr>
                <w:b w:val="false"/>
                <w:bCs w:val="false"/>
                <w:color w:val="1A1A1A"/>
                <w:sz w:val="13"/>
                <w:szCs w:val="13"/>
              </w:rPr>
              <w:t xml:space="preserve">WP-25 (production deployment package)</w:t>
            </w:r>
          </w:p>
        </w:tc>
      </w:tr>
      <w:tr>
        <w:tc>
          <w:tcPr>
            <w:tcW w:type="dxa" w:w="2419"/>
            <w:tcMar>
              <w:top w:type="dxa" w:w="70"/>
              <w:left w:type="dxa" w:w="110"/>
              <w:bottom w:type="dxa" w:w="70"/>
              <w:right w:type="dxa" w:w="110"/>
            </w:tcMar>
            <w:vAlign w:val="top"/>
          </w:tcPr>
          <w:p>
            <w:r>
              <w:rPr>
                <w:b/>
                <w:bCs/>
                <w:color w:val="1A1A1A"/>
                <w:sz w:val="13"/>
                <w:szCs w:val="13"/>
              </w:rPr>
              <w:t xml:space="preserve">Go-Live</w:t>
            </w:r>
          </w:p>
        </w:tc>
        <w:tc>
          <w:tcPr>
            <w:tcW w:type="dxa" w:w="1613"/>
            <w:tcMar>
              <w:top w:type="dxa" w:w="70"/>
              <w:left w:type="dxa" w:w="110"/>
              <w:bottom w:type="dxa" w:w="70"/>
              <w:right w:type="dxa" w:w="110"/>
            </w:tcMar>
            <w:vAlign w:val="top"/>
          </w:tcPr>
          <w:p>
            <w:r>
              <w:rPr>
                <w:b w:val="false"/>
                <w:bCs w:val="false"/>
                <w:color w:val="1A1A1A"/>
                <w:sz w:val="13"/>
                <w:szCs w:val="13"/>
              </w:rPr>
              <w:t xml:space="preserve">Sprint 19</w:t>
            </w:r>
          </w:p>
        </w:tc>
        <w:tc>
          <w:tcPr>
            <w:tcW w:type="dxa" w:w="6048"/>
            <w:tcMar>
              <w:top w:type="dxa" w:w="70"/>
              <w:left w:type="dxa" w:w="110"/>
              <w:bottom w:type="dxa" w:w="70"/>
              <w:right w:type="dxa" w:w="110"/>
            </w:tcMar>
            <w:vAlign w:val="top"/>
          </w:tcPr>
          <w:p>
            <w:r>
              <w:rPr>
                <w:b w:val="false"/>
                <w:bCs w:val="false"/>
                <w:color w:val="1A1A1A"/>
                <w:sz w:val="13"/>
                <w:szCs w:val="13"/>
              </w:rPr>
              <w:t xml:space="preserve">WP-25 (production cutover)</w:t>
            </w:r>
          </w:p>
        </w:tc>
      </w:tr>
      <w:tr>
        <w:tc>
          <w:tcPr>
            <w:tcW w:type="dxa" w:w="2419"/>
            <w:tcMar>
              <w:top w:type="dxa" w:w="70"/>
              <w:left w:type="dxa" w:w="110"/>
              <w:bottom w:type="dxa" w:w="70"/>
              <w:right w:type="dxa" w:w="110"/>
            </w:tcMar>
            <w:vAlign w:val="top"/>
          </w:tcPr>
          <w:p>
            <w:r>
              <w:rPr>
                <w:b/>
                <w:bCs/>
                <w:color w:val="1A1A1A"/>
                <w:sz w:val="13"/>
                <w:szCs w:val="13"/>
              </w:rPr>
              <w:t xml:space="preserve">Project Closure</w:t>
            </w:r>
          </w:p>
        </w:tc>
        <w:tc>
          <w:tcPr>
            <w:tcW w:type="dxa" w:w="1613"/>
            <w:tcMar>
              <w:top w:type="dxa" w:w="70"/>
              <w:left w:type="dxa" w:w="110"/>
              <w:bottom w:type="dxa" w:w="70"/>
              <w:right w:type="dxa" w:w="110"/>
            </w:tcMar>
            <w:vAlign w:val="top"/>
          </w:tcPr>
          <w:p>
            <w:r>
              <w:rPr>
                <w:b w:val="false"/>
                <w:bCs w:val="false"/>
                <w:color w:val="1A1A1A"/>
                <w:sz w:val="13"/>
                <w:szCs w:val="13"/>
              </w:rPr>
              <w:t xml:space="preserve">Sprint 19</w:t>
            </w:r>
          </w:p>
        </w:tc>
        <w:tc>
          <w:tcPr>
            <w:tcW w:type="dxa" w:w="6048"/>
            <w:tcMar>
              <w:top w:type="dxa" w:w="70"/>
              <w:left w:type="dxa" w:w="110"/>
              <w:bottom w:type="dxa" w:w="70"/>
              <w:right w:type="dxa" w:w="110"/>
            </w:tcMar>
            <w:vAlign w:val="top"/>
          </w:tcPr>
          <w:p>
            <w:r>
              <w:rPr>
                <w:b w:val="false"/>
                <w:bCs w:val="false"/>
                <w:color w:val="1A1A1A"/>
                <w:sz w:val="13"/>
                <w:szCs w:val="13"/>
              </w:rPr>
              <w:t xml:space="preserve">WP-25 (Deliverables Register at Baseline/Published; final project report per Appendix O, Section O.3)</w:t>
            </w:r>
          </w:p>
        </w:tc>
      </w:tr>
    </w:tbl>
    <w:p>
      <w:pPr>
        <w:pStyle w:val="Heading1"/>
        <w:pBdr>
          <w:bottom w:val="single" w:color="DAD3C0" w:sz="4" w:space="4"/>
        </w:pBdr>
        <w:spacing w:after="140" w:before="360"/>
      </w:pPr>
      <w:r>
        <w:rPr>
          <w:b/>
          <w:bCs/>
          <w:color w:val="97771F"/>
          <w:sz w:val="26"/>
          <w:szCs w:val="26"/>
        </w:rPr>
        <w:t xml:space="preserve">9.4  </w:t>
      </w:r>
      <w:r>
        <w:rPr>
          <w:b/>
          <w:bCs/>
          <w:color w:val="33363C"/>
          <w:sz w:val="26"/>
          <w:szCs w:val="26"/>
        </w:rPr>
        <w:t xml:space="preserve">Summary and Bridge to Part 10</w:t>
      </w:r>
    </w:p>
    <w:p>
      <w:pPr>
        <w:spacing w:after="150" w:line="276"/>
        <w:jc w:val="both"/>
      </w:pPr>
      <w:r>
        <w:t xml:space="preserve">This Part sequenced all twenty-five Engineering Work Packages into a twenty-sprint roadmap — Sprint 0 through Sprint 19 — grouped into five releases from Foundation through General Availability, and mapped the roadmap's internal milestones to the programme-level Delivery Milestones defined in Appendix O.</w:t>
      </w:r>
    </w:p>
    <w:p>
      <w:pPr>
        <w:spacing w:after="150" w:line="276"/>
        <w:jc w:val="both"/>
      </w:pPr>
      <w:r>
        <w:t xml:space="preserve">Part 10 closes the MEKB with the Master Product Backlog (epics, features, user stories, story points, and priorities, traceable back to the requirements catalogued in Part 1), the Work Package Dependency Matrix with its critical path, and the Master Prompt Library — the reusable prompt template Antigravity uses to execute any Work Package to Definition of Done.</w:t>
      </w:r>
    </w:p>
    <w:p>
      <w:pPr>
        <w:pStyle w:val="Heading2"/>
        <w:spacing w:after="110" w:before="260"/>
      </w:pPr>
      <w:r>
        <w:rPr>
          <w:b/>
          <w:bCs/>
          <w:color w:val="97771F"/>
          <w:sz w:val="21"/>
          <w:szCs w:val="21"/>
        </w:rPr>
        <w:t xml:space="preserve">9.4.1  </w:t>
      </w:r>
      <w:r>
        <w:rPr>
          <w:b/>
          <w:bCs/>
          <w:color w:val="33363C"/>
          <w:sz w:val="21"/>
          <w:szCs w:val="21"/>
        </w:rPr>
        <w:t xml:space="preserve">Key Takeaways</w:t>
      </w:r>
    </w:p>
    <w:p>
      <w:pPr>
        <w:pStyle w:val="ListParagraph"/>
        <w:numPr>
          <w:ilvl w:val="0"/>
          <w:numId w:val="1"/>
        </w:numPr>
        <w:spacing w:after="90" w:line="264"/>
      </w:pPr>
      <w:r>
        <w:t xml:space="preserve">The roadmap spans twenty sprints across five releases, from Foundation (WP-01–05) to General Availability (WP-23–25).</w:t>
      </w:r>
    </w:p>
    <w:p>
      <w:pPr>
        <w:pStyle w:val="ListParagraph"/>
        <w:numPr>
          <w:ilvl w:val="0"/>
          <w:numId w:val="1"/>
        </w:numPr>
        <w:spacing w:after="90" w:line="264"/>
      </w:pPr>
      <w:r>
        <w:t xml:space="preserve">Every sprint's Work Package assignment and sequencing is derived directly from dependencies already fixed in Parts 5 through 8 — no new sequencing decisions are introduced here.</w:t>
      </w:r>
    </w:p>
    <w:p>
      <w:pPr>
        <w:pStyle w:val="ListParagraph"/>
        <w:numPr>
          <w:ilvl w:val="0"/>
          <w:numId w:val="1"/>
        </w:numPr>
        <w:spacing w:after="90" w:line="264"/>
      </w:pPr>
      <w:r>
        <w:t xml:space="preserve">Four internal milestones — Foundation Wave Complete, Core Delivery Chain Complete, Knowledge &amp; Discovery Layer Complete, and All Phase 1 Functional Modules Complete — mark the points at which the platform's demonstrable capability materially expands.</w:t>
      </w:r>
    </w:p>
    <w:p>
      <w:pPr>
        <w:pStyle w:val="ListParagraph"/>
        <w:numPr>
          <w:ilvl w:val="0"/>
          <w:numId w:val="1"/>
        </w:numPr>
        <w:spacing w:after="90" w:line="264"/>
      </w:pPr>
      <w:r>
        <w:t xml:space="preserve">All five Appendix O Delivery Milestones from Development onward are now traceable to specific sprints.</w:t>
      </w:r>
    </w:p>
    <w:p>
      <w:pPr>
        <w:pStyle w:val="Heading2"/>
        <w:spacing w:after="110" w:before="260"/>
      </w:pPr>
      <w:r>
        <w:rPr>
          <w:b/>
          <w:bCs/>
          <w:color w:val="97771F"/>
          <w:sz w:val="21"/>
          <w:szCs w:val="21"/>
        </w:rPr>
        <w:t xml:space="preserve">9.4.2  </w:t>
      </w:r>
      <w:r>
        <w:rPr>
          <w:b/>
          <w:bCs/>
          <w:color w:val="33363C"/>
          <w:sz w:val="21"/>
          <w:szCs w:val="21"/>
        </w:rPr>
        <w:t xml:space="preserve">Related Parts</w:t>
      </w:r>
    </w:p>
    <w:p>
      <w:pPr>
        <w:pStyle w:val="ListParagraph"/>
        <w:numPr>
          <w:ilvl w:val="0"/>
          <w:numId w:val="1"/>
        </w:numPr>
        <w:spacing w:after="90" w:line="264"/>
      </w:pPr>
      <w:r>
        <w:t xml:space="preserve">MEKB Part 5–8 — Engineering Work Packages 01–25</w:t>
      </w:r>
    </w:p>
    <w:p>
      <w:pPr>
        <w:pStyle w:val="ListParagraph"/>
        <w:numPr>
          <w:ilvl w:val="0"/>
          <w:numId w:val="1"/>
        </w:numPr>
        <w:spacing w:after="90" w:line="264"/>
      </w:pPr>
      <w:r>
        <w:t xml:space="preserve">MEKB Part 10 — Master Product Backlog, Work Package Dependency Matrix, and Master Prompt Library</w:t>
      </w:r>
    </w:p>
    <w:p>
      <w:pPr>
        <w:pStyle w:val="ListParagraph"/>
        <w:numPr>
          <w:ilvl w:val="0"/>
          <w:numId w:val="1"/>
        </w:numPr>
        <w:spacing w:after="90" w:line="264"/>
      </w:pPr>
      <w:r>
        <w:t xml:space="preserve">PDIB Part 6 — Agile Delivery Framework</w:t>
      </w:r>
    </w:p>
    <w:p>
      <w:pPr>
        <w:pStyle w:val="ListParagraph"/>
        <w:numPr>
          <w:ilvl w:val="0"/>
          <w:numId w:val="1"/>
        </w:numPr>
        <w:spacing w:after="90" w:line="264"/>
      </w:pPr>
      <w:r>
        <w:t xml:space="preserve">PDIB Part 17 — Implementation Schedule</w:t>
      </w:r>
    </w:p>
    <w:p>
      <w:pPr>
        <w:pStyle w:val="ListParagraph"/>
        <w:numPr>
          <w:ilvl w:val="0"/>
          <w:numId w:val="1"/>
        </w:numPr>
        <w:spacing w:after="90" w:line="264"/>
      </w:pPr>
      <w:r>
        <w:t xml:space="preserve">Appendix O — Enterprise Deliverables Register &amp; Document Control Catalogue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2026-07-20T13:06:40.848Z</dcterms:created>
  <dcterms:modified xsi:type="dcterms:W3CDTF">2026-07-20T13:06:40.848Z</dcterms:modified>
</cp:coreProperties>
</file>

<file path=docProps/custom.xml><?xml version="1.0" encoding="utf-8"?>
<Properties xmlns="http://schemas.openxmlformats.org/officeDocument/2006/custom-properties" xmlns:vt="http://schemas.openxmlformats.org/officeDocument/2006/docPropsVTypes"/>
</file>