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b/>
          <w:bCs/>
          <w:caps/>
          <w:color w:val="97771F"/>
          <w:sz w:val="22"/>
          <w:szCs w:val="22"/>
        </w:rPr>
        <w:t xml:space="preserve">SAPZ MASTER ENGINEERING KNOWLEDGE BASE</w:t>
      </w:r>
    </w:p>
    <w:p>
      <w:pPr>
        <w:spacing w:after="260"/>
        <w:jc w:val="center"/>
      </w:pPr>
      <w:r>
        <w:rPr>
          <w:b/>
          <w:bCs/>
          <w:color w:val="1C1E21"/>
          <w:sz w:val="28"/>
          <w:szCs w:val="28"/>
        </w:rPr>
        <w:t xml:space="preserve">Part 11</w:t>
      </w:r>
    </w:p>
    <w:p>
      <w:pPr>
        <w:pBdr>
          <w:bottom w:val="single" w:color="33363C" w:sz="14" w:space="10"/>
        </w:pBdr>
        <w:spacing w:after="160"/>
        <w:jc w:val="center"/>
      </w:pPr>
      <w:r>
        <w:rPr>
          <w:b/>
          <w:bCs/>
          <w:color w:val="1C1E21"/>
          <w:sz w:val="40"/>
          <w:szCs w:val="40"/>
        </w:rPr>
        <w:t xml:space="preserve">Work Package Dependency Matrix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Master Engineering Knowledge Base (MEKB) — Bridging Documentation and Implementation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97771F"/>
          <w:sz w:val="22"/>
          <w:szCs w:val="22"/>
        </w:rPr>
        <w:t xml:space="preserve">PART 11</w:t>
      </w:r>
    </w:p>
    <w:p>
      <w:pPr>
        <w:pBdr>
          <w:bottom w:val="single" w:color="33363C" w:sz="12" w:space="8"/>
        </w:pBdr>
        <w:spacing w:after="200"/>
        <w:jc w:val="left"/>
      </w:pPr>
      <w:r>
        <w:rPr>
          <w:b/>
          <w:bCs/>
          <w:color w:val="1C1E21"/>
          <w:sz w:val="44"/>
          <w:szCs w:val="44"/>
        </w:rPr>
        <w:t xml:space="preserve">Work Package Dependency Matrix</w:t>
      </w:r>
    </w:p>
    <w:p>
      <w:pPr>
        <w:spacing w:after="90" w:before="180"/>
      </w:pPr>
      <w:r>
        <w:rPr>
          <w:b/>
          <w:bCs/>
          <w:color w:val="1C1E21"/>
          <w:sz w:val="19"/>
          <w:szCs w:val="19"/>
        </w:rPr>
        <w:t xml:space="preserve">Part Overview</w:t>
      </w:r>
    </w:p>
    <w:p>
      <w:pPr>
        <w:spacing w:after="150" w:line="276"/>
        <w:jc w:val="both"/>
      </w:pPr>
      <w:r>
        <w:t xml:space="preserve">This Part shows, for every one of the twenty-five Engineering Work Packages, what it depends on, what it enables, and the risk to the programme if it is delayed — and identifies the programme's critical path. No new dependency is introduced here: every relationship below is derived directly from the Dependencies field already fixed in each Work Package's specification (MEKB Parts 5–8).</w:t>
      </w: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11.1  </w:t>
      </w:r>
      <w:r>
        <w:rPr>
          <w:b/>
          <w:bCs/>
          <w:color w:val="33363C"/>
          <w:sz w:val="26"/>
          <w:szCs w:val="26"/>
        </w:rPr>
        <w:t xml:space="preserve">Purpose and How to Use This Matrix</w:t>
      </w:r>
    </w:p>
    <w:tbl>
      <w:tblPr>
        <w:tblW w:type="dxa" w:w="10080"/>
        <w:tblBorders>
          <w:top w:val="single" w:color="DAD3C0" w:sz="4"/>
          <w:left w:val="single" w:color="DAD3C0" w:sz="4"/>
          <w:bottom w:val="single" w:color="DAD3C0" w:sz="4"/>
          <w:right w:val="single" w:color="DAD3C0" w:sz="4"/>
          <w:insideH w:val="single" w:color="DAD3C0" w:sz="2"/>
          <w:insideV w:val="single" w:color="DAD3C0" w:sz="2"/>
        </w:tblBorders>
      </w:tblPr>
      <w:tblGrid>
        <w:gridCol w:w="2621"/>
        <w:gridCol w:w="7459"/>
      </w:tblGrid>
      <w:tr>
        <w:tc>
          <w:tcPr>
            <w:tcW w:type="dxa" w:w="2621"/>
            <w:shd w:fill="F3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33363C"/>
                <w:sz w:val="17"/>
                <w:szCs w:val="17"/>
              </w:rPr>
              <w:t xml:space="preserve">Purpose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Provide a single, complete forward and backward dependency view across all twenty-five Work Packages.</w:t>
            </w:r>
          </w:p>
        </w:tc>
      </w:tr>
      <w:tr>
        <w:tc>
          <w:tcPr>
            <w:tcW w:type="dxa" w:w="2621"/>
            <w:shd w:fill="F3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33363C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The primary reference for schedule risk management — answers 'what happens if this Work Package slips' for any Work Package in the programme.</w:t>
            </w:r>
          </w:p>
        </w:tc>
      </w:tr>
      <w:tr>
        <w:tc>
          <w:tcPr>
            <w:tcW w:type="dxa" w:w="2621"/>
            <w:shd w:fill="F3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33363C"/>
                <w:sz w:val="17"/>
                <w:szCs w:val="17"/>
              </w:rPr>
              <w:t xml:space="preserve">Engineering Perspective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Depends On is the forward view (what must finish first); Enables is the backward view (what is waiting on this Work Package).</w:t>
            </w:r>
          </w:p>
        </w:tc>
      </w:tr>
      <w:tr>
        <w:tc>
          <w:tcPr>
            <w:tcW w:type="dxa" w:w="2621"/>
            <w:shd w:fill="F3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33363C"/>
                <w:sz w:val="17"/>
                <w:szCs w:val="17"/>
              </w:rPr>
              <w:t xml:space="preserve">Expected Outcome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A Programme Manager can identify schedule risk from this matrix alone, without cross-referencing all twenty-five Work Package specifications.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11.2  </w:t>
      </w:r>
      <w:r>
        <w:rPr>
          <w:b/>
          <w:bCs/>
          <w:color w:val="33363C"/>
          <w:sz w:val="26"/>
          <w:szCs w:val="26"/>
        </w:rPr>
        <w:t xml:space="preserve">Work Package Dependency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"/>
        <w:gridCol w:w="2016"/>
        <w:gridCol w:w="2822"/>
        <w:gridCol w:w="4536"/>
      </w:tblGrid>
      <w:tr>
        <w:trPr>
          <w:tblHeader/>
        </w:trPr>
        <w:tc>
          <w:tcPr>
            <w:tcW w:type="dxa" w:w="70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WP</w:t>
            </w:r>
          </w:p>
        </w:tc>
        <w:tc>
          <w:tcPr>
            <w:tcW w:type="dxa" w:w="201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282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Enables</w:t>
            </w:r>
          </w:p>
        </w:tc>
        <w:tc>
          <w:tcPr>
            <w:tcW w:type="dxa" w:w="4536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if Delayed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WP-01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WP-02, WP-04, WP-05 (and transitively all Work Packages through WP-23)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the start of nearly the entire programme; all module Work Packages blocked.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WP-02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WP-04 onward (every module's API layer)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all module-level API development; DevSecOps pipeline testing constrained.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WP-03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(parallel to WP-01/02)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WP-04 onward (deployment path for every module); WP-14 (CDN)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module can be deployed or tested in staging/production; delays Sprint 3 onward.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WP-04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WP-01, WP-02, WP-03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WP-05, WP-10, WP-19; all authenticated module testing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Security (WP-05) and the Workflow Engine (WP-10); delays Sprint 4 onward.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WP-05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WP-01–04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WP-06 onward (every module's access control); WP-12, WP-14, WP-15, WP-23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 module can enforce least-privilege access; blocks nearly the entire remaining programme.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WP-06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WP-01–05 (WP-07 mocked)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downstream — a leaf, consumer-only Work Package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Executive visibility delayed; no cascading schedule impact on other Work Packages.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WP-07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WP-01–05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WP-06 (data), WP-08, WP-16, WP-22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Projects (WP-08) and the entire Core Delivery Chain; high schedule impact.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WP-08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WP-07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WP-09, WP-16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Tasks (WP-09) and the Workflow Engine chain.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WP-09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WP-08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WP-10, WP-18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the Workflow Engine (WP-10), the single highest fan-out Work Package in the programme.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WP-10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WP-04, WP-09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WP-11, WP-18, WP-20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Approvals, Notifications, and Support — the programme's process-orchestration backbone.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WP-11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WP-10, WP-04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WP-12, WP-18, WP-22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Documents' release gating and the Public Portal's publish workflow.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WP-12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WP-05, WP-11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WP-13, WP-15, WP-19, WP-22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Knowledge Repository and Search — the entire content and discovery chain.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WP-13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WP-15, WP-21, WP-23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Search and the AI Assistant, the programme's Phase 2 differentiator.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WP-14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WP-03, WP-05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downstream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Media content delayed; no cascading schedule impact.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WP-15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WP-12, WP-13, WP-05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WP-23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the AI Assistant (WP-23), the final capability before release certification.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WP-16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WP-07, WP-08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WP-17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Analytics (WP-17); moderate schedule impact.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WP-17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WP-16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downstream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Executive trend insight delayed; no cascading schedule impact.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WP-18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WP-09, WP-10, WP-11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WP-20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Support's SLA escalation notifications.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WP-19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WP-04, WP-12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downstream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Training rollout delayed; no cascading schedule impact.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WP-20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WP-18, WP-10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WP-21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Help Desk's ticket-deflection measurement.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WP-21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WP-13, WP-20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downstream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Self-service deflection delayed; Support ticket volume may run higher than planned.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WP-22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WP-07, WP-11, WP-12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downstream (gates the Sprint 16 milestone)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Delays the 'All Phase 1 Functional Modules Complete' milestone and, transitively, WP-23 through WP-25.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WP-23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WP-13, WP-15, WP-05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WP-24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Blocks WP-24 per its fixed Definition of Ready, delaying go-live directly.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WP-24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WP-01–23 (all)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WP-25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Directly delays go-live; the most schedule-critical Work Package after the Foundation wave.</w:t>
            </w:r>
          </w:p>
        </w:tc>
      </w:tr>
      <w:tr>
        <w:tc>
          <w:tcPr>
            <w:tcW w:type="dxa" w:w="70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1"/>
                <w:szCs w:val="11"/>
              </w:rPr>
              <w:t xml:space="preserve">WP-25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WP-01–24 (all)</w:t>
            </w:r>
          </w:p>
        </w:tc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None — final Work Package</w:t>
            </w:r>
          </w:p>
        </w:tc>
        <w:tc>
          <w:tcPr>
            <w:tcW w:type="dxa" w:w="453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1"/>
                <w:szCs w:val="11"/>
              </w:rPr>
              <w:t xml:space="preserve">Directly delays Project Closure and final donor/government acceptance.</w:t>
            </w:r>
          </w:p>
        </w:tc>
      </w:tr>
    </w:tbl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11.3  </w:t>
      </w:r>
      <w:r>
        <w:rPr>
          <w:b/>
          <w:bCs/>
          <w:color w:val="33363C"/>
          <w:sz w:val="26"/>
          <w:szCs w:val="26"/>
        </w:rPr>
        <w:t xml:space="preserve">Critical Path</w:t>
      </w:r>
    </w:p>
    <w:tbl>
      <w:tblPr>
        <w:tblW w:type="dxa" w:w="10080"/>
        <w:tblBorders>
          <w:top w:val="single" w:color="DAD3C0" w:sz="4"/>
          <w:left w:val="single" w:color="DAD3C0" w:sz="4"/>
          <w:bottom w:val="single" w:color="DAD3C0" w:sz="4"/>
          <w:right w:val="single" w:color="DAD3C0" w:sz="4"/>
          <w:insideH w:val="single" w:color="DAD3C0" w:sz="2"/>
          <w:insideV w:val="single" w:color="DAD3C0" w:sz="2"/>
        </w:tblBorders>
      </w:tblPr>
      <w:tblGrid>
        <w:gridCol w:w="2621"/>
        <w:gridCol w:w="7459"/>
      </w:tblGrid>
      <w:tr>
        <w:tc>
          <w:tcPr>
            <w:tcW w:type="dxa" w:w="2621"/>
            <w:shd w:fill="F3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33363C"/>
                <w:sz w:val="17"/>
                <w:szCs w:val="17"/>
              </w:rPr>
              <w:t xml:space="preserve">Purpose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Identify the longest chain of dependent Work Packages that determines the minimum possible programme duration.</w:t>
            </w:r>
          </w:p>
        </w:tc>
      </w:tr>
      <w:tr>
        <w:tc>
          <w:tcPr>
            <w:tcW w:type="dxa" w:w="2621"/>
            <w:shd w:fill="F3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33363C"/>
                <w:sz w:val="17"/>
                <w:szCs w:val="17"/>
              </w:rPr>
              <w:t xml:space="preserve">Business Value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Tells the Programme Manager exactly which Work Packages must never slip without the entire go-live date moving.</w:t>
            </w:r>
          </w:p>
        </w:tc>
      </w:tr>
      <w:tr>
        <w:tc>
          <w:tcPr>
            <w:tcW w:type="dxa" w:w="2621"/>
            <w:shd w:fill="F3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33363C"/>
                <w:sz w:val="17"/>
                <w:szCs w:val="17"/>
              </w:rPr>
              <w:t xml:space="preserve">Engineering Perspective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Derived by tracing the longest unbroken Depends-On chain from WP-01 through WP-25.</w:t>
            </w:r>
          </w:p>
        </w:tc>
      </w:tr>
      <w:tr>
        <w:tc>
          <w:tcPr>
            <w:tcW w:type="dxa" w:w="2621"/>
            <w:shd w:fill="F3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33363C"/>
                <w:sz w:val="17"/>
                <w:szCs w:val="17"/>
              </w:rPr>
              <w:t xml:space="preserve">Expected Outcome</w:t>
            </w:r>
          </w:p>
        </w:tc>
        <w:tc>
          <w:tcPr>
            <w:tcW w:type="dxa" w:w="7459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i/>
                <w:iCs/>
                <w:sz w:val="18"/>
                <w:szCs w:val="18"/>
              </w:rPr>
              <w:t xml:space="preserve">Unambiguous identification of the fifteen schedule-critical Work Packages, and the nine 'near-critical' Work Packages that carry limited float.</w:t>
            </w:r>
          </w:p>
        </w:tc>
      </w:tr>
    </w:tbl>
    <w:p>
      <w:pPr>
        <w:spacing w:after="160"/>
      </w:pPr>
    </w:p>
    <w:p>
      <w:pPr>
        <w:spacing w:after="150" w:line="276"/>
        <w:jc w:val="both"/>
      </w:pPr>
      <w:r>
        <w:t xml:space="preserve">The programme's critical path — the longest chain of dependent Work Packages, any delay to which delays the entire programme — runs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AD3C0" w:sz="2"/>
              <w:left w:val="single" w:color="DAD3C0" w:sz="2"/>
              <w:bottom w:val="single" w:color="DAD3C0" w:sz="2"/>
              <w:right w:val="single" w:color="DAD3C0" w:sz="2"/>
            </w:tcBorders>
            <w:shd w:fill="F3F0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E21"/>
                <w:sz w:val="17"/>
                <w:szCs w:val="17"/>
              </w:rPr>
              <w:t xml:space="preserve">WP-01 → WP-02 → WP-04 → WP-05 → WP-07 → WP-08 → WP-09 → WP-10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E21"/>
                <w:sz w:val="17"/>
                <w:szCs w:val="17"/>
              </w:rPr>
              <w:t xml:space="preserve">  → WP-11 → WP-12 → WP-13 → WP-15 → WP-23 → WP-24 → WP-25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E21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E21"/>
                <w:sz w:val="17"/>
                <w:szCs w:val="17"/>
              </w:rPr>
              <w:t xml:space="preserve">Sprint:  1     2     3     4     5     6     7     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C1E21"/>
                <w:sz w:val="17"/>
                <w:szCs w:val="17"/>
              </w:rPr>
              <w:t xml:space="preserve">           9    10    11    12    17    18    19</w:t>
            </w:r>
          </w:p>
        </w:tc>
      </w:tr>
    </w:tbl>
    <w:p>
      <w:pPr>
        <w:spacing w:after="150" w:line="276"/>
        <w:jc w:val="both"/>
      </w:pPr>
      <w:r>
        <w:t xml:space="preserve">This fifteen-Work-Package chain spans the full twenty-sprint roadmap, from Sprint 1 through Sprint 19. Work Packages WP-06, WP-14, WP-16 through WP-22 sit off the critical path and carry schedule float between Sprint 5 and Sprint 16 — but because WP-24's Definition of Ready requires WP-01 through WP-23 to be complete, none of these 'near-critical' Work Packages may slip past the end of Sprint 17 without delaying WP-24, and therefore go-live.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AE9E7" w:sz="2"/>
              <w:left w:val="single" w:color="A13F2E" w:sz="24"/>
              <w:bottom w:val="single" w:color="FAE9E7" w:sz="2"/>
              <w:right w:val="single" w:color="FAE9E7" w:sz="2"/>
            </w:tcBorders>
            <w:shd w:fill="FAE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A13F2E"/>
                <w:sz w:val="17"/>
                <w:szCs w:val="17"/>
              </w:rPr>
              <w:t xml:space="preserve">RISK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WP-10 (Workflow Engine) and WP-12 (Documents) are the two highest fan-out nodes on the critical path — each directly enables three or more downstream Work Packages. Schedule risk on the critical path should be monitored most closely at these two points.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11.3.1  </w:t>
      </w:r>
      <w:r>
        <w:rPr>
          <w:b/>
          <w:bCs/>
          <w:color w:val="33363C"/>
          <w:sz w:val="21"/>
          <w:szCs w:val="21"/>
        </w:rPr>
        <w:t xml:space="preserve">Highest Fan-Out Work Packages</w:t>
      </w:r>
    </w:p>
    <w:p>
      <w:pPr>
        <w:spacing w:after="150" w:line="276"/>
        <w:jc w:val="both"/>
      </w:pPr>
      <w:r>
        <w:t xml:space="preserve">The following Work Packages carry the greatest schedule risk if delayed, measured by the number of Work Packages directly or transitively blocked: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Work Package</w:t>
            </w:r>
          </w:p>
        </w:tc>
        <w:tc>
          <w:tcPr>
            <w:tcW w:type="dxa" w:w="7862"/>
            <w:shd w:fill="33363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Fan-Out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WP-01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3 direct (WP-02, WP-04, WP-05); ~22 transitive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WP-05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4 direct (WP-06– chain, WP-12, WP-14, WP-15, WP-23)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WP-10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3 direct (WP-11, WP-18, WP-20)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WP-12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4 direct (WP-13, WP-15, WP-19, WP-22)</w:t>
            </w:r>
          </w:p>
        </w:tc>
      </w:tr>
    </w:tbl>
    <w:p>
      <w:pPr>
        <w:pStyle w:val="Heading1"/>
        <w:pBdr>
          <w:bottom w:val="single" w:color="DAD3C0" w:sz="4" w:space="4"/>
        </w:pBdr>
        <w:spacing w:after="140" w:before="360"/>
      </w:pPr>
      <w:r>
        <w:rPr>
          <w:b/>
          <w:bCs/>
          <w:color w:val="97771F"/>
          <w:sz w:val="26"/>
          <w:szCs w:val="26"/>
        </w:rPr>
        <w:t xml:space="preserve">11.4  </w:t>
      </w:r>
      <w:r>
        <w:rPr>
          <w:b/>
          <w:bCs/>
          <w:color w:val="33363C"/>
          <w:sz w:val="26"/>
          <w:szCs w:val="26"/>
        </w:rPr>
        <w:t xml:space="preserve">Summary and Bridge to Part 12</w:t>
      </w:r>
    </w:p>
    <w:p>
      <w:pPr>
        <w:spacing w:after="150" w:line="276"/>
        <w:jc w:val="both"/>
      </w:pPr>
      <w:r>
        <w:t xml:space="preserve">This Part mapped the complete forward and backward dependency structure across all twenty-five Work Packages and identified the fifteen-Work-Package critical path spanning Sprint 1 through Sprint 19, together with the highest fan-out risk points.</w:t>
      </w:r>
    </w:p>
    <w:p>
      <w:pPr>
        <w:spacing w:after="150" w:line="276"/>
        <w:jc w:val="both"/>
      </w:pPr>
      <w:r>
        <w:t xml:space="preserve">Part 12 — Master Prompt Library — provides the reusable prompt template Antigravity uses to execute any Work Package identified in this dependency matrix, from architecture review through Definition of Done validation.</w:t>
      </w:r>
    </w:p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11.4.1  </w:t>
      </w:r>
      <w:r>
        <w:rPr>
          <w:b/>
          <w:bCs/>
          <w:color w:val="33363C"/>
          <w:sz w:val="21"/>
          <w:szCs w:val="21"/>
        </w:rPr>
        <w:t xml:space="preserve">Key Takeaways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Fifteen of twenty-five Work Packages sit on the critical path; the remaining ten carry float but must still complete before WP-24 begins.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WP-10 and WP-12 are the highest fan-out Work Packages on the critical path and warrant the closest schedule monitoring.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WP-24 and WP-25's dependency on 'all prior Work Packages' means the critical path effectively absorbs every near-critical Work Package by Sprint 17.</w:t>
      </w:r>
    </w:p>
    <w:p>
      <w:pPr>
        <w:pStyle w:val="Heading2"/>
        <w:spacing w:after="110" w:before="260"/>
      </w:pPr>
      <w:r>
        <w:rPr>
          <w:b/>
          <w:bCs/>
          <w:color w:val="97771F"/>
          <w:sz w:val="21"/>
          <w:szCs w:val="21"/>
        </w:rPr>
        <w:t xml:space="preserve">11.4.2  </w:t>
      </w:r>
      <w:r>
        <w:rPr>
          <w:b/>
          <w:bCs/>
          <w:color w:val="33363C"/>
          <w:sz w:val="21"/>
          <w:szCs w:val="21"/>
        </w:rPr>
        <w:t xml:space="preserve">Related Parts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4 — Engineering Work Breakdown Structure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9 — Sprint Roadmap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10 — Master Product Backlog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MEKB Part 12 — Master Prompt Library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33363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33363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2026-07-20T14:08:35.015Z</dcterms:created>
  <dcterms:modified xsi:type="dcterms:W3CDTF">2026-07-20T14:08:35.015Z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