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12</w:t>
      </w:r>
    </w:p>
    <w:p>
      <w:pPr>
        <w:pBdr>
          <w:bottom w:val="single" w:color="33363C" w:sz="14" w:space="10"/>
        </w:pBdr>
        <w:spacing w:after="160"/>
        <w:jc w:val="center"/>
      </w:pPr>
      <w:r>
        <w:rPr>
          <w:b/>
          <w:bCs/>
          <w:color w:val="1C1E21"/>
          <w:sz w:val="40"/>
          <w:szCs w:val="40"/>
        </w:rPr>
        <w:t xml:space="preserve">Master Prompt Library</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12</w:t>
      </w:r>
    </w:p>
    <w:p>
      <w:pPr>
        <w:pBdr>
          <w:bottom w:val="single" w:color="33363C" w:sz="12" w:space="8"/>
        </w:pBdr>
        <w:spacing w:after="200"/>
        <w:jc w:val="left"/>
      </w:pPr>
      <w:r>
        <w:rPr>
          <w:b/>
          <w:bCs/>
          <w:color w:val="1C1E21"/>
          <w:sz w:val="44"/>
          <w:szCs w:val="44"/>
        </w:rPr>
        <w:t xml:space="preserve">Master Prompt Library</w:t>
      </w:r>
    </w:p>
    <w:p>
      <w:pPr>
        <w:spacing w:after="90" w:before="180"/>
      </w:pPr>
      <w:r>
        <w:rPr>
          <w:b/>
          <w:bCs/>
          <w:color w:val="1C1E21"/>
          <w:sz w:val="19"/>
          <w:szCs w:val="19"/>
        </w:rPr>
        <w:t xml:space="preserve">Part Overview</w:t>
      </w:r>
    </w:p>
    <w:p>
      <w:pPr>
        <w:spacing w:after="150" w:line="276"/>
        <w:jc w:val="both"/>
      </w:pPr>
      <w:r>
        <w:t xml:space="preserve">This Part provides the single, reusable prompt template Antigravity uses to execute any of the twenty-five Engineering Work Packages defined in MEKB Parts 5 through 8. The template operationalizes Handbook Chapter 23 (Antigravity Operating Instructions) against the specific field structure fixed for every Work Package, ensuring every Work Package is implemented through the same disciplined, auditable nine-step process regardless of which engineer or agent session executes it.</w:t>
      </w:r>
    </w:p>
    <w:p>
      <w:pPr>
        <w:pStyle w:val="Heading1"/>
        <w:pBdr>
          <w:bottom w:val="single" w:color="DAD3C0" w:sz="4" w:space="4"/>
        </w:pBdr>
        <w:spacing w:after="140" w:before="360"/>
      </w:pPr>
      <w:r>
        <w:rPr>
          <w:b/>
          <w:bCs/>
          <w:color w:val="97771F"/>
          <w:sz w:val="26"/>
          <w:szCs w:val="26"/>
        </w:rPr>
        <w:t xml:space="preserve">12.1  </w:t>
      </w:r>
      <w:r>
        <w:rPr>
          <w:b/>
          <w:bCs/>
          <w:color w:val="33363C"/>
          <w:sz w:val="26"/>
          <w:szCs w:val="26"/>
        </w:rPr>
        <w:t xml:space="preserve">Purpose and Design Principles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a single, parameterized prompt template covering the full Work Package execution lifecycle.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consistent, auditable execution quality across all twenty-five Work Packages and every engineer or agent session that executes them.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template's nine steps map one-to-one onto the fields already fixed in every Work Package specification (Parts 5–8) — no Work Package requires a bespoke prompt.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copy-paste-ready prompt requiring only Work-Package-specific substitution before use.</w:t>
            </w:r>
          </w:p>
        </w:tc>
      </w:tr>
    </w:tbl>
    <w:p>
      <w:pPr>
        <w:spacing w:after="160"/>
      </w:pPr>
    </w:p>
    <w:p>
      <w:pPr>
        <w:spacing w:after="150" w:line="276"/>
        <w:jc w:val="both"/>
      </w:pPr>
      <w:r>
        <w:t xml:space="preserve">The template is deliberately generic: every Work Package in Parts 5 through 8 already carries the fields the template references — Objective, Scope, Dependencies, Functional and Non-Functional Requirements, Database Entities, API Endpoints, UI Screens, Security Controls, Test Cases, Documentation Updates, Related ADRs, and Definition of Done. Populating the template is therefore a substitution exercise, not a drafting exercise.</w:t>
      </w:r>
    </w:p>
    <w:p>
      <w:pPr>
        <w:pStyle w:val="Heading1"/>
        <w:pBdr>
          <w:bottom w:val="single" w:color="DAD3C0" w:sz="4" w:space="4"/>
        </w:pBdr>
        <w:spacing w:after="140" w:before="360"/>
      </w:pPr>
      <w:r>
        <w:rPr>
          <w:b/>
          <w:bCs/>
          <w:color w:val="97771F"/>
          <w:sz w:val="26"/>
          <w:szCs w:val="26"/>
        </w:rPr>
        <w:t xml:space="preserve">12.2  </w:t>
      </w:r>
      <w:r>
        <w:rPr>
          <w:b/>
          <w:bCs/>
          <w:color w:val="33363C"/>
          <w:sz w:val="26"/>
          <w:szCs w:val="26"/>
        </w:rPr>
        <w:t xml:space="preserve">Master Work Package Execution Prompt</w:t>
      </w:r>
    </w:p>
    <w:p>
      <w:pPr>
        <w:spacing w:after="150" w:line="276"/>
        <w:jc w:val="both"/>
      </w:pPr>
      <w:r>
        <w:t xml:space="preserve">The template below is parameterized with placeholders in double braces. Substitute each placeholder from the target Work Package's specification (MEKB Parts 5–8) before issuing the prompt to Antigravity.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SYSTEM ROLE</w:t>
            </w:r>
          </w:p>
          <w:p>
            <w:pPr>
              <w:spacing w:after="0" w:line="240"/>
            </w:pPr>
            <w:r>
              <w:rPr>
                <w:rFonts w:ascii="Consolas" w:cs="Consolas" w:eastAsia="Consolas" w:hAnsi="Consolas"/>
                <w:color w:val="1C1E21"/>
                <w:sz w:val="17"/>
                <w:szCs w:val="17"/>
              </w:rPr>
              <w:t xml:space="preserve">You are Antigravity, the AI engineering agent for the SAPZ Enterprise System</w:t>
            </w:r>
          </w:p>
          <w:p>
            <w:pPr>
              <w:spacing w:after="0" w:line="240"/>
            </w:pPr>
            <w:r>
              <w:rPr>
                <w:rFonts w:ascii="Consolas" w:cs="Consolas" w:eastAsia="Consolas" w:hAnsi="Consolas"/>
                <w:color w:val="1C1E21"/>
                <w:sz w:val="17"/>
                <w:szCs w:val="17"/>
              </w:rPr>
              <w:t xml:space="preserve">Management (ESM) Platform and Central Knowledge Repository (CKR) programme.</w:t>
            </w:r>
          </w:p>
          <w:p>
            <w:pPr>
              <w:spacing w:after="0" w:line="240"/>
            </w:pPr>
            <w:r>
              <w:rPr>
                <w:rFonts w:ascii="Consolas" w:cs="Consolas" w:eastAsia="Consolas" w:hAnsi="Consolas"/>
                <w:color w:val="1C1E21"/>
                <w:sz w:val="17"/>
                <w:szCs w:val="17"/>
              </w:rPr>
              <w:t xml:space="preserve">You implement software strictly according to the governing documents defined</w:t>
            </w:r>
          </w:p>
          <w:p>
            <w:pPr>
              <w:spacing w:after="0" w:line="240"/>
            </w:pPr>
            <w:r>
              <w:rPr>
                <w:rFonts w:ascii="Consolas" w:cs="Consolas" w:eastAsia="Consolas" w:hAnsi="Consolas"/>
                <w:color w:val="1C1E21"/>
                <w:sz w:val="17"/>
                <w:szCs w:val="17"/>
              </w:rPr>
              <w:t xml:space="preserve">in the Master Engineering Knowledge Base (MEKB). You do not redesign,</w:t>
            </w:r>
          </w:p>
          <w:p>
            <w:pPr>
              <w:spacing w:after="0" w:line="240"/>
            </w:pPr>
            <w:r>
              <w:rPr>
                <w:rFonts w:ascii="Consolas" w:cs="Consolas" w:eastAsia="Consolas" w:hAnsi="Consolas"/>
                <w:color w:val="1C1E21"/>
                <w:sz w:val="17"/>
                <w:szCs w:val="17"/>
              </w:rPr>
              <w:t xml:space="preserve">contradict, or invent scope beyond what these documents define.</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TASK</w:t>
            </w:r>
          </w:p>
          <w:p>
            <w:pPr>
              <w:spacing w:after="0" w:line="240"/>
            </w:pPr>
            <w:r>
              <w:rPr>
                <w:rFonts w:ascii="Consolas" w:cs="Consolas" w:eastAsia="Consolas" w:hAnsi="Consolas"/>
                <w:color w:val="1C1E21"/>
                <w:sz w:val="17"/>
                <w:szCs w:val="17"/>
              </w:rPr>
              <w:t xml:space="preserve">Implement Engineering Work Package {{WP_ID}} — {{WP_NAME}}, as specified in</w:t>
            </w:r>
          </w:p>
          <w:p>
            <w:pPr>
              <w:spacing w:after="0" w:line="240"/>
            </w:pPr>
            <w:r>
              <w:rPr>
                <w:rFonts w:ascii="Consolas" w:cs="Consolas" w:eastAsia="Consolas" w:hAnsi="Consolas"/>
                <w:color w:val="1C1E21"/>
                <w:sz w:val="17"/>
                <w:szCs w:val="17"/>
              </w:rPr>
              <w:t xml:space="preserve">MEKB {{MEKB_PART}}.</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1 — REVIEW ARCHITECTURE</w:t>
            </w:r>
          </w:p>
          <w:p>
            <w:pPr>
              <w:spacing w:after="0" w:line="240"/>
            </w:pPr>
            <w:r>
              <w:rPr>
                <w:rFonts w:ascii="Consolas" w:cs="Consolas" w:eastAsia="Consolas" w:hAnsi="Consolas"/>
                <w:color w:val="1C1E21"/>
                <w:sz w:val="17"/>
                <w:szCs w:val="17"/>
              </w:rPr>
              <w:t xml:space="preserve">Before writing any code, review:</w:t>
            </w:r>
          </w:p>
          <w:p>
            <w:pPr>
              <w:spacing w:after="0" w:line="240"/>
            </w:pPr>
            <w:r>
              <w:rPr>
                <w:rFonts w:ascii="Consolas" w:cs="Consolas" w:eastAsia="Consolas" w:hAnsi="Consolas"/>
                <w:color w:val="1C1E21"/>
                <w:sz w:val="17"/>
                <w:szCs w:val="17"/>
              </w:rPr>
              <w:t xml:space="preserve">  - The Enterprise Solution Architecture sections relevant to this Work</w:t>
            </w:r>
          </w:p>
          <w:p>
            <w:pPr>
              <w:spacing w:after="0" w:line="240"/>
            </w:pPr>
            <w:r>
              <w:rPr>
                <w:rFonts w:ascii="Consolas" w:cs="Consolas" w:eastAsia="Consolas" w:hAnsi="Consolas"/>
                <w:color w:val="1C1E21"/>
                <w:sz w:val="17"/>
                <w:szCs w:val="17"/>
              </w:rPr>
              <w:t xml:space="preserve">    Package's domain (MEKB Part 1, Section 1.2).</w:t>
            </w:r>
          </w:p>
          <w:p>
            <w:pPr>
              <w:spacing w:after="0" w:line="240"/>
            </w:pPr>
            <w:r>
              <w:rPr>
                <w:rFonts w:ascii="Consolas" w:cs="Consolas" w:eastAsia="Consolas" w:hAnsi="Consolas"/>
                <w:color w:val="1C1E21"/>
                <w:sz w:val="17"/>
                <w:szCs w:val="17"/>
              </w:rPr>
              <w:t xml:space="preserve">  - The Engineering Domain profile for {{PRIMARY_DOMAIN}} (MEKB Part 2).</w:t>
            </w:r>
          </w:p>
          <w:p>
            <w:pPr>
              <w:spacing w:after="0" w:line="240"/>
            </w:pPr>
            <w:r>
              <w:rPr>
                <w:rFonts w:ascii="Consolas" w:cs="Consolas" w:eastAsia="Consolas" w:hAnsi="Consolas"/>
                <w:color w:val="1C1E21"/>
                <w:sz w:val="17"/>
                <w:szCs w:val="17"/>
              </w:rPr>
              <w:t xml:space="preserve">  - The Module Decomposition profile for {{MODULE_NAME}}, if applicable</w:t>
            </w:r>
          </w:p>
          <w:p>
            <w:pPr>
              <w:spacing w:after="0" w:line="240"/>
            </w:pPr>
            <w:r>
              <w:rPr>
                <w:rFonts w:ascii="Consolas" w:cs="Consolas" w:eastAsia="Consolas" w:hAnsi="Consolas"/>
                <w:color w:val="1C1E21"/>
                <w:sz w:val="17"/>
                <w:szCs w:val="17"/>
              </w:rPr>
              <w:t xml:space="preserve">    (MEKB Part 3).</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2 — REVIEW REQUIREMENTS</w:t>
            </w:r>
          </w:p>
          <w:p>
            <w:pPr>
              <w:spacing w:after="0" w:line="240"/>
            </w:pPr>
            <w:r>
              <w:rPr>
                <w:rFonts w:ascii="Consolas" w:cs="Consolas" w:eastAsia="Consolas" w:hAnsi="Consolas"/>
                <w:color w:val="1C1E21"/>
                <w:sz w:val="17"/>
                <w:szCs w:val="17"/>
              </w:rPr>
              <w:t xml:space="preserve">Read, in full, the following governing sections before implementation:</w:t>
            </w:r>
          </w:p>
          <w:p>
            <w:pPr>
              <w:spacing w:after="0" w:line="240"/>
            </w:pPr>
            <w:r>
              <w:rPr>
                <w:rFonts w:ascii="Consolas" w:cs="Consolas" w:eastAsia="Consolas" w:hAnsi="Consolas"/>
                <w:color w:val="1C1E21"/>
                <w:sz w:val="17"/>
                <w:szCs w:val="17"/>
              </w:rPr>
              <w:t xml:space="preserve">  {{SRS_REFERENCES}}</w:t>
            </w:r>
          </w:p>
          <w:p>
            <w:pPr>
              <w:spacing w:after="0" w:line="240"/>
            </w:pPr>
            <w:r>
              <w:rPr>
                <w:rFonts w:ascii="Consolas" w:cs="Consolas" w:eastAsia="Consolas" w:hAnsi="Consolas"/>
                <w:color w:val="1C1E21"/>
                <w:sz w:val="17"/>
                <w:szCs w:val="17"/>
              </w:rPr>
              <w:t xml:space="preserve">  {{DDS_REFERENCES}}</w:t>
            </w:r>
          </w:p>
          <w:p>
            <w:pPr>
              <w:spacing w:after="0" w:line="240"/>
            </w:pPr>
            <w:r>
              <w:rPr>
                <w:rFonts w:ascii="Consolas" w:cs="Consolas" w:eastAsia="Consolas" w:hAnsi="Consolas"/>
                <w:color w:val="1C1E21"/>
                <w:sz w:val="17"/>
                <w:szCs w:val="17"/>
              </w:rPr>
              <w:t xml:space="preserve">  {{AIDS_REFERENCES}}</w:t>
            </w:r>
          </w:p>
          <w:p>
            <w:pPr>
              <w:spacing w:after="0" w:line="240"/>
            </w:pPr>
            <w:r>
              <w:rPr>
                <w:rFonts w:ascii="Consolas" w:cs="Consolas" w:eastAsia="Consolas" w:hAnsi="Consolas"/>
                <w:color w:val="1C1E21"/>
                <w:sz w:val="17"/>
                <w:szCs w:val="17"/>
              </w:rPr>
              <w:t xml:space="preserve">Do not implement any requirement not present in these sections. Do not</w:t>
            </w:r>
          </w:p>
          <w:p>
            <w:pPr>
              <w:spacing w:after="0" w:line="240"/>
            </w:pPr>
            <w:r>
              <w:rPr>
                <w:rFonts w:ascii="Consolas" w:cs="Consolas" w:eastAsia="Consolas" w:hAnsi="Consolas"/>
                <w:color w:val="1C1E21"/>
                <w:sz w:val="17"/>
                <w:szCs w:val="17"/>
              </w:rPr>
              <w:t xml:space="preserve">omit any requirement present in these sections.</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3 — REVIEW DEPENDENCIES</w:t>
            </w:r>
          </w:p>
          <w:p>
            <w:pPr>
              <w:spacing w:after="0" w:line="240"/>
            </w:pPr>
            <w:r>
              <w:rPr>
                <w:rFonts w:ascii="Consolas" w:cs="Consolas" w:eastAsia="Consolas" w:hAnsi="Consolas"/>
                <w:color w:val="1C1E21"/>
                <w:sz w:val="17"/>
                <w:szCs w:val="17"/>
              </w:rPr>
              <w:t xml:space="preserve">Confirm the following Work Packages are complete and their Definition of</w:t>
            </w:r>
          </w:p>
          <w:p>
            <w:pPr>
              <w:spacing w:after="0" w:line="240"/>
            </w:pPr>
            <w:r>
              <w:rPr>
                <w:rFonts w:ascii="Consolas" w:cs="Consolas" w:eastAsia="Consolas" w:hAnsi="Consolas"/>
                <w:color w:val="1C1E21"/>
                <w:sz w:val="17"/>
                <w:szCs w:val="17"/>
              </w:rPr>
              <w:t xml:space="preserve">Done has been signed off: {{DEPENDENCIES}}.</w:t>
            </w:r>
          </w:p>
          <w:p>
            <w:pPr>
              <w:spacing w:after="0" w:line="240"/>
            </w:pPr>
            <w:r>
              <w:rPr>
                <w:rFonts w:ascii="Consolas" w:cs="Consolas" w:eastAsia="Consolas" w:hAnsi="Consolas"/>
                <w:color w:val="1C1E21"/>
                <w:sz w:val="17"/>
                <w:szCs w:val="17"/>
              </w:rPr>
              <w:t xml:space="preserve">If any dependency is incomplete, stop and escalate — do not proceed on a</w:t>
            </w:r>
          </w:p>
          <w:p>
            <w:pPr>
              <w:spacing w:after="0" w:line="240"/>
            </w:pPr>
            <w:r>
              <w:rPr>
                <w:rFonts w:ascii="Consolas" w:cs="Consolas" w:eastAsia="Consolas" w:hAnsi="Consolas"/>
                <w:color w:val="1C1E21"/>
                <w:sz w:val="17"/>
                <w:szCs w:val="17"/>
              </w:rPr>
              <w:t xml:space="preserve">mocked or assumed contract unless explicitly authorized in this Work</w:t>
            </w:r>
          </w:p>
          <w:p>
            <w:pPr>
              <w:spacing w:after="0" w:line="240"/>
            </w:pPr>
            <w:r>
              <w:rPr>
                <w:rFonts w:ascii="Consolas" w:cs="Consolas" w:eastAsia="Consolas" w:hAnsi="Consolas"/>
                <w:color w:val="1C1E21"/>
                <w:sz w:val="17"/>
                <w:szCs w:val="17"/>
              </w:rPr>
              <w:t xml:space="preserve">Package's Inputs field.</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4 — GENERATE PRODUCTION-READY CODE</w:t>
            </w:r>
          </w:p>
          <w:p>
            <w:pPr>
              <w:spacing w:after="0" w:line="240"/>
            </w:pPr>
            <w:r>
              <w:rPr>
                <w:rFonts w:ascii="Consolas" w:cs="Consolas" w:eastAsia="Consolas" w:hAnsi="Consolas"/>
                <w:color w:val="1C1E21"/>
                <w:sz w:val="17"/>
                <w:szCs w:val="17"/>
              </w:rPr>
              <w:t xml:space="preserve">Implement the Functional and Non-Functional Requirements listed in this</w:t>
            </w:r>
          </w:p>
          <w:p>
            <w:pPr>
              <w:spacing w:after="0" w:line="240"/>
            </w:pPr>
            <w:r>
              <w:rPr>
                <w:rFonts w:ascii="Consolas" w:cs="Consolas" w:eastAsia="Consolas" w:hAnsi="Consolas"/>
                <w:color w:val="1C1E21"/>
                <w:sz w:val="17"/>
                <w:szCs w:val="17"/>
              </w:rPr>
              <w:t xml:space="preserve">Work Package's specification. Code must:</w:t>
            </w:r>
          </w:p>
          <w:p>
            <w:pPr>
              <w:spacing w:after="0" w:line="240"/>
            </w:pPr>
            <w:r>
              <w:rPr>
                <w:rFonts w:ascii="Consolas" w:cs="Consolas" w:eastAsia="Consolas" w:hAnsi="Consolas"/>
                <w:color w:val="1C1E21"/>
                <w:sz w:val="17"/>
                <w:szCs w:val="17"/>
              </w:rPr>
              <w:t xml:space="preserve">  - Conform to the Engineering Handbook chapter(s) referenced in this Work</w:t>
            </w:r>
          </w:p>
          <w:p>
            <w:pPr>
              <w:spacing w:after="0" w:line="240"/>
            </w:pPr>
            <w:r>
              <w:rPr>
                <w:rFonts w:ascii="Consolas" w:cs="Consolas" w:eastAsia="Consolas" w:hAnsi="Consolas"/>
                <w:color w:val="1C1E21"/>
                <w:sz w:val="17"/>
                <w:szCs w:val="17"/>
              </w:rPr>
              <w:t xml:space="preserve">    Package's Documentation Updates field.</w:t>
            </w:r>
          </w:p>
          <w:p>
            <w:pPr>
              <w:spacing w:after="0" w:line="240"/>
            </w:pPr>
            <w:r>
              <w:rPr>
                <w:rFonts w:ascii="Consolas" w:cs="Consolas" w:eastAsia="Consolas" w:hAnsi="Consolas"/>
                <w:color w:val="1C1E21"/>
                <w:sz w:val="17"/>
                <w:szCs w:val="17"/>
              </w:rPr>
              <w:t xml:space="preserve">  - Implement every API endpoint, database entity, and UI screen listed —</w:t>
            </w:r>
          </w:p>
          <w:p>
            <w:pPr>
              <w:spacing w:after="0" w:line="240"/>
            </w:pPr>
            <w:r>
              <w:rPr>
                <w:rFonts w:ascii="Consolas" w:cs="Consolas" w:eastAsia="Consolas" w:hAnsi="Consolas"/>
                <w:color w:val="1C1E21"/>
                <w:sz w:val="17"/>
                <w:szCs w:val="17"/>
              </w:rPr>
              <w:t xml:space="preserve">    no more, no less.</w:t>
            </w:r>
          </w:p>
          <w:p>
            <w:pPr>
              <w:spacing w:after="0" w:line="240"/>
            </w:pPr>
            <w:r>
              <w:rPr>
                <w:rFonts w:ascii="Consolas" w:cs="Consolas" w:eastAsia="Consolas" w:hAnsi="Consolas"/>
                <w:color w:val="1C1E21"/>
                <w:sz w:val="17"/>
                <w:szCs w:val="17"/>
              </w:rPr>
              <w:t xml:space="preserve">  - Implement every Security Control listed.</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5 — GENERATE TESTS</w:t>
            </w:r>
          </w:p>
          <w:p>
            <w:pPr>
              <w:spacing w:after="0" w:line="240"/>
            </w:pPr>
            <w:r>
              <w:rPr>
                <w:rFonts w:ascii="Consolas" w:cs="Consolas" w:eastAsia="Consolas" w:hAnsi="Consolas"/>
                <w:color w:val="1C1E21"/>
                <w:sz w:val="17"/>
                <w:szCs w:val="17"/>
              </w:rPr>
              <w:t xml:space="preserve">Implement every test case in this Work Package's Test Cases table, at the</w:t>
            </w:r>
          </w:p>
          <w:p>
            <w:pPr>
              <w:spacing w:after="0" w:line="240"/>
            </w:pPr>
            <w:r>
              <w:rPr>
                <w:rFonts w:ascii="Consolas" w:cs="Consolas" w:eastAsia="Consolas" w:hAnsi="Consolas"/>
                <w:color w:val="1C1E21"/>
                <w:sz w:val="17"/>
                <w:szCs w:val="17"/>
              </w:rPr>
              <w:t xml:space="preserve">specified type (Unit, Integration, Security, Performance, UAT, or AI</w:t>
            </w:r>
          </w:p>
          <w:p>
            <w:pPr>
              <w:spacing w:after="0" w:line="240"/>
            </w:pPr>
            <w:r>
              <w:rPr>
                <w:rFonts w:ascii="Consolas" w:cs="Consolas" w:eastAsia="Consolas" w:hAnsi="Consolas"/>
                <w:color w:val="1C1E21"/>
                <w:sz w:val="17"/>
                <w:szCs w:val="17"/>
              </w:rPr>
              <w:t xml:space="preserve">Validation). Achieve the coverage target defined in TSAS Part 16.</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6 — GENERATE DOCUMENTATION</w:t>
            </w:r>
          </w:p>
          <w:p>
            <w:pPr>
              <w:spacing w:after="0" w:line="240"/>
            </w:pPr>
            <w:r>
              <w:rPr>
                <w:rFonts w:ascii="Consolas" w:cs="Consolas" w:eastAsia="Consolas" w:hAnsi="Consolas"/>
                <w:color w:val="1C1E21"/>
                <w:sz w:val="17"/>
                <w:szCs w:val="17"/>
              </w:rPr>
              <w:t xml:space="preserve">Complete every item in this Work Package's Documentation Updates field.</w:t>
            </w:r>
          </w:p>
          <w:p>
            <w:pPr>
              <w:spacing w:after="0" w:line="240"/>
            </w:pPr>
            <w:r>
              <w:rPr>
                <w:rFonts w:ascii="Consolas" w:cs="Consolas" w:eastAsia="Consolas" w:hAnsi="Consolas"/>
                <w:color w:val="1C1E21"/>
                <w:sz w:val="17"/>
                <w:szCs w:val="17"/>
              </w:rPr>
              <w:t xml:space="preserve">Update the relevant governing document's implementation status to</w:t>
            </w:r>
          </w:p>
          <w:p>
            <w:pPr>
              <w:spacing w:after="0" w:line="240"/>
            </w:pPr>
            <w:r>
              <w:rPr>
                <w:rFonts w:ascii="Consolas" w:cs="Consolas" w:eastAsia="Consolas" w:hAnsi="Consolas"/>
                <w:color w:val="1C1E21"/>
                <w:sz w:val="17"/>
                <w:szCs w:val="17"/>
              </w:rPr>
              <w:t xml:space="preserve">'Implemented.'</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7 — UPDATE TRACEABILITY</w:t>
            </w:r>
          </w:p>
          <w:p>
            <w:pPr>
              <w:spacing w:after="0" w:line="240"/>
            </w:pPr>
            <w:r>
              <w:rPr>
                <w:rFonts w:ascii="Consolas" w:cs="Consolas" w:eastAsia="Consolas" w:hAnsi="Consolas"/>
                <w:color w:val="1C1E21"/>
                <w:sz w:val="17"/>
                <w:szCs w:val="17"/>
              </w:rPr>
              <w:t xml:space="preserve">Record this Work Package's User Stories, Functional Requirements, and</w:t>
            </w:r>
          </w:p>
          <w:p>
            <w:pPr>
              <w:spacing w:after="0" w:line="240"/>
            </w:pPr>
            <w:r>
              <w:rPr>
                <w:rFonts w:ascii="Consolas" w:cs="Consolas" w:eastAsia="Consolas" w:hAnsi="Consolas"/>
                <w:color w:val="1C1E21"/>
                <w:sz w:val="17"/>
                <w:szCs w:val="17"/>
              </w:rPr>
              <w:t xml:space="preserve">Test Cases in the Enterprise Traceability Matrix (Appendix J), using the</w:t>
            </w:r>
          </w:p>
          <w:p>
            <w:pPr>
              <w:spacing w:after="0" w:line="240"/>
            </w:pPr>
            <w:r>
              <w:rPr>
                <w:rFonts w:ascii="Consolas" w:cs="Consolas" w:eastAsia="Consolas" w:hAnsi="Consolas"/>
                <w:color w:val="1C1E21"/>
                <w:sz w:val="17"/>
                <w:szCs w:val="17"/>
              </w:rPr>
              <w:t xml:space="preserve">identifier scheme in MEKB Part 1, Section 1.7. Confirm no orphaned</w:t>
            </w:r>
          </w:p>
          <w:p>
            <w:pPr>
              <w:spacing w:after="0" w:line="240"/>
            </w:pPr>
            <w:r>
              <w:rPr>
                <w:rFonts w:ascii="Consolas" w:cs="Consolas" w:eastAsia="Consolas" w:hAnsi="Consolas"/>
                <w:color w:val="1C1E21"/>
                <w:sz w:val="17"/>
                <w:szCs w:val="17"/>
              </w:rPr>
              <w:t xml:space="preserve">requirements remain within this Work Package's scope.</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8 — UPDATE ADRs</w:t>
            </w:r>
          </w:p>
          <w:p>
            <w:pPr>
              <w:spacing w:after="0" w:line="240"/>
            </w:pPr>
            <w:r>
              <w:rPr>
                <w:rFonts w:ascii="Consolas" w:cs="Consolas" w:eastAsia="Consolas" w:hAnsi="Consolas"/>
                <w:color w:val="1C1E21"/>
                <w:sz w:val="17"/>
                <w:szCs w:val="17"/>
              </w:rPr>
              <w:t xml:space="preserve">For each Related ADR listed, draft or update the ADR per the template in</w:t>
            </w:r>
          </w:p>
          <w:p>
            <w:pPr>
              <w:spacing w:after="0" w:line="240"/>
            </w:pPr>
            <w:r>
              <w:rPr>
                <w:rFonts w:ascii="Consolas" w:cs="Consolas" w:eastAsia="Consolas" w:hAnsi="Consolas"/>
                <w:color w:val="1C1E21"/>
                <w:sz w:val="17"/>
                <w:szCs w:val="17"/>
              </w:rPr>
              <w:t xml:space="preserve">Appendix F and the process in Handbook Chapter 22. Record the ADR ID in</w:t>
            </w:r>
          </w:p>
          <w:p>
            <w:pPr>
              <w:spacing w:after="0" w:line="240"/>
            </w:pPr>
            <w:r>
              <w:rPr>
                <w:rFonts w:ascii="Consolas" w:cs="Consolas" w:eastAsia="Consolas" w:hAnsi="Consolas"/>
                <w:color w:val="1C1E21"/>
                <w:sz w:val="17"/>
                <w:szCs w:val="17"/>
              </w:rPr>
              <w:t xml:space="preserve">the traceability matrix.</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STEP 9 — VALIDATE DEFINITION OF DONE</w:t>
            </w:r>
          </w:p>
          <w:p>
            <w:pPr>
              <w:spacing w:after="0" w:line="240"/>
            </w:pPr>
            <w:r>
              <w:rPr>
                <w:rFonts w:ascii="Consolas" w:cs="Consolas" w:eastAsia="Consolas" w:hAnsi="Consolas"/>
                <w:color w:val="1C1E21"/>
                <w:sz w:val="17"/>
                <w:szCs w:val="17"/>
              </w:rPr>
              <w:t xml:space="preserve">Confirm every item in this Work Package's Definition of Done is satisfied</w:t>
            </w:r>
          </w:p>
          <w:p>
            <w:pPr>
              <w:spacing w:after="0" w:line="240"/>
            </w:pPr>
            <w:r>
              <w:rPr>
                <w:rFonts w:ascii="Consolas" w:cs="Consolas" w:eastAsia="Consolas" w:hAnsi="Consolas"/>
                <w:color w:val="1C1E21"/>
                <w:sz w:val="17"/>
                <w:szCs w:val="17"/>
              </w:rPr>
              <w:t xml:space="preserve">before marking it complete. Do not mark a Work Package complete if any</w:t>
            </w:r>
          </w:p>
          <w:p>
            <w:pPr>
              <w:spacing w:after="0" w:line="240"/>
            </w:pPr>
            <w:r>
              <w:rPr>
                <w:rFonts w:ascii="Consolas" w:cs="Consolas" w:eastAsia="Consolas" w:hAnsi="Consolas"/>
                <w:color w:val="1C1E21"/>
                <w:sz w:val="17"/>
                <w:szCs w:val="17"/>
              </w:rPr>
              <w:t xml:space="preserve">Acceptance Criterion, Test Case, or Documentation Update is outstanding.</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OUTPUT</w:t>
            </w:r>
          </w:p>
          <w:p>
            <w:pPr>
              <w:spacing w:after="0" w:line="240"/>
            </w:pPr>
            <w:r>
              <w:rPr>
                <w:rFonts w:ascii="Consolas" w:cs="Consolas" w:eastAsia="Consolas" w:hAnsi="Consolas"/>
                <w:color w:val="1C1E21"/>
                <w:sz w:val="17"/>
                <w:szCs w:val="17"/>
              </w:rPr>
              <w:t xml:space="preserve">Report, for this Work Package: (1) all files created or modified,</w:t>
            </w:r>
          </w:p>
          <w:p>
            <w:pPr>
              <w:spacing w:after="0" w:line="240"/>
            </w:pPr>
            <w:r>
              <w:rPr>
                <w:rFonts w:ascii="Consolas" w:cs="Consolas" w:eastAsia="Consolas" w:hAnsi="Consolas"/>
                <w:color w:val="1C1E21"/>
                <w:sz w:val="17"/>
                <w:szCs w:val="17"/>
              </w:rPr>
              <w:t xml:space="preserve">(2) all test results, (3) all documentation updated, (4) all ADRs</w:t>
            </w:r>
          </w:p>
          <w:p>
            <w:pPr>
              <w:spacing w:after="0" w:line="240"/>
            </w:pPr>
            <w:r>
              <w:rPr>
                <w:rFonts w:ascii="Consolas" w:cs="Consolas" w:eastAsia="Consolas" w:hAnsi="Consolas"/>
                <w:color w:val="1C1E21"/>
                <w:sz w:val="17"/>
                <w:szCs w:val="17"/>
              </w:rPr>
              <w:t xml:space="preserve">created or updated, (5) confirmation of Definition of Done status,</w:t>
            </w:r>
          </w:p>
          <w:p>
            <w:pPr>
              <w:spacing w:after="0" w:line="240"/>
            </w:pPr>
            <w:r>
              <w:rPr>
                <w:rFonts w:ascii="Consolas" w:cs="Consolas" w:eastAsia="Consolas" w:hAnsi="Consolas"/>
                <w:color w:val="1C1E21"/>
                <w:sz w:val="17"/>
                <w:szCs w:val="17"/>
              </w:rPr>
              <w:t xml:space="preserve">(6) any deviation from the governing documents encountered and how it</w:t>
            </w:r>
          </w:p>
          <w:p>
            <w:pPr>
              <w:spacing w:after="0" w:line="240"/>
            </w:pPr>
            <w:r>
              <w:rPr>
                <w:rFonts w:ascii="Consolas" w:cs="Consolas" w:eastAsia="Consolas" w:hAnsi="Consolas"/>
                <w:color w:val="1C1E21"/>
                <w:sz w:val="17"/>
                <w:szCs w:val="17"/>
              </w:rPr>
              <w:t xml:space="preserve">was resolved or escalated.</w:t>
            </w:r>
          </w:p>
        </w:tc>
      </w:tr>
    </w:tbl>
    <w:p>
      <w:pPr>
        <w:pStyle w:val="Heading1"/>
        <w:pBdr>
          <w:bottom w:val="single" w:color="DAD3C0" w:sz="4" w:space="4"/>
        </w:pBdr>
        <w:spacing w:after="140" w:before="360"/>
      </w:pPr>
      <w:r>
        <w:rPr>
          <w:b/>
          <w:bCs/>
          <w:color w:val="97771F"/>
          <w:sz w:val="26"/>
          <w:szCs w:val="26"/>
        </w:rPr>
        <w:t xml:space="preserve">12.3  </w:t>
      </w:r>
      <w:r>
        <w:rPr>
          <w:b/>
          <w:bCs/>
          <w:color w:val="33363C"/>
          <w:sz w:val="26"/>
          <w:szCs w:val="26"/>
        </w:rPr>
        <w:t xml:space="preserve">Placeholder Reference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exactly where each placeholder's value comes from.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when a new engineer populates the template for the first time.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placeholder resolves to a field already present in the target Work Package's specification.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Zero-guesswork template population for any of the twenty-five Work Packages.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33363C" w:val="clear"/>
            <w:tcMar>
              <w:top w:type="dxa" w:w="70"/>
              <w:left w:type="dxa" w:w="110"/>
              <w:bottom w:type="dxa" w:w="70"/>
              <w:right w:type="dxa" w:w="110"/>
            </w:tcMar>
            <w:vAlign w:val="top"/>
          </w:tcPr>
          <w:p>
            <w:r>
              <w:rPr>
                <w:b/>
                <w:bCs/>
                <w:color w:val="FFFFFF"/>
                <w:sz w:val="17"/>
                <w:szCs w:val="17"/>
              </w:rPr>
              <w:t xml:space="preserve">Placeholder</w:t>
            </w:r>
          </w:p>
        </w:tc>
        <w:tc>
          <w:tcPr>
            <w:tcW w:type="dxa" w:w="7459"/>
            <w:shd w:fill="33363C" w:val="clear"/>
            <w:tcMar>
              <w:top w:type="dxa" w:w="70"/>
              <w:left w:type="dxa" w:w="110"/>
              <w:bottom w:type="dxa" w:w="70"/>
              <w:right w:type="dxa" w:w="110"/>
            </w:tcMar>
            <w:vAlign w:val="top"/>
          </w:tcPr>
          <w:p>
            <w:r>
              <w:rPr>
                <w:b/>
                <w:bCs/>
                <w:color w:val="FFFFFF"/>
                <w:sz w:val="17"/>
                <w:szCs w:val="17"/>
              </w:rPr>
              <w:t xml:space="preserve">Source</w:t>
            </w:r>
          </w:p>
        </w:tc>
      </w:tr>
      <w:tr>
        <w:tc>
          <w:tcPr>
            <w:tcW w:type="dxa" w:w="2621"/>
            <w:tcMar>
              <w:top w:type="dxa" w:w="70"/>
              <w:left w:type="dxa" w:w="110"/>
              <w:bottom w:type="dxa" w:w="70"/>
              <w:right w:type="dxa" w:w="110"/>
            </w:tcMar>
            <w:vAlign w:val="top"/>
          </w:tcPr>
          <w:p>
            <w:r>
              <w:rPr>
                <w:b/>
                <w:bCs/>
                <w:color w:val="1A1A1A"/>
                <w:sz w:val="13"/>
                <w:szCs w:val="13"/>
              </w:rPr>
              <w:t xml:space="preserve">{{WP_ID}} / {{WP_NAME}}</w:t>
            </w:r>
          </w:p>
        </w:tc>
        <w:tc>
          <w:tcPr>
            <w:tcW w:type="dxa" w:w="7459"/>
            <w:tcMar>
              <w:top w:type="dxa" w:w="70"/>
              <w:left w:type="dxa" w:w="110"/>
              <w:bottom w:type="dxa" w:w="70"/>
              <w:right w:type="dxa" w:w="110"/>
            </w:tcMar>
            <w:vAlign w:val="top"/>
          </w:tcPr>
          <w:p>
            <w:r>
              <w:rPr>
                <w:b w:val="false"/>
                <w:bCs w:val="false"/>
                <w:color w:val="1A1A1A"/>
                <w:sz w:val="13"/>
                <w:szCs w:val="13"/>
              </w:rPr>
              <w:t xml:space="preserve">The Work Package ID and Name fields (MEKB Parts 5–8, e.g., 'WP-12 — Documents').</w:t>
            </w:r>
          </w:p>
        </w:tc>
      </w:tr>
      <w:tr>
        <w:tc>
          <w:tcPr>
            <w:tcW w:type="dxa" w:w="2621"/>
            <w:tcMar>
              <w:top w:type="dxa" w:w="70"/>
              <w:left w:type="dxa" w:w="110"/>
              <w:bottom w:type="dxa" w:w="70"/>
              <w:right w:type="dxa" w:w="110"/>
            </w:tcMar>
            <w:vAlign w:val="top"/>
          </w:tcPr>
          <w:p>
            <w:r>
              <w:rPr>
                <w:b/>
                <w:bCs/>
                <w:color w:val="1A1A1A"/>
                <w:sz w:val="13"/>
                <w:szCs w:val="13"/>
              </w:rPr>
              <w:t xml:space="preserve">{{MEKB_PART}}</w:t>
            </w:r>
          </w:p>
        </w:tc>
        <w:tc>
          <w:tcPr>
            <w:tcW w:type="dxa" w:w="7459"/>
            <w:tcMar>
              <w:top w:type="dxa" w:w="70"/>
              <w:left w:type="dxa" w:w="110"/>
              <w:bottom w:type="dxa" w:w="70"/>
              <w:right w:type="dxa" w:w="110"/>
            </w:tcMar>
            <w:vAlign w:val="top"/>
          </w:tcPr>
          <w:p>
            <w:r>
              <w:rPr>
                <w:b w:val="false"/>
                <w:bCs w:val="false"/>
                <w:color w:val="1A1A1A"/>
                <w:sz w:val="13"/>
                <w:szCs w:val="13"/>
              </w:rPr>
              <w:t xml:space="preserve">The MEKB Part and Section where the Work Package is specified (e.g., 'Part 7, Section 7.2').</w:t>
            </w:r>
          </w:p>
        </w:tc>
      </w:tr>
      <w:tr>
        <w:tc>
          <w:tcPr>
            <w:tcW w:type="dxa" w:w="2621"/>
            <w:tcMar>
              <w:top w:type="dxa" w:w="70"/>
              <w:left w:type="dxa" w:w="110"/>
              <w:bottom w:type="dxa" w:w="70"/>
              <w:right w:type="dxa" w:w="110"/>
            </w:tcMar>
            <w:vAlign w:val="top"/>
          </w:tcPr>
          <w:p>
            <w:r>
              <w:rPr>
                <w:b/>
                <w:bCs/>
                <w:color w:val="1A1A1A"/>
                <w:sz w:val="13"/>
                <w:szCs w:val="13"/>
              </w:rPr>
              <w:t xml:space="preserve">{{PRIMARY_DOMAIN}}</w:t>
            </w:r>
          </w:p>
        </w:tc>
        <w:tc>
          <w:tcPr>
            <w:tcW w:type="dxa" w:w="7459"/>
            <w:tcMar>
              <w:top w:type="dxa" w:w="70"/>
              <w:left w:type="dxa" w:w="110"/>
              <w:bottom w:type="dxa" w:w="70"/>
              <w:right w:type="dxa" w:w="110"/>
            </w:tcMar>
            <w:vAlign w:val="top"/>
          </w:tcPr>
          <w:p>
            <w:r>
              <w:rPr>
                <w:b w:val="false"/>
                <w:bCs w:val="false"/>
                <w:color w:val="1A1A1A"/>
                <w:sz w:val="13"/>
                <w:szCs w:val="13"/>
              </w:rPr>
              <w:t xml:space="preserve">The Work Package's primary Engineering Domain, per the Module-to-Domain Cross-Reference (MEKB Part 3, Section 3.21).</w:t>
            </w:r>
          </w:p>
        </w:tc>
      </w:tr>
      <w:tr>
        <w:tc>
          <w:tcPr>
            <w:tcW w:type="dxa" w:w="2621"/>
            <w:tcMar>
              <w:top w:type="dxa" w:w="70"/>
              <w:left w:type="dxa" w:w="110"/>
              <w:bottom w:type="dxa" w:w="70"/>
              <w:right w:type="dxa" w:w="110"/>
            </w:tcMar>
            <w:vAlign w:val="top"/>
          </w:tcPr>
          <w:p>
            <w:r>
              <w:rPr>
                <w:b/>
                <w:bCs/>
                <w:color w:val="1A1A1A"/>
                <w:sz w:val="13"/>
                <w:szCs w:val="13"/>
              </w:rPr>
              <w:t xml:space="preserve">{{MODULE_NAME}}</w:t>
            </w:r>
          </w:p>
        </w:tc>
        <w:tc>
          <w:tcPr>
            <w:tcW w:type="dxa" w:w="7459"/>
            <w:tcMar>
              <w:top w:type="dxa" w:w="70"/>
              <w:left w:type="dxa" w:w="110"/>
              <w:bottom w:type="dxa" w:w="70"/>
              <w:right w:type="dxa" w:w="110"/>
            </w:tcMar>
            <w:vAlign w:val="top"/>
          </w:tcPr>
          <w:p>
            <w:r>
              <w:rPr>
                <w:b w:val="false"/>
                <w:bCs w:val="false"/>
                <w:color w:val="1A1A1A"/>
                <w:sz w:val="13"/>
                <w:szCs w:val="13"/>
              </w:rPr>
              <w:t xml:space="preserve">The corresponding entry in the Module Decomposition (MEKB Part 3), if the Work Package maps to a functional module.</w:t>
            </w:r>
          </w:p>
        </w:tc>
      </w:tr>
      <w:tr>
        <w:tc>
          <w:tcPr>
            <w:tcW w:type="dxa" w:w="2621"/>
            <w:tcMar>
              <w:top w:type="dxa" w:w="70"/>
              <w:left w:type="dxa" w:w="110"/>
              <w:bottom w:type="dxa" w:w="70"/>
              <w:right w:type="dxa" w:w="110"/>
            </w:tcMar>
            <w:vAlign w:val="top"/>
          </w:tcPr>
          <w:p>
            <w:r>
              <w:rPr>
                <w:b/>
                <w:bCs/>
                <w:color w:val="1A1A1A"/>
                <w:sz w:val="13"/>
                <w:szCs w:val="13"/>
              </w:rPr>
              <w:t xml:space="preserve">{{SRS_REFERENCES}}</w:t>
            </w:r>
          </w:p>
        </w:tc>
        <w:tc>
          <w:tcPr>
            <w:tcW w:type="dxa" w:w="7459"/>
            <w:tcMar>
              <w:top w:type="dxa" w:w="70"/>
              <w:left w:type="dxa" w:w="110"/>
              <w:bottom w:type="dxa" w:w="70"/>
              <w:right w:type="dxa" w:w="110"/>
            </w:tcMar>
            <w:vAlign w:val="top"/>
          </w:tcPr>
          <w:p>
            <w:r>
              <w:rPr>
                <w:b w:val="false"/>
                <w:bCs w:val="false"/>
                <w:color w:val="1A1A1A"/>
                <w:sz w:val="13"/>
                <w:szCs w:val="13"/>
              </w:rPr>
              <w:t xml:space="preserve">The SRS Part(s) cited in the Work Package's Inputs and Functional Requirements fields.</w:t>
            </w:r>
          </w:p>
        </w:tc>
      </w:tr>
      <w:tr>
        <w:tc>
          <w:tcPr>
            <w:tcW w:type="dxa" w:w="2621"/>
            <w:tcMar>
              <w:top w:type="dxa" w:w="70"/>
              <w:left w:type="dxa" w:w="110"/>
              <w:bottom w:type="dxa" w:w="70"/>
              <w:right w:type="dxa" w:w="110"/>
            </w:tcMar>
            <w:vAlign w:val="top"/>
          </w:tcPr>
          <w:p>
            <w:r>
              <w:rPr>
                <w:b/>
                <w:bCs/>
                <w:color w:val="1A1A1A"/>
                <w:sz w:val="13"/>
                <w:szCs w:val="13"/>
              </w:rPr>
              <w:t xml:space="preserve">{{DDS_REFERENCES}}</w:t>
            </w:r>
          </w:p>
        </w:tc>
        <w:tc>
          <w:tcPr>
            <w:tcW w:type="dxa" w:w="7459"/>
            <w:tcMar>
              <w:top w:type="dxa" w:w="70"/>
              <w:left w:type="dxa" w:w="110"/>
              <w:bottom w:type="dxa" w:w="70"/>
              <w:right w:type="dxa" w:w="110"/>
            </w:tcMar>
            <w:vAlign w:val="top"/>
          </w:tcPr>
          <w:p>
            <w:r>
              <w:rPr>
                <w:b w:val="false"/>
                <w:bCs w:val="false"/>
                <w:color w:val="1A1A1A"/>
                <w:sz w:val="13"/>
                <w:szCs w:val="13"/>
              </w:rPr>
              <w:t xml:space="preserve">The DDS Part(s) cited in the Work Package's Database Entities field.</w:t>
            </w:r>
          </w:p>
        </w:tc>
      </w:tr>
      <w:tr>
        <w:tc>
          <w:tcPr>
            <w:tcW w:type="dxa" w:w="2621"/>
            <w:tcMar>
              <w:top w:type="dxa" w:w="70"/>
              <w:left w:type="dxa" w:w="110"/>
              <w:bottom w:type="dxa" w:w="70"/>
              <w:right w:type="dxa" w:w="110"/>
            </w:tcMar>
            <w:vAlign w:val="top"/>
          </w:tcPr>
          <w:p>
            <w:r>
              <w:rPr>
                <w:b/>
                <w:bCs/>
                <w:color w:val="1A1A1A"/>
                <w:sz w:val="13"/>
                <w:szCs w:val="13"/>
              </w:rPr>
              <w:t xml:space="preserve">{{AIDS_REFERENCES}}</w:t>
            </w:r>
          </w:p>
        </w:tc>
        <w:tc>
          <w:tcPr>
            <w:tcW w:type="dxa" w:w="7459"/>
            <w:tcMar>
              <w:top w:type="dxa" w:w="70"/>
              <w:left w:type="dxa" w:w="110"/>
              <w:bottom w:type="dxa" w:w="70"/>
              <w:right w:type="dxa" w:w="110"/>
            </w:tcMar>
            <w:vAlign w:val="top"/>
          </w:tcPr>
          <w:p>
            <w:r>
              <w:rPr>
                <w:b w:val="false"/>
                <w:bCs w:val="false"/>
                <w:color w:val="1A1A1A"/>
                <w:sz w:val="13"/>
                <w:szCs w:val="13"/>
              </w:rPr>
              <w:t xml:space="preserve">The AIDS Part(s) cited in the Work Package's API Endpoints field, where applicable.</w:t>
            </w:r>
          </w:p>
        </w:tc>
      </w:tr>
      <w:tr>
        <w:tc>
          <w:tcPr>
            <w:tcW w:type="dxa" w:w="2621"/>
            <w:tcMar>
              <w:top w:type="dxa" w:w="70"/>
              <w:left w:type="dxa" w:w="110"/>
              <w:bottom w:type="dxa" w:w="70"/>
              <w:right w:type="dxa" w:w="110"/>
            </w:tcMar>
            <w:vAlign w:val="top"/>
          </w:tcPr>
          <w:p>
            <w:r>
              <w:rPr>
                <w:b/>
                <w:bCs/>
                <w:color w:val="1A1A1A"/>
                <w:sz w:val="13"/>
                <w:szCs w:val="13"/>
              </w:rPr>
              <w:t xml:space="preserve">{{DEPENDENCIES}}</w:t>
            </w:r>
          </w:p>
        </w:tc>
        <w:tc>
          <w:tcPr>
            <w:tcW w:type="dxa" w:w="7459"/>
            <w:tcMar>
              <w:top w:type="dxa" w:w="70"/>
              <w:left w:type="dxa" w:w="110"/>
              <w:bottom w:type="dxa" w:w="70"/>
              <w:right w:type="dxa" w:w="110"/>
            </w:tcMar>
            <w:vAlign w:val="top"/>
          </w:tcPr>
          <w:p>
            <w:r>
              <w:rPr>
                <w:b w:val="false"/>
                <w:bCs w:val="false"/>
                <w:color w:val="1A1A1A"/>
                <w:sz w:val="13"/>
                <w:szCs w:val="13"/>
              </w:rPr>
              <w:t xml:space="preserve">The Work Package's own Dependencies field, and cross-checked against the Work Package Dependency Matrix (MEKB Part 11).</w:t>
            </w:r>
          </w:p>
        </w:tc>
      </w:tr>
    </w:tbl>
    <w:p>
      <w:pPr>
        <w:pStyle w:val="Heading1"/>
        <w:pBdr>
          <w:bottom w:val="single" w:color="DAD3C0" w:sz="4" w:space="4"/>
        </w:pBdr>
        <w:spacing w:after="140" w:before="360"/>
      </w:pPr>
      <w:r>
        <w:rPr>
          <w:b/>
          <w:bCs/>
          <w:color w:val="97771F"/>
          <w:sz w:val="26"/>
          <w:szCs w:val="26"/>
        </w:rPr>
        <w:t xml:space="preserve">12.4  </w:t>
      </w:r>
      <w:r>
        <w:rPr>
          <w:b/>
          <w:bCs/>
          <w:color w:val="33363C"/>
          <w:sz w:val="26"/>
          <w:szCs w:val="26"/>
        </w:rPr>
        <w:t xml:space="preserve">Worked Examples</w:t>
      </w:r>
    </w:p>
    <w:p>
      <w:pPr>
        <w:pStyle w:val="Heading2"/>
        <w:spacing w:after="110" w:before="260"/>
      </w:pPr>
      <w:r>
        <w:rPr>
          <w:b/>
          <w:bCs/>
          <w:color w:val="97771F"/>
          <w:sz w:val="21"/>
          <w:szCs w:val="21"/>
        </w:rPr>
        <w:t xml:space="preserve">12.4.1  </w:t>
      </w:r>
      <w:r>
        <w:rPr>
          <w:b/>
          <w:bCs/>
          <w:color w:val="33363C"/>
          <w:sz w:val="21"/>
          <w:szCs w:val="21"/>
        </w:rPr>
        <w:t xml:space="preserve">Worked Example — WP-01</w:t>
      </w:r>
    </w:p>
    <w:p>
      <w:pPr>
        <w:spacing w:after="150" w:line="276"/>
        <w:jc w:val="both"/>
      </w:pPr>
      <w:r>
        <w:t xml:space="preserve">Substituting the template for the first Work Package in the programme: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33363C" w:val="clear"/>
            <w:tcMar>
              <w:top w:type="dxa" w:w="70"/>
              <w:left w:type="dxa" w:w="110"/>
              <w:bottom w:type="dxa" w:w="70"/>
              <w:right w:type="dxa" w:w="110"/>
            </w:tcMar>
            <w:vAlign w:val="top"/>
          </w:tcPr>
          <w:p>
            <w:r>
              <w:rPr>
                <w:b/>
                <w:bCs/>
                <w:color w:val="FFFFFF"/>
                <w:sz w:val="17"/>
                <w:szCs w:val="17"/>
              </w:rPr>
              <w:t xml:space="preserve">Placeholder</w:t>
            </w:r>
          </w:p>
        </w:tc>
        <w:tc>
          <w:tcPr>
            <w:tcW w:type="dxa" w:w="7258"/>
            <w:shd w:fill="33363C" w:val="clear"/>
            <w:tcMar>
              <w:top w:type="dxa" w:w="70"/>
              <w:left w:type="dxa" w:w="110"/>
              <w:bottom w:type="dxa" w:w="70"/>
              <w:right w:type="dxa" w:w="110"/>
            </w:tcMar>
            <w:vAlign w:val="top"/>
          </w:tcPr>
          <w:p>
            <w:r>
              <w:rPr>
                <w:b/>
                <w:bCs/>
                <w:color w:val="FFFFFF"/>
                <w:sz w:val="17"/>
                <w:szCs w:val="17"/>
              </w:rPr>
              <w:t xml:space="preserve">Substitution</w:t>
            </w:r>
          </w:p>
        </w:tc>
      </w:tr>
      <w:tr>
        <w:tc>
          <w:tcPr>
            <w:tcW w:type="dxa" w:w="2822"/>
            <w:tcMar>
              <w:top w:type="dxa" w:w="70"/>
              <w:left w:type="dxa" w:w="110"/>
              <w:bottom w:type="dxa" w:w="70"/>
              <w:right w:type="dxa" w:w="110"/>
            </w:tcMar>
            <w:vAlign w:val="top"/>
          </w:tcPr>
          <w:p>
            <w:r>
              <w:rPr>
                <w:b/>
                <w:bCs/>
                <w:color w:val="1A1A1A"/>
                <w:sz w:val="13"/>
                <w:szCs w:val="13"/>
              </w:rPr>
              <w:t xml:space="preserve">{{WP_ID}} / {{WP_NAME}}</w:t>
            </w:r>
          </w:p>
        </w:tc>
        <w:tc>
          <w:tcPr>
            <w:tcW w:type="dxa" w:w="7258"/>
            <w:tcMar>
              <w:top w:type="dxa" w:w="70"/>
              <w:left w:type="dxa" w:w="110"/>
              <w:bottom w:type="dxa" w:w="70"/>
              <w:right w:type="dxa" w:w="110"/>
            </w:tcMar>
            <w:vAlign w:val="top"/>
          </w:tcPr>
          <w:p>
            <w:r>
              <w:rPr>
                <w:b w:val="false"/>
                <w:bCs w:val="false"/>
                <w:color w:val="1A1A1A"/>
                <w:sz w:val="13"/>
                <w:szCs w:val="13"/>
              </w:rPr>
              <w:t xml:space="preserve">WP-01 — Platform Database Foundation</w:t>
            </w:r>
          </w:p>
        </w:tc>
      </w:tr>
      <w:tr>
        <w:tc>
          <w:tcPr>
            <w:tcW w:type="dxa" w:w="2822"/>
            <w:tcMar>
              <w:top w:type="dxa" w:w="70"/>
              <w:left w:type="dxa" w:w="110"/>
              <w:bottom w:type="dxa" w:w="70"/>
              <w:right w:type="dxa" w:w="110"/>
            </w:tcMar>
            <w:vAlign w:val="top"/>
          </w:tcPr>
          <w:p>
            <w:r>
              <w:rPr>
                <w:b/>
                <w:bCs/>
                <w:color w:val="1A1A1A"/>
                <w:sz w:val="13"/>
                <w:szCs w:val="13"/>
              </w:rPr>
              <w:t xml:space="preserve">{{MEKB_PART}}</w:t>
            </w:r>
          </w:p>
        </w:tc>
        <w:tc>
          <w:tcPr>
            <w:tcW w:type="dxa" w:w="7258"/>
            <w:tcMar>
              <w:top w:type="dxa" w:w="70"/>
              <w:left w:type="dxa" w:w="110"/>
              <w:bottom w:type="dxa" w:w="70"/>
              <w:right w:type="dxa" w:w="110"/>
            </w:tcMar>
            <w:vAlign w:val="top"/>
          </w:tcPr>
          <w:p>
            <w:r>
              <w:rPr>
                <w:b w:val="false"/>
                <w:bCs w:val="false"/>
                <w:color w:val="1A1A1A"/>
                <w:sz w:val="13"/>
                <w:szCs w:val="13"/>
              </w:rPr>
              <w:t xml:space="preserve">Part 5, Section 5.1</w:t>
            </w:r>
          </w:p>
        </w:tc>
      </w:tr>
      <w:tr>
        <w:tc>
          <w:tcPr>
            <w:tcW w:type="dxa" w:w="2822"/>
            <w:tcMar>
              <w:top w:type="dxa" w:w="70"/>
              <w:left w:type="dxa" w:w="110"/>
              <w:bottom w:type="dxa" w:w="70"/>
              <w:right w:type="dxa" w:w="110"/>
            </w:tcMar>
            <w:vAlign w:val="top"/>
          </w:tcPr>
          <w:p>
            <w:r>
              <w:rPr>
                <w:b/>
                <w:bCs/>
                <w:color w:val="1A1A1A"/>
                <w:sz w:val="13"/>
                <w:szCs w:val="13"/>
              </w:rPr>
              <w:t xml:space="preserve">{{PRIMARY_DOMAIN}}</w:t>
            </w:r>
          </w:p>
        </w:tc>
        <w:tc>
          <w:tcPr>
            <w:tcW w:type="dxa" w:w="7258"/>
            <w:tcMar>
              <w:top w:type="dxa" w:w="70"/>
              <w:left w:type="dxa" w:w="110"/>
              <w:bottom w:type="dxa" w:w="70"/>
              <w:right w:type="dxa" w:w="110"/>
            </w:tcMar>
            <w:vAlign w:val="top"/>
          </w:tcPr>
          <w:p>
            <w:r>
              <w:rPr>
                <w:b w:val="false"/>
                <w:bCs w:val="false"/>
                <w:color w:val="1A1A1A"/>
                <w:sz w:val="13"/>
                <w:szCs w:val="13"/>
              </w:rPr>
              <w:t xml:space="preserve">Database Engineering (Part 2, Section 2.3)</w:t>
            </w:r>
          </w:p>
        </w:tc>
      </w:tr>
      <w:tr>
        <w:tc>
          <w:tcPr>
            <w:tcW w:type="dxa" w:w="2822"/>
            <w:tcMar>
              <w:top w:type="dxa" w:w="70"/>
              <w:left w:type="dxa" w:w="110"/>
              <w:bottom w:type="dxa" w:w="70"/>
              <w:right w:type="dxa" w:w="110"/>
            </w:tcMar>
            <w:vAlign w:val="top"/>
          </w:tcPr>
          <w:p>
            <w:r>
              <w:rPr>
                <w:b/>
                <w:bCs/>
                <w:color w:val="1A1A1A"/>
                <w:sz w:val="13"/>
                <w:szCs w:val="13"/>
              </w:rPr>
              <w:t xml:space="preserve">{{MODULE_NAME}}</w:t>
            </w:r>
          </w:p>
        </w:tc>
        <w:tc>
          <w:tcPr>
            <w:tcW w:type="dxa" w:w="7258"/>
            <w:tcMar>
              <w:top w:type="dxa" w:w="70"/>
              <w:left w:type="dxa" w:w="110"/>
              <w:bottom w:type="dxa" w:w="70"/>
              <w:right w:type="dxa" w:w="110"/>
            </w:tcMar>
            <w:vAlign w:val="top"/>
          </w:tcPr>
          <w:p>
            <w:r>
              <w:rPr>
                <w:b w:val="false"/>
                <w:bCs w:val="false"/>
                <w:color w:val="1A1A1A"/>
                <w:sz w:val="13"/>
                <w:szCs w:val="13"/>
              </w:rPr>
              <w:t xml:space="preserve">Not applicable — cross-cutting Workstream, not a Module</w:t>
            </w:r>
          </w:p>
        </w:tc>
      </w:tr>
      <w:tr>
        <w:tc>
          <w:tcPr>
            <w:tcW w:type="dxa" w:w="2822"/>
            <w:tcMar>
              <w:top w:type="dxa" w:w="70"/>
              <w:left w:type="dxa" w:w="110"/>
              <w:bottom w:type="dxa" w:w="70"/>
              <w:right w:type="dxa" w:w="110"/>
            </w:tcMar>
            <w:vAlign w:val="top"/>
          </w:tcPr>
          <w:p>
            <w:r>
              <w:rPr>
                <w:b/>
                <w:bCs/>
                <w:color w:val="1A1A1A"/>
                <w:sz w:val="13"/>
                <w:szCs w:val="13"/>
              </w:rPr>
              <w:t xml:space="preserve">{{SRS_REFERENCES}}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SRS Part 30 (Database Requirements)</w:t>
            </w:r>
          </w:p>
        </w:tc>
      </w:tr>
      <w:tr>
        <w:tc>
          <w:tcPr>
            <w:tcW w:type="dxa" w:w="2822"/>
            <w:tcMar>
              <w:top w:type="dxa" w:w="70"/>
              <w:left w:type="dxa" w:w="110"/>
              <w:bottom w:type="dxa" w:w="70"/>
              <w:right w:type="dxa" w:w="110"/>
            </w:tcMar>
            <w:vAlign w:val="top"/>
          </w:tcPr>
          <w:p>
            <w:r>
              <w:rPr>
                <w:b/>
                <w:bCs/>
                <w:color w:val="1A1A1A"/>
                <w:sz w:val="13"/>
                <w:szCs w:val="13"/>
              </w:rPr>
              <w:t xml:space="preserve">{{DDS_REFERENCES}}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DDS Parts 1–11</w:t>
            </w:r>
          </w:p>
        </w:tc>
      </w:tr>
      <w:tr>
        <w:tc>
          <w:tcPr>
            <w:tcW w:type="dxa" w:w="2822"/>
            <w:tcMar>
              <w:top w:type="dxa" w:w="70"/>
              <w:left w:type="dxa" w:w="110"/>
              <w:bottom w:type="dxa" w:w="70"/>
              <w:right w:type="dxa" w:w="110"/>
            </w:tcMar>
            <w:vAlign w:val="top"/>
          </w:tcPr>
          <w:p>
            <w:r>
              <w:rPr>
                <w:b/>
                <w:bCs/>
                <w:color w:val="1A1A1A"/>
                <w:sz w:val="13"/>
                <w:szCs w:val="13"/>
              </w:rPr>
              <w:t xml:space="preserve">{{AIDS_REFERENCES}}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Not applicable to this Work Package</w:t>
            </w:r>
          </w:p>
        </w:tc>
      </w:tr>
      <w:tr>
        <w:tc>
          <w:tcPr>
            <w:tcW w:type="dxa" w:w="2822"/>
            <w:tcMar>
              <w:top w:type="dxa" w:w="70"/>
              <w:left w:type="dxa" w:w="110"/>
              <w:bottom w:type="dxa" w:w="70"/>
              <w:right w:type="dxa" w:w="110"/>
            </w:tcMar>
            <w:vAlign w:val="top"/>
          </w:tcPr>
          <w:p>
            <w:r>
              <w:rPr>
                <w:b/>
                <w:bCs/>
                <w:color w:val="1A1A1A"/>
                <w:sz w:val="13"/>
                <w:szCs w:val="13"/>
              </w:rPr>
              <w:t xml:space="preserve">{{DEPENDENCIES}}</w:t>
            </w:r>
          </w:p>
        </w:tc>
        <w:tc>
          <w:tcPr>
            <w:tcW w:type="dxa" w:w="7258"/>
            <w:tcMar>
              <w:top w:type="dxa" w:w="70"/>
              <w:left w:type="dxa" w:w="110"/>
              <w:bottom w:type="dxa" w:w="70"/>
              <w:right w:type="dxa" w:w="110"/>
            </w:tcMar>
            <w:vAlign w:val="top"/>
          </w:tcPr>
          <w:p>
            <w:r>
              <w:rPr>
                <w:b w:val="false"/>
                <w:bCs w:val="false"/>
                <w:color w:val="1A1A1A"/>
                <w:sz w:val="13"/>
                <w:szCs w:val="13"/>
              </w:rPr>
              <w:t xml:space="preserve">None — first Work Package in the sequence</w:t>
            </w:r>
          </w:p>
        </w:tc>
      </w:tr>
    </w:tbl>
    <w:p>
      <w:pPr>
        <w:pStyle w:val="Heading2"/>
        <w:spacing w:after="110" w:before="260"/>
      </w:pPr>
      <w:r>
        <w:rPr>
          <w:b/>
          <w:bCs/>
          <w:color w:val="97771F"/>
          <w:sz w:val="21"/>
          <w:szCs w:val="21"/>
        </w:rPr>
        <w:t xml:space="preserve">12.4.2  </w:t>
      </w:r>
      <w:r>
        <w:rPr>
          <w:b/>
          <w:bCs/>
          <w:color w:val="33363C"/>
          <w:sz w:val="21"/>
          <w:szCs w:val="21"/>
        </w:rPr>
        <w:t xml:space="preserve">Worked Example — WP-12</w:t>
      </w:r>
    </w:p>
    <w:p>
      <w:pPr>
        <w:spacing w:after="150" w:line="276"/>
        <w:jc w:val="both"/>
      </w:pPr>
      <w:r>
        <w:t xml:space="preserve">Substituting the template for a mid-programme, module-level Work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33363C" w:val="clear"/>
            <w:tcMar>
              <w:top w:type="dxa" w:w="70"/>
              <w:left w:type="dxa" w:w="110"/>
              <w:bottom w:type="dxa" w:w="70"/>
              <w:right w:type="dxa" w:w="110"/>
            </w:tcMar>
            <w:vAlign w:val="top"/>
          </w:tcPr>
          <w:p>
            <w:r>
              <w:rPr>
                <w:b/>
                <w:bCs/>
                <w:color w:val="FFFFFF"/>
                <w:sz w:val="17"/>
                <w:szCs w:val="17"/>
              </w:rPr>
              <w:t xml:space="preserve">Placeholder</w:t>
            </w:r>
          </w:p>
        </w:tc>
        <w:tc>
          <w:tcPr>
            <w:tcW w:type="dxa" w:w="7258"/>
            <w:shd w:fill="33363C" w:val="clear"/>
            <w:tcMar>
              <w:top w:type="dxa" w:w="70"/>
              <w:left w:type="dxa" w:w="110"/>
              <w:bottom w:type="dxa" w:w="70"/>
              <w:right w:type="dxa" w:w="110"/>
            </w:tcMar>
            <w:vAlign w:val="top"/>
          </w:tcPr>
          <w:p>
            <w:r>
              <w:rPr>
                <w:b/>
                <w:bCs/>
                <w:color w:val="FFFFFF"/>
                <w:sz w:val="17"/>
                <w:szCs w:val="17"/>
              </w:rPr>
              <w:t xml:space="preserve">Substitution</w:t>
            </w:r>
          </w:p>
        </w:tc>
      </w:tr>
      <w:tr>
        <w:tc>
          <w:tcPr>
            <w:tcW w:type="dxa" w:w="2822"/>
            <w:tcMar>
              <w:top w:type="dxa" w:w="70"/>
              <w:left w:type="dxa" w:w="110"/>
              <w:bottom w:type="dxa" w:w="70"/>
              <w:right w:type="dxa" w:w="110"/>
            </w:tcMar>
            <w:vAlign w:val="top"/>
          </w:tcPr>
          <w:p>
            <w:r>
              <w:rPr>
                <w:b/>
                <w:bCs/>
                <w:color w:val="1A1A1A"/>
                <w:sz w:val="13"/>
                <w:szCs w:val="13"/>
              </w:rPr>
              <w:t xml:space="preserve">{{WP_ID}} / {{WP_NAME}}</w:t>
            </w:r>
          </w:p>
        </w:tc>
        <w:tc>
          <w:tcPr>
            <w:tcW w:type="dxa" w:w="7258"/>
            <w:tcMar>
              <w:top w:type="dxa" w:w="70"/>
              <w:left w:type="dxa" w:w="110"/>
              <w:bottom w:type="dxa" w:w="70"/>
              <w:right w:type="dxa" w:w="110"/>
            </w:tcMar>
            <w:vAlign w:val="top"/>
          </w:tcPr>
          <w:p>
            <w:r>
              <w:rPr>
                <w:b w:val="false"/>
                <w:bCs w:val="false"/>
                <w:color w:val="1A1A1A"/>
                <w:sz w:val="13"/>
                <w:szCs w:val="13"/>
              </w:rPr>
              <w:t xml:space="preserve">WP-12 — Documents</w:t>
            </w:r>
          </w:p>
        </w:tc>
      </w:tr>
      <w:tr>
        <w:tc>
          <w:tcPr>
            <w:tcW w:type="dxa" w:w="2822"/>
            <w:tcMar>
              <w:top w:type="dxa" w:w="70"/>
              <w:left w:type="dxa" w:w="110"/>
              <w:bottom w:type="dxa" w:w="70"/>
              <w:right w:type="dxa" w:w="110"/>
            </w:tcMar>
            <w:vAlign w:val="top"/>
          </w:tcPr>
          <w:p>
            <w:r>
              <w:rPr>
                <w:b/>
                <w:bCs/>
                <w:color w:val="1A1A1A"/>
                <w:sz w:val="13"/>
                <w:szCs w:val="13"/>
              </w:rPr>
              <w:t xml:space="preserve">{{MEKB_PART}}</w:t>
            </w:r>
          </w:p>
        </w:tc>
        <w:tc>
          <w:tcPr>
            <w:tcW w:type="dxa" w:w="7258"/>
            <w:tcMar>
              <w:top w:type="dxa" w:w="70"/>
              <w:left w:type="dxa" w:w="110"/>
              <w:bottom w:type="dxa" w:w="70"/>
              <w:right w:type="dxa" w:w="110"/>
            </w:tcMar>
            <w:vAlign w:val="top"/>
          </w:tcPr>
          <w:p>
            <w:r>
              <w:rPr>
                <w:b w:val="false"/>
                <w:bCs w:val="false"/>
                <w:color w:val="1A1A1A"/>
                <w:sz w:val="13"/>
                <w:szCs w:val="13"/>
              </w:rPr>
              <w:t xml:space="preserve">Part 7, Section 7.2</w:t>
            </w:r>
          </w:p>
        </w:tc>
      </w:tr>
      <w:tr>
        <w:tc>
          <w:tcPr>
            <w:tcW w:type="dxa" w:w="2822"/>
            <w:tcMar>
              <w:top w:type="dxa" w:w="70"/>
              <w:left w:type="dxa" w:w="110"/>
              <w:bottom w:type="dxa" w:w="70"/>
              <w:right w:type="dxa" w:w="110"/>
            </w:tcMar>
            <w:vAlign w:val="top"/>
          </w:tcPr>
          <w:p>
            <w:r>
              <w:rPr>
                <w:b/>
                <w:bCs/>
                <w:color w:val="1A1A1A"/>
                <w:sz w:val="13"/>
                <w:szCs w:val="13"/>
              </w:rPr>
              <w:t xml:space="preserve">{{PRIMARY_DOMAIN}}</w:t>
            </w:r>
          </w:p>
        </w:tc>
        <w:tc>
          <w:tcPr>
            <w:tcW w:type="dxa" w:w="7258"/>
            <w:tcMar>
              <w:top w:type="dxa" w:w="70"/>
              <w:left w:type="dxa" w:w="110"/>
              <w:bottom w:type="dxa" w:w="70"/>
              <w:right w:type="dxa" w:w="110"/>
            </w:tcMar>
            <w:vAlign w:val="top"/>
          </w:tcPr>
          <w:p>
            <w:r>
              <w:rPr>
                <w:b w:val="false"/>
                <w:bCs w:val="false"/>
                <w:color w:val="1A1A1A"/>
                <w:sz w:val="13"/>
                <w:szCs w:val="13"/>
              </w:rPr>
              <w:t xml:space="preserve">Backend Engineering (Part 2, Section 2.1)</w:t>
            </w:r>
          </w:p>
        </w:tc>
      </w:tr>
      <w:tr>
        <w:tc>
          <w:tcPr>
            <w:tcW w:type="dxa" w:w="2822"/>
            <w:tcMar>
              <w:top w:type="dxa" w:w="70"/>
              <w:left w:type="dxa" w:w="110"/>
              <w:bottom w:type="dxa" w:w="70"/>
              <w:right w:type="dxa" w:w="110"/>
            </w:tcMar>
            <w:vAlign w:val="top"/>
          </w:tcPr>
          <w:p>
            <w:r>
              <w:rPr>
                <w:b/>
                <w:bCs/>
                <w:color w:val="1A1A1A"/>
                <w:sz w:val="13"/>
                <w:szCs w:val="13"/>
              </w:rPr>
              <w:t xml:space="preserve">{{MODULE_NAME}}</w:t>
            </w:r>
          </w:p>
        </w:tc>
        <w:tc>
          <w:tcPr>
            <w:tcW w:type="dxa" w:w="7258"/>
            <w:tcMar>
              <w:top w:type="dxa" w:w="70"/>
              <w:left w:type="dxa" w:w="110"/>
              <w:bottom w:type="dxa" w:w="70"/>
              <w:right w:type="dxa" w:w="110"/>
            </w:tcMar>
            <w:vAlign w:val="top"/>
          </w:tcPr>
          <w:p>
            <w:r>
              <w:rPr>
                <w:b w:val="false"/>
                <w:bCs w:val="false"/>
                <w:color w:val="1A1A1A"/>
                <w:sz w:val="13"/>
                <w:szCs w:val="13"/>
              </w:rPr>
              <w:t xml:space="preserve">Documents (Part 3, Section 3.9)</w:t>
            </w:r>
          </w:p>
        </w:tc>
      </w:tr>
      <w:tr>
        <w:tc>
          <w:tcPr>
            <w:tcW w:type="dxa" w:w="2822"/>
            <w:tcMar>
              <w:top w:type="dxa" w:w="70"/>
              <w:left w:type="dxa" w:w="110"/>
              <w:bottom w:type="dxa" w:w="70"/>
              <w:right w:type="dxa" w:w="110"/>
            </w:tcMar>
            <w:vAlign w:val="top"/>
          </w:tcPr>
          <w:p>
            <w:r>
              <w:rPr>
                <w:b/>
                <w:bCs/>
                <w:color w:val="1A1A1A"/>
                <w:sz w:val="13"/>
                <w:szCs w:val="13"/>
              </w:rPr>
              <w:t xml:space="preserve">{{SRS_REFERENCES}}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SRS Part 11 (Documents module); SRS Part 30 (Database Requirements, size limits)</w:t>
            </w:r>
          </w:p>
        </w:tc>
      </w:tr>
      <w:tr>
        <w:tc>
          <w:tcPr>
            <w:tcW w:type="dxa" w:w="2822"/>
            <w:tcMar>
              <w:top w:type="dxa" w:w="70"/>
              <w:left w:type="dxa" w:w="110"/>
              <w:bottom w:type="dxa" w:w="70"/>
              <w:right w:type="dxa" w:w="110"/>
            </w:tcMar>
            <w:vAlign w:val="top"/>
          </w:tcPr>
          <w:p>
            <w:r>
              <w:rPr>
                <w:b/>
                <w:bCs/>
                <w:color w:val="1A1A1A"/>
                <w:sz w:val="13"/>
                <w:szCs w:val="13"/>
              </w:rPr>
              <w:t xml:space="preserve">{{DDS_REFERENCES}}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DDS Part 3 (Entity Catalogue); DDS Part 11 (Security Model, encryption at rest)</w:t>
            </w:r>
          </w:p>
        </w:tc>
      </w:tr>
      <w:tr>
        <w:tc>
          <w:tcPr>
            <w:tcW w:type="dxa" w:w="2822"/>
            <w:tcMar>
              <w:top w:type="dxa" w:w="70"/>
              <w:left w:type="dxa" w:w="110"/>
              <w:bottom w:type="dxa" w:w="70"/>
              <w:right w:type="dxa" w:w="110"/>
            </w:tcMar>
            <w:vAlign w:val="top"/>
          </w:tcPr>
          <w:p>
            <w:r>
              <w:rPr>
                <w:b/>
                <w:bCs/>
                <w:color w:val="1A1A1A"/>
                <w:sz w:val="13"/>
                <w:szCs w:val="13"/>
              </w:rPr>
              <w:t xml:space="preserve">{{AIDS_REFERENCES}}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Not directly referenced — Documents exposes endpoints via the Backend Engineering domain pattern established in WP-02</w:t>
            </w:r>
          </w:p>
        </w:tc>
      </w:tr>
      <w:tr>
        <w:tc>
          <w:tcPr>
            <w:tcW w:type="dxa" w:w="2822"/>
            <w:tcMar>
              <w:top w:type="dxa" w:w="70"/>
              <w:left w:type="dxa" w:w="110"/>
              <w:bottom w:type="dxa" w:w="70"/>
              <w:right w:type="dxa" w:w="110"/>
            </w:tcMar>
            <w:vAlign w:val="top"/>
          </w:tcPr>
          <w:p>
            <w:r>
              <w:rPr>
                <w:b/>
                <w:bCs/>
                <w:color w:val="1A1A1A"/>
                <w:sz w:val="13"/>
                <w:szCs w:val="13"/>
              </w:rPr>
              <w:t xml:space="preserve">{{DEPENDENCIES}}</w:t>
            </w:r>
          </w:p>
        </w:tc>
        <w:tc>
          <w:tcPr>
            <w:tcW w:type="dxa" w:w="7258"/>
            <w:tcMar>
              <w:top w:type="dxa" w:w="70"/>
              <w:left w:type="dxa" w:w="110"/>
              <w:bottom w:type="dxa" w:w="70"/>
              <w:right w:type="dxa" w:w="110"/>
            </w:tcMar>
            <w:vAlign w:val="top"/>
          </w:tcPr>
          <w:p>
            <w:r>
              <w:rPr>
                <w:b w:val="false"/>
                <w:bCs w:val="false"/>
                <w:color w:val="1A1A1A"/>
                <w:sz w:val="13"/>
                <w:szCs w:val="13"/>
              </w:rPr>
              <w:t xml:space="preserve">WP-05 (Security &amp; Access Control); WP-11 (Approvals, for release gating)</w:t>
            </w:r>
          </w:p>
        </w:tc>
      </w:tr>
    </w:tbl>
    <w:p>
      <w:pPr>
        <w:pStyle w:val="Heading2"/>
        <w:spacing w:after="110" w:before="260"/>
      </w:pPr>
      <w:r>
        <w:rPr>
          <w:b/>
          <w:bCs/>
          <w:color w:val="97771F"/>
          <w:sz w:val="21"/>
          <w:szCs w:val="21"/>
        </w:rPr>
        <w:t xml:space="preserve">12.4.3  </w:t>
      </w:r>
      <w:r>
        <w:rPr>
          <w:b/>
          <w:bCs/>
          <w:color w:val="33363C"/>
          <w:sz w:val="21"/>
          <w:szCs w:val="21"/>
        </w:rPr>
        <w:t xml:space="preserve">Worked Example — WP-23</w:t>
      </w:r>
    </w:p>
    <w:p>
      <w:pPr>
        <w:spacing w:after="150" w:line="276"/>
        <w:jc w:val="both"/>
      </w:pPr>
      <w:r>
        <w:t xml:space="preserve">Substituting the template for the AI Assistant Work Package illustrates how the template scales to a more complex, cross-domain Work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33363C" w:val="clear"/>
            <w:tcMar>
              <w:top w:type="dxa" w:w="70"/>
              <w:left w:type="dxa" w:w="110"/>
              <w:bottom w:type="dxa" w:w="70"/>
              <w:right w:type="dxa" w:w="110"/>
            </w:tcMar>
            <w:vAlign w:val="top"/>
          </w:tcPr>
          <w:p>
            <w:r>
              <w:rPr>
                <w:b/>
                <w:bCs/>
                <w:color w:val="FFFFFF"/>
                <w:sz w:val="17"/>
                <w:szCs w:val="17"/>
              </w:rPr>
              <w:t xml:space="preserve">Placeholder</w:t>
            </w:r>
          </w:p>
        </w:tc>
        <w:tc>
          <w:tcPr>
            <w:tcW w:type="dxa" w:w="7258"/>
            <w:shd w:fill="33363C" w:val="clear"/>
            <w:tcMar>
              <w:top w:type="dxa" w:w="70"/>
              <w:left w:type="dxa" w:w="110"/>
              <w:bottom w:type="dxa" w:w="70"/>
              <w:right w:type="dxa" w:w="110"/>
            </w:tcMar>
            <w:vAlign w:val="top"/>
          </w:tcPr>
          <w:p>
            <w:r>
              <w:rPr>
                <w:b/>
                <w:bCs/>
                <w:color w:val="FFFFFF"/>
                <w:sz w:val="17"/>
                <w:szCs w:val="17"/>
              </w:rPr>
              <w:t xml:space="preserve">Substitution</w:t>
            </w:r>
          </w:p>
        </w:tc>
      </w:tr>
      <w:tr>
        <w:tc>
          <w:tcPr>
            <w:tcW w:type="dxa" w:w="2822"/>
            <w:tcMar>
              <w:top w:type="dxa" w:w="70"/>
              <w:left w:type="dxa" w:w="110"/>
              <w:bottom w:type="dxa" w:w="70"/>
              <w:right w:type="dxa" w:w="110"/>
            </w:tcMar>
            <w:vAlign w:val="top"/>
          </w:tcPr>
          <w:p>
            <w:r>
              <w:rPr>
                <w:b/>
                <w:bCs/>
                <w:color w:val="1A1A1A"/>
                <w:sz w:val="13"/>
                <w:szCs w:val="13"/>
              </w:rPr>
              <w:t xml:space="preserve">{{WP_ID}} / {{WP_NAME}}</w:t>
            </w:r>
          </w:p>
        </w:tc>
        <w:tc>
          <w:tcPr>
            <w:tcW w:type="dxa" w:w="7258"/>
            <w:tcMar>
              <w:top w:type="dxa" w:w="70"/>
              <w:left w:type="dxa" w:w="110"/>
              <w:bottom w:type="dxa" w:w="70"/>
              <w:right w:type="dxa" w:w="110"/>
            </w:tcMar>
            <w:vAlign w:val="top"/>
          </w:tcPr>
          <w:p>
            <w:r>
              <w:rPr>
                <w:b w:val="false"/>
                <w:bCs w:val="false"/>
                <w:color w:val="1A1A1A"/>
                <w:sz w:val="13"/>
                <w:szCs w:val="13"/>
              </w:rPr>
              <w:t xml:space="preserve">WP-23 — AI Assistant</w:t>
            </w:r>
          </w:p>
        </w:tc>
      </w:tr>
      <w:tr>
        <w:tc>
          <w:tcPr>
            <w:tcW w:type="dxa" w:w="2822"/>
            <w:tcMar>
              <w:top w:type="dxa" w:w="70"/>
              <w:left w:type="dxa" w:w="110"/>
              <w:bottom w:type="dxa" w:w="70"/>
              <w:right w:type="dxa" w:w="110"/>
            </w:tcMar>
            <w:vAlign w:val="top"/>
          </w:tcPr>
          <w:p>
            <w:r>
              <w:rPr>
                <w:b/>
                <w:bCs/>
                <w:color w:val="1A1A1A"/>
                <w:sz w:val="13"/>
                <w:szCs w:val="13"/>
              </w:rPr>
              <w:t xml:space="preserve">{{MEKB_PART}}</w:t>
            </w:r>
          </w:p>
        </w:tc>
        <w:tc>
          <w:tcPr>
            <w:tcW w:type="dxa" w:w="7258"/>
            <w:tcMar>
              <w:top w:type="dxa" w:w="70"/>
              <w:left w:type="dxa" w:w="110"/>
              <w:bottom w:type="dxa" w:w="70"/>
              <w:right w:type="dxa" w:w="110"/>
            </w:tcMar>
            <w:vAlign w:val="top"/>
          </w:tcPr>
          <w:p>
            <w:r>
              <w:rPr>
                <w:b w:val="false"/>
                <w:bCs w:val="false"/>
                <w:color w:val="1A1A1A"/>
                <w:sz w:val="13"/>
                <w:szCs w:val="13"/>
              </w:rPr>
              <w:t xml:space="preserve">Part 8, Section 8.8</w:t>
            </w:r>
          </w:p>
        </w:tc>
      </w:tr>
      <w:tr>
        <w:tc>
          <w:tcPr>
            <w:tcW w:type="dxa" w:w="2822"/>
            <w:tcMar>
              <w:top w:type="dxa" w:w="70"/>
              <w:left w:type="dxa" w:w="110"/>
              <w:bottom w:type="dxa" w:w="70"/>
              <w:right w:type="dxa" w:w="110"/>
            </w:tcMar>
            <w:vAlign w:val="top"/>
          </w:tcPr>
          <w:p>
            <w:r>
              <w:rPr>
                <w:b/>
                <w:bCs/>
                <w:color w:val="1A1A1A"/>
                <w:sz w:val="13"/>
                <w:szCs w:val="13"/>
              </w:rPr>
              <w:t xml:space="preserve">{{PRIMARY_DOMAIN}}</w:t>
            </w:r>
          </w:p>
        </w:tc>
        <w:tc>
          <w:tcPr>
            <w:tcW w:type="dxa" w:w="7258"/>
            <w:tcMar>
              <w:top w:type="dxa" w:w="70"/>
              <w:left w:type="dxa" w:w="110"/>
              <w:bottom w:type="dxa" w:w="70"/>
              <w:right w:type="dxa" w:w="110"/>
            </w:tcMar>
            <w:vAlign w:val="top"/>
          </w:tcPr>
          <w:p>
            <w:r>
              <w:rPr>
                <w:b w:val="false"/>
                <w:bCs w:val="false"/>
                <w:color w:val="1A1A1A"/>
                <w:sz w:val="13"/>
                <w:szCs w:val="13"/>
              </w:rPr>
              <w:t xml:space="preserve">AI &amp; Knowledge Management Engineering (Part 2, Section 2.6)</w:t>
            </w:r>
          </w:p>
        </w:tc>
      </w:tr>
      <w:tr>
        <w:tc>
          <w:tcPr>
            <w:tcW w:type="dxa" w:w="2822"/>
            <w:tcMar>
              <w:top w:type="dxa" w:w="70"/>
              <w:left w:type="dxa" w:w="110"/>
              <w:bottom w:type="dxa" w:w="70"/>
              <w:right w:type="dxa" w:w="110"/>
            </w:tcMar>
            <w:vAlign w:val="top"/>
          </w:tcPr>
          <w:p>
            <w:r>
              <w:rPr>
                <w:b/>
                <w:bCs/>
                <w:color w:val="1A1A1A"/>
                <w:sz w:val="13"/>
                <w:szCs w:val="13"/>
              </w:rPr>
              <w:t xml:space="preserve">{{MODULE_NAME}}</w:t>
            </w:r>
          </w:p>
        </w:tc>
        <w:tc>
          <w:tcPr>
            <w:tcW w:type="dxa" w:w="7258"/>
            <w:tcMar>
              <w:top w:type="dxa" w:w="70"/>
              <w:left w:type="dxa" w:w="110"/>
              <w:bottom w:type="dxa" w:w="70"/>
              <w:right w:type="dxa" w:w="110"/>
            </w:tcMar>
            <w:vAlign w:val="top"/>
          </w:tcPr>
          <w:p>
            <w:r>
              <w:rPr>
                <w:b w:val="false"/>
                <w:bCs w:val="false"/>
                <w:color w:val="1A1A1A"/>
                <w:sz w:val="13"/>
                <w:szCs w:val="13"/>
              </w:rPr>
              <w:t xml:space="preserve">AI Assistant (Part 3, Section 3.20)</w:t>
            </w:r>
          </w:p>
        </w:tc>
      </w:tr>
      <w:tr>
        <w:tc>
          <w:tcPr>
            <w:tcW w:type="dxa" w:w="2822"/>
            <w:tcMar>
              <w:top w:type="dxa" w:w="70"/>
              <w:left w:type="dxa" w:w="110"/>
              <w:bottom w:type="dxa" w:w="70"/>
              <w:right w:type="dxa" w:w="110"/>
            </w:tcMar>
            <w:vAlign w:val="top"/>
          </w:tcPr>
          <w:p>
            <w:r>
              <w:rPr>
                <w:b/>
                <w:bCs/>
                <w:color w:val="1A1A1A"/>
                <w:sz w:val="13"/>
                <w:szCs w:val="13"/>
              </w:rPr>
              <w:t xml:space="preserve">{{SRS_REFERENCES}}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SRS Part 22 (AI Assistant module, Phase 2)</w:t>
            </w:r>
          </w:p>
        </w:tc>
      </w:tr>
      <w:tr>
        <w:tc>
          <w:tcPr>
            <w:tcW w:type="dxa" w:w="2822"/>
            <w:tcMar>
              <w:top w:type="dxa" w:w="70"/>
              <w:left w:type="dxa" w:w="110"/>
              <w:bottom w:type="dxa" w:w="70"/>
              <w:right w:type="dxa" w:w="110"/>
            </w:tcMar>
            <w:vAlign w:val="top"/>
          </w:tcPr>
          <w:p>
            <w:r>
              <w:rPr>
                <w:b/>
                <w:bCs/>
                <w:color w:val="1A1A1A"/>
                <w:sz w:val="13"/>
                <w:szCs w:val="13"/>
              </w:rPr>
              <w:t xml:space="preserve">{{DDS_REFERENCES}}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DDS Part 12 (Search &amp; Metadata Model)</w:t>
            </w:r>
          </w:p>
        </w:tc>
      </w:tr>
      <w:tr>
        <w:tc>
          <w:tcPr>
            <w:tcW w:type="dxa" w:w="2822"/>
            <w:tcMar>
              <w:top w:type="dxa" w:w="70"/>
              <w:left w:type="dxa" w:w="110"/>
              <w:bottom w:type="dxa" w:w="70"/>
              <w:right w:type="dxa" w:w="110"/>
            </w:tcMar>
            <w:vAlign w:val="top"/>
          </w:tcPr>
          <w:p>
            <w:r>
              <w:rPr>
                <w:b/>
                <w:bCs/>
                <w:color w:val="1A1A1A"/>
                <w:sz w:val="13"/>
                <w:szCs w:val="13"/>
              </w:rPr>
              <w:t xml:space="preserve">{{AIDS_REFERENCES}}</w:t>
            </w:r>
          </w:p>
        </w:tc>
        <w:tc>
          <w:tcPr>
            <w:tcW w:type="dxa" w:w="7258"/>
            <w:tcMar>
              <w:top w:type="dxa" w:w="70"/>
              <w:left w:type="dxa" w:w="110"/>
              <w:bottom w:type="dxa" w:w="70"/>
              <w:right w:type="dxa" w:w="110"/>
            </w:tcMar>
            <w:vAlign w:val="top"/>
          </w:tcPr>
          <w:p>
            <w:r>
              <w:rPr>
                <w:b w:val="false"/>
                <w:bCs w:val="false"/>
                <w:color w:val="1A1A1A"/>
                <w:sz w:val="13"/>
                <w:szCs w:val="13"/>
              </w:rPr>
              <w:t xml:space="preserve">AIDS Part 12 (Search &amp; AI APIs)</w:t>
            </w:r>
          </w:p>
        </w:tc>
      </w:tr>
      <w:tr>
        <w:tc>
          <w:tcPr>
            <w:tcW w:type="dxa" w:w="2822"/>
            <w:tcMar>
              <w:top w:type="dxa" w:w="70"/>
              <w:left w:type="dxa" w:w="110"/>
              <w:bottom w:type="dxa" w:w="70"/>
              <w:right w:type="dxa" w:w="110"/>
            </w:tcMar>
            <w:vAlign w:val="top"/>
          </w:tcPr>
          <w:p>
            <w:r>
              <w:rPr>
                <w:b/>
                <w:bCs/>
                <w:color w:val="1A1A1A"/>
                <w:sz w:val="13"/>
                <w:szCs w:val="13"/>
              </w:rPr>
              <w:t xml:space="preserve">{{DEPENDENCIES}}</w:t>
            </w:r>
          </w:p>
        </w:tc>
        <w:tc>
          <w:tcPr>
            <w:tcW w:type="dxa" w:w="7258"/>
            <w:tcMar>
              <w:top w:type="dxa" w:w="70"/>
              <w:left w:type="dxa" w:w="110"/>
              <w:bottom w:type="dxa" w:w="70"/>
              <w:right w:type="dxa" w:w="110"/>
            </w:tcMar>
            <w:vAlign w:val="top"/>
          </w:tcPr>
          <w:p>
            <w:r>
              <w:rPr>
                <w:b w:val="false"/>
                <w:bCs w:val="false"/>
                <w:color w:val="1A1A1A"/>
                <w:sz w:val="13"/>
                <w:szCs w:val="13"/>
              </w:rPr>
              <w:t xml:space="preserve">WP-13 (Knowledge Repository), WP-15 (Search), WP-05 (Security &amp; Access Control)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AE0" w:sz="2"/>
              <w:left w:val="single" w:color="97771F" w:sz="24"/>
              <w:bottom w:val="single" w:color="EFEAE0" w:sz="2"/>
              <w:right w:val="single" w:color="EFEAE0" w:sz="2"/>
            </w:tcBorders>
            <w:shd w:fill="EFEAE0" w:val="clear"/>
            <w:tcMar>
              <w:top w:type="dxa" w:w="120"/>
              <w:left w:type="dxa" w:w="180"/>
              <w:bottom w:type="dxa" w:w="120"/>
              <w:right w:type="dxa" w:w="180"/>
            </w:tcMar>
          </w:tcPr>
          <w:p>
            <w:pPr>
              <w:spacing w:after="60"/>
            </w:pPr>
            <w:r>
              <w:rPr>
                <w:b/>
                <w:bCs/>
                <w:color w:val="97771F"/>
                <w:sz w:val="17"/>
                <w:szCs w:val="17"/>
              </w:rPr>
              <w:t xml:space="preserve">RECOMMENDATION</w:t>
            </w:r>
          </w:p>
          <w:p>
            <w:pPr>
              <w:spacing w:after="0"/>
            </w:pPr>
            <w:r>
              <w:rPr>
                <w:sz w:val="18"/>
                <w:szCs w:val="18"/>
              </w:rPr>
              <w:t xml:space="preserve">For any Work Package not shown as a worked example, populate the eight placeholders directly from that Work Package's own specification fields in MEKB Parts 5–8 — every field required by the template already exists in every Work Package by construction.</w:t>
            </w:r>
          </w:p>
        </w:tc>
      </w:tr>
    </w:tbl>
    <w:p>
      <w:pPr>
        <w:pStyle w:val="Heading1"/>
        <w:pBdr>
          <w:bottom w:val="single" w:color="DAD3C0" w:sz="4" w:space="4"/>
        </w:pBdr>
        <w:spacing w:after="140" w:before="360"/>
      </w:pPr>
      <w:r>
        <w:rPr>
          <w:b/>
          <w:bCs/>
          <w:color w:val="97771F"/>
          <w:sz w:val="26"/>
          <w:szCs w:val="26"/>
        </w:rPr>
        <w:t xml:space="preserve">12.5  </w:t>
      </w:r>
      <w:r>
        <w:rPr>
          <w:b/>
          <w:bCs/>
          <w:color w:val="33363C"/>
          <w:sz w:val="26"/>
          <w:szCs w:val="26"/>
        </w:rPr>
        <w:t xml:space="preserve">Prompt Chaining Across a Sprint</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Explain how the Master Prompt is used across an entire sprint rather than a single Work Package.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Antigravity and the Scrum Master a repeatable pattern for multi-Work-Package sprints (e.g., Sprint 2, Sprint 10, Sprint 13–15).</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Where a sprint carries more than one Work Package, each is executed with its own instance of the Master Prompt — Work Packages are never merged into a single prompt.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independently auditable execution even when a sprint delivers multiple Work Packages in parallel.</w:t>
            </w:r>
          </w:p>
        </w:tc>
      </w:tr>
    </w:tbl>
    <w:p>
      <w:pPr>
        <w:spacing w:after="160"/>
      </w:pPr>
    </w:p>
    <w:p>
      <w:pPr>
        <w:spacing w:after="150" w:line="276"/>
        <w:jc w:val="both"/>
      </w:pPr>
      <w:r>
        <w:t xml:space="preserve">Several sprints in the Sprint Roadmap (MEKB Part 9) carry two Work Packages executed in parallel — for example, Sprint 2 (WP-02, WP-03) or Sprint 10 (WP-12, WP-14). In every such case, Antigravity should receive one fully-populated instance of the Master Prompt per Work Package, run as independent execution threads. This preserves independent traceability, independent Definition of Done validation, and independent ADR records per Work Package, consistent with the 'independently implementable' requirement established for every Work Package in Part 4.</w:t>
      </w:r>
    </w:p>
    <w:p>
      <w:pPr>
        <w:pStyle w:val="Heading1"/>
        <w:pBdr>
          <w:bottom w:val="single" w:color="DAD3C0" w:sz="4" w:space="4"/>
        </w:pBdr>
        <w:spacing w:after="140" w:before="360"/>
      </w:pPr>
      <w:r>
        <w:rPr>
          <w:b/>
          <w:bCs/>
          <w:color w:val="97771F"/>
          <w:sz w:val="26"/>
          <w:szCs w:val="26"/>
        </w:rPr>
        <w:t xml:space="preserve">12.6  </w:t>
      </w:r>
      <w:r>
        <w:rPr>
          <w:b/>
          <w:bCs/>
          <w:color w:val="33363C"/>
          <w:sz w:val="26"/>
          <w:szCs w:val="26"/>
        </w:rPr>
        <w:t xml:space="preserve">Summary and Bridge to Part 13</w:t>
      </w:r>
    </w:p>
    <w:p>
      <w:pPr>
        <w:spacing w:after="150" w:line="276"/>
        <w:jc w:val="both"/>
      </w:pPr>
      <w:r>
        <w:t xml:space="preserve">This Part provided the Master Work Package Execution Prompt, its placeholder reference, three worked examples spanning a foundational, a mid-programme, and a Phase 2 Work Package, and guidance on chaining the prompt across multi-Work-Package sprints.</w:t>
      </w:r>
    </w:p>
    <w:p>
      <w:pPr>
        <w:spacing w:after="150" w:line="276"/>
        <w:jc w:val="both"/>
      </w:pPr>
      <w:r>
        <w:t xml:space="preserve">Part 13 — Engineering Execution Playbook — operationalizes this prompt and every other artifact in Parts 1 through 12 into a concrete, day-to-day execution playbook: how a sprint actually runs, how a Work Package moves from backlog to done, and how Antigravity and human engineers collaborate throughout.</w:t>
      </w:r>
    </w:p>
    <w:p>
      <w:pPr>
        <w:pStyle w:val="Heading2"/>
        <w:spacing w:after="110" w:before="260"/>
      </w:pPr>
      <w:r>
        <w:rPr>
          <w:b/>
          <w:bCs/>
          <w:color w:val="97771F"/>
          <w:sz w:val="21"/>
          <w:szCs w:val="21"/>
        </w:rPr>
        <w:t xml:space="preserve">12.6.1  </w:t>
      </w:r>
      <w:r>
        <w:rPr>
          <w:b/>
          <w:bCs/>
          <w:color w:val="33363C"/>
          <w:sz w:val="21"/>
          <w:szCs w:val="21"/>
        </w:rPr>
        <w:t xml:space="preserve">Key Takeaways</w:t>
      </w:r>
    </w:p>
    <w:p>
      <w:pPr>
        <w:pStyle w:val="ListParagraph"/>
        <w:numPr>
          <w:ilvl w:val="0"/>
          <w:numId w:val="1"/>
        </w:numPr>
        <w:spacing w:after="90" w:line="264"/>
      </w:pPr>
      <w:r>
        <w:t xml:space="preserve">One Master Prompt template covers all twenty-five Work Packages — no bespoke prompting is required.</w:t>
      </w:r>
    </w:p>
    <w:p>
      <w:pPr>
        <w:pStyle w:val="ListParagraph"/>
        <w:numPr>
          <w:ilvl w:val="0"/>
          <w:numId w:val="1"/>
        </w:numPr>
        <w:spacing w:after="90" w:line="264"/>
      </w:pPr>
      <w:r>
        <w:t xml:space="preserve">Every placeholder resolves directly to a field already fixed in the target Work Package's specification.</w:t>
      </w:r>
    </w:p>
    <w:p>
      <w:pPr>
        <w:pStyle w:val="ListParagraph"/>
        <w:numPr>
          <w:ilvl w:val="0"/>
          <w:numId w:val="1"/>
        </w:numPr>
        <w:spacing w:after="90" w:line="264"/>
      </w:pPr>
      <w:r>
        <w:t xml:space="preserve">Parallel Work Packages within a sprint are always executed as independent prompt instances, never merged.</w:t>
      </w:r>
    </w:p>
    <w:p>
      <w:pPr>
        <w:pStyle w:val="Heading2"/>
        <w:spacing w:after="110" w:before="260"/>
      </w:pPr>
      <w:r>
        <w:rPr>
          <w:b/>
          <w:bCs/>
          <w:color w:val="97771F"/>
          <w:sz w:val="21"/>
          <w:szCs w:val="21"/>
        </w:rPr>
        <w:t xml:space="preserve">12.6.2  </w:t>
      </w:r>
      <w:r>
        <w:rPr>
          <w:b/>
          <w:bCs/>
          <w:color w:val="33363C"/>
          <w:sz w:val="21"/>
          <w:szCs w:val="21"/>
        </w:rPr>
        <w:t xml:space="preserve">Related Parts</w:t>
      </w:r>
    </w:p>
    <w:p>
      <w:pPr>
        <w:pStyle w:val="ListParagraph"/>
        <w:numPr>
          <w:ilvl w:val="0"/>
          <w:numId w:val="1"/>
        </w:numPr>
        <w:spacing w:after="90" w:line="264"/>
      </w:pPr>
      <w:r>
        <w:t xml:space="preserve">MEKB Part 5–8 — Engineering Work Packages 01–25</w:t>
      </w:r>
    </w:p>
    <w:p>
      <w:pPr>
        <w:pStyle w:val="ListParagraph"/>
        <w:numPr>
          <w:ilvl w:val="0"/>
          <w:numId w:val="1"/>
        </w:numPr>
        <w:spacing w:after="90" w:line="264"/>
      </w:pPr>
      <w:r>
        <w:t xml:space="preserve">MEKB Part 11 — Work Package Dependency Matrix</w:t>
      </w:r>
    </w:p>
    <w:p>
      <w:pPr>
        <w:pStyle w:val="ListParagraph"/>
        <w:numPr>
          <w:ilvl w:val="0"/>
          <w:numId w:val="1"/>
        </w:numPr>
        <w:spacing w:after="90" w:line="264"/>
      </w:pPr>
      <w:r>
        <w:t xml:space="preserve">MEKB Part 13 — Engineering Execution Playbook</w:t>
      </w:r>
    </w:p>
    <w:p>
      <w:pPr>
        <w:pStyle w:val="ListParagraph"/>
        <w:numPr>
          <w:ilvl w:val="0"/>
          <w:numId w:val="1"/>
        </w:numPr>
        <w:spacing w:after="90" w:line="264"/>
      </w:pPr>
      <w:r>
        <w:t xml:space="preserve">Engineering Handbook Chapter 23 — Antigravity Operating Instructions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2026-07-20T14:08:35.135Z</dcterms:created>
  <dcterms:modified xsi:type="dcterms:W3CDTF">2026-07-20T14:08:35.135Z</dcterms:modified>
</cp:coreProperties>
</file>

<file path=docProps/custom.xml><?xml version="1.0" encoding="utf-8"?>
<Properties xmlns="http://schemas.openxmlformats.org/officeDocument/2006/custom-properties" xmlns:vt="http://schemas.openxmlformats.org/officeDocument/2006/docPropsVTypes"/>
</file>