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13</w:t>
      </w:r>
    </w:p>
    <w:p>
      <w:pPr>
        <w:pBdr>
          <w:bottom w:val="single" w:color="33363C" w:sz="14" w:space="10"/>
        </w:pBdr>
        <w:spacing w:after="160"/>
        <w:jc w:val="center"/>
      </w:pPr>
      <w:r>
        <w:rPr>
          <w:b/>
          <w:bCs/>
          <w:color w:val="1C1E21"/>
          <w:sz w:val="40"/>
          <w:szCs w:val="40"/>
        </w:rPr>
        <w:t xml:space="preserve">Engineering Execution Playbook</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13</w:t>
      </w:r>
    </w:p>
    <w:p>
      <w:pPr>
        <w:pBdr>
          <w:bottom w:val="single" w:color="33363C" w:sz="12" w:space="8"/>
        </w:pBdr>
        <w:spacing w:after="200"/>
        <w:jc w:val="left"/>
      </w:pPr>
      <w:r>
        <w:rPr>
          <w:b/>
          <w:bCs/>
          <w:color w:val="1C1E21"/>
          <w:sz w:val="44"/>
          <w:szCs w:val="44"/>
        </w:rPr>
        <w:t xml:space="preserve">Engineering Execution Playbook</w:t>
      </w:r>
    </w:p>
    <w:p>
      <w:pPr>
        <w:spacing w:after="90" w:before="180"/>
      </w:pPr>
      <w:r>
        <w:rPr>
          <w:b/>
          <w:bCs/>
          <w:color w:val="1C1E21"/>
          <w:sz w:val="19"/>
          <w:szCs w:val="19"/>
        </w:rPr>
        <w:t xml:space="preserve">Part Overview</w:t>
      </w:r>
    </w:p>
    <w:p>
      <w:pPr>
        <w:spacing w:after="150" w:line="276"/>
        <w:jc w:val="both"/>
      </w:pPr>
      <w:r>
        <w:t xml:space="preserve">Parts 1 through 12 established what to build, in what order, and how to instruct Antigravity to build any single Work Package. This Part operationalizes that knowledge into the day-to-day mechanics of running a sprint: how a Work Package actually moves from the backlog to Done, how code is branched, reviewed, and merged, how Antigravity and human engineers hand work back and forth, how blockers are escalated, how code is promoted between environments, and how a defect discovered mid-sprint is handled.</w:t>
      </w:r>
    </w:p>
    <w:p>
      <w:pPr>
        <w:spacing w:after="150" w:line="276"/>
        <w:jc w:val="both"/>
      </w:pPr>
      <w:r>
        <w:t xml:space="preserve">Nothing in this Part introduces new engineering standards. It sequences and operationalizes standards already established in the Engineering Handbook — principally Chapters 15, 18 through 23 — against the specific artifacts defined in MEKB Parts 1 through 12.</w:t>
      </w:r>
    </w:p>
    <w:p>
      <w:pPr>
        <w:pStyle w:val="Heading1"/>
        <w:pBdr>
          <w:bottom w:val="single" w:color="DAD3C0" w:sz="4" w:space="4"/>
        </w:pBdr>
        <w:spacing w:after="140" w:before="360"/>
      </w:pPr>
      <w:r>
        <w:rPr>
          <w:b/>
          <w:bCs/>
          <w:color w:val="97771F"/>
          <w:sz w:val="26"/>
          <w:szCs w:val="26"/>
        </w:rPr>
        <w:t xml:space="preserve">13.1  </w:t>
      </w:r>
      <w:r>
        <w:rPr>
          <w:b/>
          <w:bCs/>
          <w:color w:val="33363C"/>
          <w:sz w:val="26"/>
          <w:szCs w:val="26"/>
        </w:rPr>
        <w:t xml:space="preserve">Purpose and How to Use This Playbook</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Give every engineer and Antigravity session a single, concrete reference for how work actually happens sprint to sprint.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onboarding time for new engineers and prevents process drift across a multi-year, multi-team engagement.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Playbook is procedural, not architectural — it assumes the reader already knows what to build (Parts 1–10) and answers only how the work gets done.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Any engineer or Antigravity session, on any day of the programme, can answer 'what do I do right now' from this Part alone.</w:t>
            </w:r>
          </w:p>
        </w:tc>
      </w:tr>
    </w:tbl>
    <w:p>
      <w:pPr>
        <w:spacing w:after="160"/>
      </w:pPr>
    </w:p>
    <w:p>
      <w:pPr>
        <w:spacing w:after="150" w:line="276"/>
        <w:jc w:val="both"/>
      </w:pPr>
      <w:r>
        <w:t xml:space="preserve">This Playbook is organized around the natural rhythm of a sprint: the daily cycle (Section 13.2), the lifecycle of a single Work Package moving through that cycle (Section 13.3), the mechanics of source control (Section 13.4), the specific protocol for Antigravity sessions (Section 13.5), how blockers are escalated (Section 13.6), how code moves between environments (Section 13.7), how defects are triaged mid-sprint (Section 13.8), and the sprint-level ceremonies that bound the whole cycle (Section 13.9).</w:t>
      </w:r>
    </w:p>
    <w:p>
      <w:pPr>
        <w:pStyle w:val="Heading1"/>
        <w:pBdr>
          <w:bottom w:val="single" w:color="DAD3C0" w:sz="4" w:space="4"/>
        </w:pBdr>
        <w:spacing w:after="140" w:before="360"/>
      </w:pPr>
      <w:r>
        <w:rPr>
          <w:b/>
          <w:bCs/>
          <w:color w:val="97771F"/>
          <w:sz w:val="26"/>
          <w:szCs w:val="26"/>
        </w:rPr>
        <w:t xml:space="preserve">13.2  </w:t>
      </w:r>
      <w:r>
        <w:rPr>
          <w:b/>
          <w:bCs/>
          <w:color w:val="33363C"/>
          <w:sz w:val="26"/>
          <w:szCs w:val="26"/>
        </w:rPr>
        <w:t xml:space="preserve">Daily Execution Cycle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 daily rhythm every engineer and Antigravity session follows during an active sprint.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Predictable daily cadence gives the Scrum Master early visibility into schedule risk, consistent with the Sprint Exit Criteria in Part 9.</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daily cycle is unchanged whether the day's work is performed by a human engineer or by Antigravity — only the mechanics of 'attending standup' differ.</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low-overhead daily rhythm that surfaces blockers within one working day of them occurring.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09:00  Daily Standup (15 min)</w:t>
            </w:r>
          </w:p>
          <w:p>
            <w:pPr>
              <w:spacing w:after="0" w:line="240"/>
            </w:pPr>
            <w:r>
              <w:rPr>
                <w:rFonts w:ascii="Consolas" w:cs="Consolas" w:eastAsia="Consolas" w:hAnsi="Consolas"/>
                <w:color w:val="1C1E21"/>
                <w:sz w:val="17"/>
                <w:szCs w:val="17"/>
              </w:rPr>
              <w:t xml:space="preserve">         - Each engineer / Antigravity session reports: what moved to Done</w:t>
            </w:r>
          </w:p>
          <w:p>
            <w:pPr>
              <w:spacing w:after="0" w:line="240"/>
            </w:pPr>
            <w:r>
              <w:rPr>
                <w:rFonts w:ascii="Consolas" w:cs="Consolas" w:eastAsia="Consolas" w:hAnsi="Consolas"/>
                <w:color w:val="1C1E21"/>
                <w:sz w:val="17"/>
                <w:szCs w:val="17"/>
              </w:rPr>
              <w:t xml:space="preserve">           yesterday, what moves today, any blocker.</w:t>
            </w:r>
          </w:p>
          <w:p>
            <w:pPr>
              <w:spacing w:after="0" w:line="240"/>
            </w:pPr>
            <w:r>
              <w:rPr>
                <w:rFonts w:ascii="Consolas" w:cs="Consolas" w:eastAsia="Consolas" w:hAnsi="Consolas"/>
                <w:color w:val="1C1E21"/>
                <w:sz w:val="17"/>
                <w:szCs w:val="17"/>
              </w:rPr>
              <w:t xml:space="preserve">         - Scrum Master updates the Sprint Board and flags at-risk items.</w:t>
            </w:r>
          </w:p>
          <w:p>
            <w:pPr>
              <w:spacing w:after="0" w:line="240"/>
            </w:pPr>
            <w:r>
              <w:rPr>
                <w:rFonts w:ascii="Consolas" w:cs="Consolas" w:eastAsia="Consolas" w:hAnsi="Consolas"/>
                <w:color w:val="1C1E21"/>
                <w:sz w:val="17"/>
                <w:szCs w:val="17"/>
              </w:rPr>
              <w:t xml:space="preserve">09:15  Board Triage</w:t>
            </w:r>
          </w:p>
          <w:p>
            <w:pPr>
              <w:spacing w:after="0" w:line="240"/>
            </w:pPr>
            <w:r>
              <w:rPr>
                <w:rFonts w:ascii="Consolas" w:cs="Consolas" w:eastAsia="Consolas" w:hAnsi="Consolas"/>
                <w:color w:val="1C1E21"/>
                <w:sz w:val="17"/>
                <w:szCs w:val="17"/>
              </w:rPr>
              <w:t xml:space="preserve">         - Any Work Package or Task without a clear owner is assigned.</w:t>
            </w:r>
          </w:p>
          <w:p>
            <w:pPr>
              <w:spacing w:after="0" w:line="240"/>
            </w:pPr>
            <w:r>
              <w:rPr>
                <w:rFonts w:ascii="Consolas" w:cs="Consolas" w:eastAsia="Consolas" w:hAnsi="Consolas"/>
                <w:color w:val="1C1E21"/>
                <w:sz w:val="17"/>
                <w:szCs w:val="17"/>
              </w:rPr>
              <w:t xml:space="preserve">         - Any blocker raised at standup is logged per Section 13.6.</w:t>
            </w:r>
          </w:p>
          <w:p>
            <w:pPr>
              <w:spacing w:after="0" w:line="240"/>
            </w:pPr>
            <w:r>
              <w:rPr>
                <w:rFonts w:ascii="Consolas" w:cs="Consolas" w:eastAsia="Consolas" w:hAnsi="Consolas"/>
                <w:color w:val="1C1E21"/>
                <w:sz w:val="17"/>
                <w:szCs w:val="17"/>
              </w:rPr>
              <w:t xml:space="preserve">09:30 – 17:00  Focused Execution</w:t>
            </w:r>
          </w:p>
          <w:p>
            <w:pPr>
              <w:spacing w:after="0" w:line="240"/>
            </w:pPr>
            <w:r>
              <w:rPr>
                <w:rFonts w:ascii="Consolas" w:cs="Consolas" w:eastAsia="Consolas" w:hAnsi="Consolas"/>
                <w:color w:val="1C1E21"/>
                <w:sz w:val="17"/>
                <w:szCs w:val="17"/>
              </w:rPr>
              <w:t xml:space="preserve">         - Engineers and Antigravity sessions execute assigned Tasks against</w:t>
            </w:r>
          </w:p>
          <w:p>
            <w:pPr>
              <w:spacing w:after="0" w:line="240"/>
            </w:pPr>
            <w:r>
              <w:rPr>
                <w:rFonts w:ascii="Consolas" w:cs="Consolas" w:eastAsia="Consolas" w:hAnsi="Consolas"/>
                <w:color w:val="1C1E21"/>
                <w:sz w:val="17"/>
                <w:szCs w:val="17"/>
              </w:rPr>
              <w:t xml:space="preserve">           the Master Prompt Library (Part 12) and their Work Package spec.</w:t>
            </w:r>
          </w:p>
          <w:p>
            <w:pPr>
              <w:spacing w:after="0" w:line="240"/>
            </w:pPr>
            <w:r>
              <w:rPr>
                <w:rFonts w:ascii="Consolas" w:cs="Consolas" w:eastAsia="Consolas" w:hAnsi="Consolas"/>
                <w:color w:val="1C1E21"/>
                <w:sz w:val="17"/>
                <w:szCs w:val="17"/>
              </w:rPr>
              <w:t xml:space="preserve">         - Pull Requests opened as Tasks complete (Section 13.4).</w:t>
            </w:r>
          </w:p>
          <w:p>
            <w:pPr>
              <w:spacing w:after="0" w:line="240"/>
            </w:pPr>
            <w:r>
              <w:rPr>
                <w:rFonts w:ascii="Consolas" w:cs="Consolas" w:eastAsia="Consolas" w:hAnsi="Consolas"/>
                <w:color w:val="1C1E21"/>
                <w:sz w:val="17"/>
                <w:szCs w:val="17"/>
              </w:rPr>
              <w:t xml:space="preserve">17:00  End-of-Day Board Update</w:t>
            </w:r>
          </w:p>
          <w:p>
            <w:pPr>
              <w:spacing w:after="0" w:line="240"/>
            </w:pPr>
            <w:r>
              <w:rPr>
                <w:rFonts w:ascii="Consolas" w:cs="Consolas" w:eastAsia="Consolas" w:hAnsi="Consolas"/>
                <w:color w:val="1C1E21"/>
                <w:sz w:val="17"/>
                <w:szCs w:val="17"/>
              </w:rPr>
              <w:t xml:space="preserve">         - Task and Work Package status updated on the Sprint Board.</w:t>
            </w:r>
          </w:p>
          <w:p>
            <w:pPr>
              <w:spacing w:after="0" w:line="240"/>
            </w:pPr>
            <w:r>
              <w:rPr>
                <w:rFonts w:ascii="Consolas" w:cs="Consolas" w:eastAsia="Consolas" w:hAnsi="Consolas"/>
                <w:color w:val="1C1E21"/>
                <w:sz w:val="17"/>
                <w:szCs w:val="17"/>
              </w:rPr>
              <w:t xml:space="preserve">         - Any Task not moved in 2 consecutive days is flagged for review.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AE0" w:sz="2"/>
              <w:left w:val="single" w:color="97771F" w:sz="24"/>
              <w:bottom w:val="single" w:color="EFEAE0" w:sz="2"/>
              <w:right w:val="single" w:color="EFEAE0" w:sz="2"/>
            </w:tcBorders>
            <w:shd w:fill="EFEAE0" w:val="clear"/>
            <w:tcMar>
              <w:top w:type="dxa" w:w="120"/>
              <w:left w:type="dxa" w:w="180"/>
              <w:bottom w:type="dxa" w:w="120"/>
              <w:right w:type="dxa" w:w="180"/>
            </w:tcMar>
          </w:tcPr>
          <w:p>
            <w:pPr>
              <w:spacing w:after="60"/>
            </w:pPr>
            <w:r>
              <w:rPr>
                <w:b/>
                <w:bCs/>
                <w:color w:val="97771F"/>
                <w:sz w:val="17"/>
                <w:szCs w:val="17"/>
              </w:rPr>
              <w:t xml:space="preserve">RECOMMENDATION</w:t>
            </w:r>
          </w:p>
          <w:p>
            <w:pPr>
              <w:spacing w:after="0"/>
            </w:pPr>
            <w:r>
              <w:rPr>
                <w:sz w:val="18"/>
                <w:szCs w:val="18"/>
              </w:rPr>
              <w:t xml:space="preserve">Antigravity sessions do not need to 'attend' the 09:00 standup synchronously — the session's status update (Task completed, Task in progress, blocker) should be posted to the Sprint Board before the standup so the Scrum Master can report on its behalf, consistent with Handbook Chapter 23.</w:t>
            </w:r>
          </w:p>
        </w:tc>
      </w:tr>
    </w:tbl>
    <w:p>
      <w:pPr>
        <w:pStyle w:val="Heading1"/>
        <w:pBdr>
          <w:bottom w:val="single" w:color="DAD3C0" w:sz="4" w:space="4"/>
        </w:pBdr>
        <w:spacing w:after="140" w:before="360"/>
      </w:pPr>
      <w:r>
        <w:rPr>
          <w:b/>
          <w:bCs/>
          <w:color w:val="97771F"/>
          <w:sz w:val="26"/>
          <w:szCs w:val="26"/>
        </w:rPr>
        <w:t xml:space="preserve">13.3  </w:t>
      </w:r>
      <w:r>
        <w:rPr>
          <w:b/>
          <w:bCs/>
          <w:color w:val="33363C"/>
          <w:sz w:val="26"/>
          <w:szCs w:val="26"/>
        </w:rPr>
        <w:t xml:space="preserve">Work Package Lifecycle in Practice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Show the concrete states a Work Package passes through from backlog entry to Done.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PMO a consistent state model for burndown and velocity reporting.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lifecycle is the practical execution of the Definition of Ready and Definition of Done already fixed for every Work Package in Parts 5–8.</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Work Package's status is unambiguous at any point in the sprint.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Backlog</w:t>
            </w:r>
          </w:p>
          <w:p>
            <w:pPr>
              <w:spacing w:after="0" w:line="240"/>
            </w:pPr>
            <w:r>
              <w:rPr>
                <w:rFonts w:ascii="Consolas" w:cs="Consolas" w:eastAsia="Consolas" w:hAnsi="Consolas"/>
                <w:color w:val="1C1E21"/>
                <w:sz w:val="17"/>
                <w:szCs w:val="17"/>
              </w:rPr>
              <w:t xml:space="preserve">   │   (entered at MEKB Part 10; Sprint assignment fixed in Part 9)</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Sprint-Ready</w:t>
            </w:r>
          </w:p>
          <w:p>
            <w:pPr>
              <w:spacing w:after="0" w:line="240"/>
            </w:pPr>
            <w:r>
              <w:rPr>
                <w:rFonts w:ascii="Consolas" w:cs="Consolas" w:eastAsia="Consolas" w:hAnsi="Consolas"/>
                <w:color w:val="1C1E21"/>
                <w:sz w:val="17"/>
                <w:szCs w:val="17"/>
              </w:rPr>
              <w:t xml:space="preserve">   │   (Definition of Ready confirmed — Handbook Ch.19; dependencies per Part 11 verified complete)</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In Progress</w:t>
            </w:r>
          </w:p>
          <w:p>
            <w:pPr>
              <w:spacing w:after="0" w:line="240"/>
            </w:pPr>
            <w:r>
              <w:rPr>
                <w:rFonts w:ascii="Consolas" w:cs="Consolas" w:eastAsia="Consolas" w:hAnsi="Consolas"/>
                <w:color w:val="1C1E21"/>
                <w:sz w:val="17"/>
                <w:szCs w:val="17"/>
              </w:rPr>
              <w:t xml:space="preserve">   │   (Master Prompt Library, Part 12, issued; Steps 1–6 executing)</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In Review</w:t>
            </w:r>
          </w:p>
          <w:p>
            <w:pPr>
              <w:spacing w:after="0" w:line="240"/>
            </w:pPr>
            <w:r>
              <w:rPr>
                <w:rFonts w:ascii="Consolas" w:cs="Consolas" w:eastAsia="Consolas" w:hAnsi="Consolas"/>
                <w:color w:val="1C1E21"/>
                <w:sz w:val="17"/>
                <w:szCs w:val="17"/>
              </w:rPr>
              <w:t xml:space="preserve">   │   (Pull Request open; Section 13.4 review workflow; Steps 7–8 — traceability and ADRs)</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Done</w:t>
            </w:r>
          </w:p>
          <w:p>
            <w:pPr>
              <w:spacing w:after="0" w:line="240"/>
            </w:pPr>
            <w:r>
              <w:rPr>
                <w:rFonts w:ascii="Consolas" w:cs="Consolas" w:eastAsia="Consolas" w:hAnsi="Consolas"/>
                <w:color w:val="1C1E21"/>
                <w:sz w:val="17"/>
                <w:szCs w:val="17"/>
              </w:rPr>
              <w:t xml:space="preserve">       (Definition of Done confirmed — Step 9 of the Master Prompt; Appendix O quality</w:t>
            </w:r>
          </w:p>
          <w:p>
            <w:pPr>
              <w:spacing w:after="0" w:line="240"/>
            </w:pPr>
            <w:r>
              <w:rPr>
                <w:rFonts w:ascii="Consolas" w:cs="Consolas" w:eastAsia="Consolas" w:hAnsi="Consolas"/>
                <w:color w:val="1C1E21"/>
                <w:sz w:val="17"/>
                <w:szCs w:val="17"/>
              </w:rPr>
              <w:t xml:space="preserve">        gates satisfied per MEKB Part 14)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234"/>
        <w:gridCol w:w="4234"/>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State</w:t>
            </w:r>
          </w:p>
        </w:tc>
        <w:tc>
          <w:tcPr>
            <w:tcW w:type="dxa" w:w="4234"/>
            <w:shd w:fill="33363C" w:val="clear"/>
            <w:tcMar>
              <w:top w:type="dxa" w:w="70"/>
              <w:left w:type="dxa" w:w="110"/>
              <w:bottom w:type="dxa" w:w="70"/>
              <w:right w:type="dxa" w:w="110"/>
            </w:tcMar>
            <w:vAlign w:val="top"/>
          </w:tcPr>
          <w:p>
            <w:r>
              <w:rPr>
                <w:b/>
                <w:bCs/>
                <w:color w:val="FFFFFF"/>
                <w:sz w:val="17"/>
                <w:szCs w:val="17"/>
              </w:rPr>
              <w:t xml:space="preserve">Entry Condition</w:t>
            </w:r>
          </w:p>
        </w:tc>
        <w:tc>
          <w:tcPr>
            <w:tcW w:type="dxa" w:w="4234"/>
            <w:shd w:fill="33363C" w:val="clear"/>
            <w:tcMar>
              <w:top w:type="dxa" w:w="70"/>
              <w:left w:type="dxa" w:w="110"/>
              <w:bottom w:type="dxa" w:w="70"/>
              <w:right w:type="dxa" w:w="110"/>
            </w:tcMar>
            <w:vAlign w:val="top"/>
          </w:tcPr>
          <w:p>
            <w:r>
              <w:rPr>
                <w:b/>
                <w:bCs/>
                <w:color w:val="FFFFFF"/>
                <w:sz w:val="17"/>
                <w:szCs w:val="17"/>
              </w:rPr>
              <w:t xml:space="preserve">Exit Condition</w:t>
            </w:r>
          </w:p>
        </w:tc>
      </w:tr>
      <w:tr>
        <w:tc>
          <w:tcPr>
            <w:tcW w:type="dxa" w:w="1613"/>
            <w:tcMar>
              <w:top w:type="dxa" w:w="70"/>
              <w:left w:type="dxa" w:w="110"/>
              <w:bottom w:type="dxa" w:w="70"/>
              <w:right w:type="dxa" w:w="110"/>
            </w:tcMar>
            <w:vAlign w:val="top"/>
          </w:tcPr>
          <w:p>
            <w:r>
              <w:rPr>
                <w:b/>
                <w:bCs/>
                <w:color w:val="1A1A1A"/>
                <w:sz w:val="12"/>
                <w:szCs w:val="12"/>
              </w:rPr>
              <w:t xml:space="preserve">Backlog</w:t>
            </w:r>
          </w:p>
        </w:tc>
        <w:tc>
          <w:tcPr>
            <w:tcW w:type="dxa" w:w="4234"/>
            <w:tcMar>
              <w:top w:type="dxa" w:w="70"/>
              <w:left w:type="dxa" w:w="110"/>
              <w:bottom w:type="dxa" w:w="70"/>
              <w:right w:type="dxa" w:w="110"/>
            </w:tcMar>
            <w:vAlign w:val="top"/>
          </w:tcPr>
          <w:p>
            <w:r>
              <w:rPr>
                <w:b w:val="false"/>
                <w:bCs w:val="false"/>
                <w:color w:val="1A1A1A"/>
                <w:sz w:val="12"/>
                <w:szCs w:val="12"/>
              </w:rPr>
              <w:t xml:space="preserve">Work Package defined in MEKB Parts 5–8 and allocated to a Sprint in Part 9.</w:t>
            </w:r>
          </w:p>
        </w:tc>
        <w:tc>
          <w:tcPr>
            <w:tcW w:type="dxa" w:w="4234"/>
            <w:tcMar>
              <w:top w:type="dxa" w:w="70"/>
              <w:left w:type="dxa" w:w="110"/>
              <w:bottom w:type="dxa" w:w="70"/>
              <w:right w:type="dxa" w:w="110"/>
            </w:tcMar>
            <w:vAlign w:val="top"/>
          </w:tcPr>
          <w:p>
            <w:r>
              <w:rPr>
                <w:b w:val="false"/>
                <w:bCs w:val="false"/>
                <w:color w:val="1A1A1A"/>
                <w:sz w:val="12"/>
                <w:szCs w:val="12"/>
              </w:rPr>
              <w:t xml:space="preserve">Sprint begins and the Work Package is pulled onto the active board.</w:t>
            </w:r>
          </w:p>
        </w:tc>
      </w:tr>
      <w:tr>
        <w:tc>
          <w:tcPr>
            <w:tcW w:type="dxa" w:w="1613"/>
            <w:tcMar>
              <w:top w:type="dxa" w:w="70"/>
              <w:left w:type="dxa" w:w="110"/>
              <w:bottom w:type="dxa" w:w="70"/>
              <w:right w:type="dxa" w:w="110"/>
            </w:tcMar>
            <w:vAlign w:val="top"/>
          </w:tcPr>
          <w:p>
            <w:r>
              <w:rPr>
                <w:b/>
                <w:bCs/>
                <w:color w:val="1A1A1A"/>
                <w:sz w:val="12"/>
                <w:szCs w:val="12"/>
              </w:rPr>
              <w:t xml:space="preserve">Sprint-Ready</w:t>
            </w:r>
          </w:p>
        </w:tc>
        <w:tc>
          <w:tcPr>
            <w:tcW w:type="dxa" w:w="4234"/>
            <w:tcMar>
              <w:top w:type="dxa" w:w="70"/>
              <w:left w:type="dxa" w:w="110"/>
              <w:bottom w:type="dxa" w:w="70"/>
              <w:right w:type="dxa" w:w="110"/>
            </w:tcMar>
            <w:vAlign w:val="top"/>
          </w:tcPr>
          <w:p>
            <w:r>
              <w:rPr>
                <w:b w:val="false"/>
                <w:bCs w:val="false"/>
                <w:color w:val="1A1A1A"/>
                <w:sz w:val="12"/>
                <w:szCs w:val="12"/>
              </w:rPr>
              <w:t xml:space="preserve">All Dependencies listed in the Work Package's Dependencies field (Part 11) are Done.</w:t>
            </w:r>
          </w:p>
        </w:tc>
        <w:tc>
          <w:tcPr>
            <w:tcW w:type="dxa" w:w="4234"/>
            <w:tcMar>
              <w:top w:type="dxa" w:w="70"/>
              <w:left w:type="dxa" w:w="110"/>
              <w:bottom w:type="dxa" w:w="70"/>
              <w:right w:type="dxa" w:w="110"/>
            </w:tcMar>
            <w:vAlign w:val="top"/>
          </w:tcPr>
          <w:p>
            <w:r>
              <w:rPr>
                <w:b w:val="false"/>
                <w:bCs w:val="false"/>
                <w:color w:val="1A1A1A"/>
                <w:sz w:val="12"/>
                <w:szCs w:val="12"/>
              </w:rPr>
              <w:t xml:space="preserve">Definition of Ready (Handbook Ch. 19) is confirmed by the assigned engineer or Antigravity session.</w:t>
            </w:r>
          </w:p>
        </w:tc>
      </w:tr>
      <w:tr>
        <w:tc>
          <w:tcPr>
            <w:tcW w:type="dxa" w:w="1613"/>
            <w:tcMar>
              <w:top w:type="dxa" w:w="70"/>
              <w:left w:type="dxa" w:w="110"/>
              <w:bottom w:type="dxa" w:w="70"/>
              <w:right w:type="dxa" w:w="110"/>
            </w:tcMar>
            <w:vAlign w:val="top"/>
          </w:tcPr>
          <w:p>
            <w:r>
              <w:rPr>
                <w:b/>
                <w:bCs/>
                <w:color w:val="1A1A1A"/>
                <w:sz w:val="12"/>
                <w:szCs w:val="12"/>
              </w:rPr>
              <w:t xml:space="preserve">In Progress</w:t>
            </w:r>
          </w:p>
        </w:tc>
        <w:tc>
          <w:tcPr>
            <w:tcW w:type="dxa" w:w="4234"/>
            <w:tcMar>
              <w:top w:type="dxa" w:w="70"/>
              <w:left w:type="dxa" w:w="110"/>
              <w:bottom w:type="dxa" w:w="70"/>
              <w:right w:type="dxa" w:w="110"/>
            </w:tcMar>
            <w:vAlign w:val="top"/>
          </w:tcPr>
          <w:p>
            <w:r>
              <w:rPr>
                <w:b w:val="false"/>
                <w:bCs w:val="false"/>
                <w:color w:val="1A1A1A"/>
                <w:sz w:val="12"/>
                <w:szCs w:val="12"/>
              </w:rPr>
              <w:t xml:space="preserve">Master Prompt Library (Part 12) instance issued for this Work Package.</w:t>
            </w:r>
          </w:p>
        </w:tc>
        <w:tc>
          <w:tcPr>
            <w:tcW w:type="dxa" w:w="4234"/>
            <w:tcMar>
              <w:top w:type="dxa" w:w="70"/>
              <w:left w:type="dxa" w:w="110"/>
              <w:bottom w:type="dxa" w:w="70"/>
              <w:right w:type="dxa" w:w="110"/>
            </w:tcMar>
            <w:vAlign w:val="top"/>
          </w:tcPr>
          <w:p>
            <w:r>
              <w:rPr>
                <w:b w:val="false"/>
                <w:bCs w:val="false"/>
                <w:color w:val="1A1A1A"/>
                <w:sz w:val="12"/>
                <w:szCs w:val="12"/>
              </w:rPr>
              <w:t xml:space="preserve">Steps 1–6 of the Master Prompt complete: code, tests, and documentation drafted.</w:t>
            </w:r>
          </w:p>
        </w:tc>
      </w:tr>
      <w:tr>
        <w:tc>
          <w:tcPr>
            <w:tcW w:type="dxa" w:w="1613"/>
            <w:tcMar>
              <w:top w:type="dxa" w:w="70"/>
              <w:left w:type="dxa" w:w="110"/>
              <w:bottom w:type="dxa" w:w="70"/>
              <w:right w:type="dxa" w:w="110"/>
            </w:tcMar>
            <w:vAlign w:val="top"/>
          </w:tcPr>
          <w:p>
            <w:r>
              <w:rPr>
                <w:b/>
                <w:bCs/>
                <w:color w:val="1A1A1A"/>
                <w:sz w:val="12"/>
                <w:szCs w:val="12"/>
              </w:rPr>
              <w:t xml:space="preserve">In Review</w:t>
            </w:r>
          </w:p>
        </w:tc>
        <w:tc>
          <w:tcPr>
            <w:tcW w:type="dxa" w:w="4234"/>
            <w:tcMar>
              <w:top w:type="dxa" w:w="70"/>
              <w:left w:type="dxa" w:w="110"/>
              <w:bottom w:type="dxa" w:w="70"/>
              <w:right w:type="dxa" w:w="110"/>
            </w:tcMar>
            <w:vAlign w:val="top"/>
          </w:tcPr>
          <w:p>
            <w:r>
              <w:rPr>
                <w:b w:val="false"/>
                <w:bCs w:val="false"/>
                <w:color w:val="1A1A1A"/>
                <w:sz w:val="12"/>
                <w:szCs w:val="12"/>
              </w:rPr>
              <w:t xml:space="preserve">Pull Request opened per Section 13.4.</w:t>
            </w:r>
          </w:p>
        </w:tc>
        <w:tc>
          <w:tcPr>
            <w:tcW w:type="dxa" w:w="4234"/>
            <w:tcMar>
              <w:top w:type="dxa" w:w="70"/>
              <w:left w:type="dxa" w:w="110"/>
              <w:bottom w:type="dxa" w:w="70"/>
              <w:right w:type="dxa" w:w="110"/>
            </w:tcMar>
            <w:vAlign w:val="top"/>
          </w:tcPr>
          <w:p>
            <w:r>
              <w:rPr>
                <w:b w:val="false"/>
                <w:bCs w:val="false"/>
                <w:color w:val="1A1A1A"/>
                <w:sz w:val="12"/>
                <w:szCs w:val="12"/>
              </w:rPr>
              <w:t xml:space="preserve">Review approved; traceability (Step 7) and ADRs (Step 8) confirmed recorded.</w:t>
            </w:r>
          </w:p>
        </w:tc>
      </w:tr>
      <w:tr>
        <w:tc>
          <w:tcPr>
            <w:tcW w:type="dxa" w:w="1613"/>
            <w:tcMar>
              <w:top w:type="dxa" w:w="70"/>
              <w:left w:type="dxa" w:w="110"/>
              <w:bottom w:type="dxa" w:w="70"/>
              <w:right w:type="dxa" w:w="110"/>
            </w:tcMar>
            <w:vAlign w:val="top"/>
          </w:tcPr>
          <w:p>
            <w:r>
              <w:rPr>
                <w:b/>
                <w:bCs/>
                <w:color w:val="1A1A1A"/>
                <w:sz w:val="12"/>
                <w:szCs w:val="12"/>
              </w:rPr>
              <w:t xml:space="preserve">Done</w:t>
            </w:r>
          </w:p>
        </w:tc>
        <w:tc>
          <w:tcPr>
            <w:tcW w:type="dxa" w:w="4234"/>
            <w:tcMar>
              <w:top w:type="dxa" w:w="70"/>
              <w:left w:type="dxa" w:w="110"/>
              <w:bottom w:type="dxa" w:w="70"/>
              <w:right w:type="dxa" w:w="110"/>
            </w:tcMar>
            <w:vAlign w:val="top"/>
          </w:tcPr>
          <w:p>
            <w:r>
              <w:rPr>
                <w:b w:val="false"/>
                <w:bCs w:val="false"/>
                <w:color w:val="1A1A1A"/>
                <w:sz w:val="12"/>
                <w:szCs w:val="12"/>
              </w:rPr>
              <w:t xml:space="preserve">Definition of Done (Step 9 of the Master Prompt) confirmed satisfied.</w:t>
            </w:r>
          </w:p>
        </w:tc>
        <w:tc>
          <w:tcPr>
            <w:tcW w:type="dxa" w:w="4234"/>
            <w:tcMar>
              <w:top w:type="dxa" w:w="70"/>
              <w:left w:type="dxa" w:w="110"/>
              <w:bottom w:type="dxa" w:w="70"/>
              <w:right w:type="dxa" w:w="110"/>
            </w:tcMar>
            <w:vAlign w:val="top"/>
          </w:tcPr>
          <w:p>
            <w:r>
              <w:rPr>
                <w:b w:val="false"/>
                <w:bCs w:val="false"/>
                <w:color w:val="1A1A1A"/>
                <w:sz w:val="12"/>
                <w:szCs w:val="12"/>
              </w:rPr>
              <w:t xml:space="preserve">Work Package closed; feeds the Sprint Exit Criteria (Part 9) and Quality Gates (Part 14).</w:t>
            </w:r>
          </w:p>
        </w:tc>
      </w:tr>
    </w:tbl>
    <w:p>
      <w:pPr>
        <w:pStyle w:val="Heading1"/>
        <w:pBdr>
          <w:bottom w:val="single" w:color="DAD3C0" w:sz="4" w:space="4"/>
        </w:pBdr>
        <w:spacing w:after="140" w:before="360"/>
      </w:pPr>
      <w:r>
        <w:rPr>
          <w:b/>
          <w:bCs/>
          <w:color w:val="97771F"/>
          <w:sz w:val="26"/>
          <w:szCs w:val="26"/>
        </w:rPr>
        <w:t xml:space="preserve">13.4  </w:t>
      </w:r>
      <w:r>
        <w:rPr>
          <w:b/>
          <w:bCs/>
          <w:color w:val="33363C"/>
          <w:sz w:val="26"/>
          <w:szCs w:val="26"/>
        </w:rPr>
        <w:t xml:space="preserve">Branching, Commit, and Pull Request Workflow</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Fix the exact source control mechanics used for every Work Package, Feature, and Task.</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Consistent branching and review discipline is the primary defense against uncontrolled change on a government-facing platform.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section operationalizes Handbook Chapter 18 (Code Review and Pull Request Policy) against the WBS naming convention fixed in Part 4.</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commit traceable to a Work Package, every Work Package traceable to a Pull Request, every Pull Request traceable to a reviewer.</w:t>
            </w:r>
          </w:p>
        </w:tc>
      </w:tr>
    </w:tbl>
    <w:p>
      <w:pPr>
        <w:spacing w:after="160"/>
      </w:pPr>
    </w:p>
    <w:p>
      <w:pPr>
        <w:spacing w:after="150" w:line="276"/>
        <w:jc w:val="both"/>
      </w:pPr>
      <w:r>
        <w:t xml:space="preserve">Branch names follow the WBS identifier established in Part 4, so that any branch, commit, or Pull Request is immediately traceable to its Work Package without cross-referencing a separate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Branch naming:   wp/{{WP_ID}}/{{short-task-description}}</w:t>
            </w:r>
          </w:p>
          <w:p>
            <w:pPr>
              <w:spacing w:after="0" w:line="240"/>
            </w:pPr>
            <w:r>
              <w:rPr>
                <w:rFonts w:ascii="Consolas" w:cs="Consolas" w:eastAsia="Consolas" w:hAnsi="Consolas"/>
                <w:color w:val="1C1E21"/>
                <w:sz w:val="17"/>
                <w:szCs w:val="17"/>
              </w:rPr>
              <w:t xml:space="preserve">Example:         wp/WP-12/document-checkout-locking</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Commit message:  {{WP_ID}} {{FR_ID}}: {{imperative description}}</w:t>
            </w:r>
          </w:p>
          <w:p>
            <w:pPr>
              <w:spacing w:after="0" w:line="240"/>
            </w:pPr>
            <w:r>
              <w:rPr>
                <w:rFonts w:ascii="Consolas" w:cs="Consolas" w:eastAsia="Consolas" w:hAnsi="Consolas"/>
                <w:color w:val="1C1E21"/>
                <w:sz w:val="17"/>
                <w:szCs w:val="17"/>
              </w:rPr>
              <w:t xml:space="preserve">Example:         WP-12 FR-DOC-02: implement check-in/check-out locking</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Pull Request title: {{WP_ID}} — {{Work Package Name}}: {{scope of this PR}}</w:t>
            </w:r>
          </w:p>
          <w:p>
            <w:pPr>
              <w:spacing w:after="0" w:line="240"/>
            </w:pPr>
            <w:r>
              <w:rPr>
                <w:rFonts w:ascii="Consolas" w:cs="Consolas" w:eastAsia="Consolas" w:hAnsi="Consolas"/>
                <w:color w:val="1C1E21"/>
                <w:sz w:val="17"/>
                <w:szCs w:val="17"/>
              </w:rPr>
              <w:t xml:space="preserve">Example:         WP-12 — Documents: version control and retention enforcement</w:t>
            </w:r>
          </w:p>
        </w:tc>
      </w:tr>
    </w:tbl>
    <w:p>
      <w:pPr>
        <w:spacing w:after="90" w:line="264"/>
      </w:pPr>
      <w:r>
        <w:rPr>
          <w:b/>
          <w:bCs/>
          <w:color w:val="33363C"/>
        </w:rPr>
        <w:t xml:space="preserve">1. </w:t>
      </w:r>
      <w:r>
        <w:t xml:space="preserve">Branch from the current sprint's integration branch, never directly from the production branch.</w:t>
      </w:r>
    </w:p>
    <w:p>
      <w:pPr>
        <w:spacing w:after="90" w:line="264"/>
      </w:pPr>
      <w:r>
        <w:rPr>
          <w:b/>
          <w:bCs/>
          <w:color w:val="33363C"/>
        </w:rPr>
        <w:t xml:space="preserve">2. </w:t>
      </w:r>
      <w:r>
        <w:t xml:space="preserve">Commit early and often; each commit should correspond to one identifiable unit of work, per Handbook Chapter 18.</w:t>
      </w:r>
    </w:p>
    <w:p>
      <w:pPr>
        <w:spacing w:after="90" w:line="264"/>
      </w:pPr>
      <w:r>
        <w:rPr>
          <w:b/>
          <w:bCs/>
          <w:color w:val="33363C"/>
        </w:rPr>
        <w:t xml:space="preserve">3. </w:t>
      </w:r>
      <w:r>
        <w:t xml:space="preserve">Open the Pull Request as soon as the branch is ready for review — do not batch multiple Work Packages into a single Pull Request.</w:t>
      </w:r>
    </w:p>
    <w:p>
      <w:pPr>
        <w:spacing w:after="90" w:line="264"/>
      </w:pPr>
      <w:r>
        <w:rPr>
          <w:b/>
          <w:bCs/>
          <w:color w:val="33363C"/>
        </w:rPr>
        <w:t xml:space="preserve">4. </w:t>
      </w:r>
      <w:r>
        <w:t xml:space="preserve">The Pull Request description must reference the Work Package's Acceptance Criteria and list which are satisfied by this PR.</w:t>
      </w:r>
    </w:p>
    <w:p>
      <w:pPr>
        <w:spacing w:after="90" w:line="264"/>
      </w:pPr>
      <w:r>
        <w:rPr>
          <w:b/>
          <w:bCs/>
          <w:color w:val="33363C"/>
        </w:rPr>
        <w:t xml:space="preserve">5. </w:t>
      </w:r>
      <w:r>
        <w:t xml:space="preserve">At least one reviewer from the Work Package's Responsible Role (per its owning Engineering Domain, Part 2) must approve before merge.</w:t>
      </w:r>
    </w:p>
    <w:p>
      <w:pPr>
        <w:spacing w:after="90" w:line="264"/>
      </w:pPr>
      <w:r>
        <w:rPr>
          <w:b/>
          <w:bCs/>
          <w:color w:val="33363C"/>
        </w:rPr>
        <w:t xml:space="preserve">6. </w:t>
      </w:r>
      <w:r>
        <w:t xml:space="preserve">CI must pass — build, unit tests, security scan (WP-03 pipeline) — before a Pull Request is eligible for merge, per Handbook Chapter 15.</w:t>
      </w:r>
    </w:p>
    <w:p>
      <w:pPr>
        <w:spacing w:after="90" w:line="264"/>
      </w:pPr>
      <w:r>
        <w:rPr>
          <w:b/>
          <w:bCs/>
          <w:color w:val="33363C"/>
        </w:rPr>
        <w:t xml:space="preserve">7. </w:t>
      </w:r>
      <w:r>
        <w:t xml:space="preserve">Squash-merge into the sprint integration branch; the integration branch merges to the release branch only at the Sprint Exit Criteria gate (Part 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0DD" w:sz="2"/>
              <w:left w:val="single" w:color="B8860B" w:sz="24"/>
              <w:bottom w:val="single" w:color="FBF0DD" w:sz="2"/>
              <w:right w:val="single" w:color="FBF0DD" w:sz="2"/>
            </w:tcBorders>
            <w:shd w:fill="FBF0DD" w:val="clear"/>
            <w:tcMar>
              <w:top w:type="dxa" w:w="120"/>
              <w:left w:type="dxa" w:w="180"/>
              <w:bottom w:type="dxa" w:w="120"/>
              <w:right w:type="dxa" w:w="180"/>
            </w:tcMar>
          </w:tcPr>
          <w:p>
            <w:pPr>
              <w:spacing w:after="60"/>
            </w:pPr>
            <w:r>
              <w:rPr>
                <w:b/>
                <w:bCs/>
                <w:color w:val="B8860B"/>
                <w:sz w:val="17"/>
                <w:szCs w:val="17"/>
              </w:rPr>
              <w:t xml:space="preserve">IMPORTANT</w:t>
            </w:r>
          </w:p>
          <w:p>
            <w:pPr>
              <w:spacing w:after="0"/>
            </w:pPr>
            <w:r>
              <w:rPr>
                <w:sz w:val="18"/>
                <w:szCs w:val="18"/>
              </w:rPr>
              <w:t xml:space="preserve">A Pull Request that implements only part of a Work Package's Functional Requirements must say so explicitly in its description and must not close the Work Package. Partial merges are permitted; premature Definition of Done sign-off is not.</w:t>
            </w:r>
          </w:p>
        </w:tc>
      </w:tr>
    </w:tbl>
    <w:p>
      <w:pPr>
        <w:pStyle w:val="Heading1"/>
        <w:pBdr>
          <w:bottom w:val="single" w:color="DAD3C0" w:sz="4" w:space="4"/>
        </w:pBdr>
        <w:spacing w:after="140" w:before="360"/>
      </w:pPr>
      <w:r>
        <w:rPr>
          <w:b/>
          <w:bCs/>
          <w:color w:val="97771F"/>
          <w:sz w:val="26"/>
          <w:szCs w:val="26"/>
        </w:rPr>
        <w:t xml:space="preserve">13.5  </w:t>
      </w:r>
      <w:r>
        <w:rPr>
          <w:b/>
          <w:bCs/>
          <w:color w:val="33363C"/>
          <w:sz w:val="26"/>
          <w:szCs w:val="26"/>
        </w:rPr>
        <w:t xml:space="preserve">Antigravity Execution Protocol</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exactly how an Antigravity session is opened, operated, and closed for a Work Package.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Antigravity's output is as auditable and reviewable as a human engineer's, satisfying IFAD and Federal Government of Nigeria audit expectations.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protocol is the practical wrapper around the Master Prompt Library (Part 12) and Handbook Chapter 23.</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Antigravity session leaves a complete, human-reviewable audit trail regardless of Work Package complexity.</w:t>
            </w:r>
          </w:p>
        </w:tc>
      </w:tr>
    </w:tbl>
    <w:p>
      <w:pPr>
        <w:spacing w:after="160"/>
      </w:pPr>
    </w:p>
    <w:p>
      <w:pPr>
        <w:spacing w:after="90" w:line="264"/>
      </w:pPr>
      <w:r>
        <w:rPr>
          <w:b/>
          <w:bCs/>
          <w:color w:val="33363C"/>
        </w:rPr>
        <w:t xml:space="preserve">1. </w:t>
      </w:r>
      <w:r>
        <w:t xml:space="preserve">Session Open: the Scrum Master or Technical Lead assigns a Work Package to an Antigravity session and issues the populated Master Prompt (Part 12).</w:t>
      </w:r>
    </w:p>
    <w:p>
      <w:pPr>
        <w:spacing w:after="90" w:line="264"/>
      </w:pPr>
      <w:r>
        <w:rPr>
          <w:b/>
          <w:bCs/>
          <w:color w:val="33363C"/>
        </w:rPr>
        <w:t xml:space="preserve">2. </w:t>
      </w:r>
      <w:r>
        <w:t xml:space="preserve">Pre-Flight Check: Antigravity confirms Steps 1–3 of the Master Prompt (architecture, requirements, dependencies) before writing any code, and reports back if any dependency is not actually Done despite being marked so on the board.</w:t>
      </w:r>
    </w:p>
    <w:p>
      <w:pPr>
        <w:spacing w:after="90" w:line="264"/>
      </w:pPr>
      <w:r>
        <w:rPr>
          <w:b/>
          <w:bCs/>
          <w:color w:val="33363C"/>
        </w:rPr>
        <w:t xml:space="preserve">3. </w:t>
      </w:r>
      <w:r>
        <w:t xml:space="preserve">Execution: Antigravity works Steps 4–6 (code, tests, documentation) on its assigned branch (Section 13.4), committing incrementally rather than as a single large commit.</w:t>
      </w:r>
    </w:p>
    <w:p>
      <w:pPr>
        <w:spacing w:after="90" w:line="264"/>
      </w:pPr>
      <w:r>
        <w:rPr>
          <w:b/>
          <w:bCs/>
          <w:color w:val="33363C"/>
        </w:rPr>
        <w:t xml:space="preserve">4. </w:t>
      </w:r>
      <w:r>
        <w:t xml:space="preserve">Self-Review: before opening the Pull Request, Antigravity runs the full local test suite and confirms every item in the Work Package's Acceptance Criteria against its own output.</w:t>
      </w:r>
    </w:p>
    <w:p>
      <w:pPr>
        <w:spacing w:after="90" w:line="264"/>
      </w:pPr>
      <w:r>
        <w:rPr>
          <w:b/>
          <w:bCs/>
          <w:color w:val="33363C"/>
        </w:rPr>
        <w:t xml:space="preserve">5. </w:t>
      </w:r>
      <w:r>
        <w:t xml:space="preserve">Pull Request: Antigravity opens the Pull Request per Section 13.4 and requests review from the Work Package's designated human reviewer.</w:t>
      </w:r>
    </w:p>
    <w:p>
      <w:pPr>
        <w:spacing w:after="90" w:line="264"/>
      </w:pPr>
      <w:r>
        <w:rPr>
          <w:b/>
          <w:bCs/>
          <w:color w:val="33363C"/>
        </w:rPr>
        <w:t xml:space="preserve">6. </w:t>
      </w:r>
      <w:r>
        <w:t xml:space="preserve">Traceability and ADRs: Antigravity completes Steps 7–8 of the Master Prompt (traceability matrix update, ADR draft) before requesting review, not after.</w:t>
      </w:r>
    </w:p>
    <w:p>
      <w:pPr>
        <w:spacing w:after="90" w:line="264"/>
      </w:pPr>
      <w:r>
        <w:rPr>
          <w:b/>
          <w:bCs/>
          <w:color w:val="33363C"/>
        </w:rPr>
        <w:t xml:space="preserve">7. </w:t>
      </w:r>
      <w:r>
        <w:t xml:space="preserve">Session Close: once the Pull Request is approved and merged, Antigravity confirms Step 9 (Definition of Done) and reports the six-item output summary specified in the Master Prompt's OUTPUT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An Antigravity session must never mark a Work Package's Definition of Done as satisfied unilaterally. Definition of Done sign-off requires the named human role specified in that Work Package's own Definition of Done field (Parts 5–8) — Antigravity's role is to confirm readiness for that sign-off, not to grant it.</w:t>
            </w:r>
          </w:p>
        </w:tc>
      </w:tr>
    </w:tbl>
    <w:p>
      <w:pPr>
        <w:pStyle w:val="Heading1"/>
        <w:pBdr>
          <w:bottom w:val="single" w:color="DAD3C0" w:sz="4" w:space="4"/>
        </w:pBdr>
        <w:spacing w:after="140" w:before="360"/>
      </w:pPr>
      <w:r>
        <w:rPr>
          <w:b/>
          <w:bCs/>
          <w:color w:val="97771F"/>
          <w:sz w:val="26"/>
          <w:szCs w:val="26"/>
        </w:rPr>
        <w:t xml:space="preserve">13.6  </w:t>
      </w:r>
      <w:r>
        <w:rPr>
          <w:b/>
          <w:bCs/>
          <w:color w:val="33363C"/>
          <w:sz w:val="26"/>
          <w:szCs w:val="26"/>
        </w:rPr>
        <w:t xml:space="preserve">Escalation and Blocker Resolution Protocol</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 blocker — a dependency failure, an ambiguous requirement, a failing environment — gets resolved without stalling a sprint.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Bounded escalation time keeps schedule risk visible and manageable, consistent with the Risk and Change Management process in Handbook Chapter 21.</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Escalation severity maps directly onto the Risk register categories already established across Work Packages in Parts 5–8.</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blocker remains unresolved and unescalated for more than one working day.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822"/>
        <w:gridCol w:w="2016"/>
        <w:gridCol w:w="2822"/>
      </w:tblGrid>
      <w:tr>
        <w:trPr>
          <w:tblHeader/>
        </w:trPr>
        <w:tc>
          <w:tcPr>
            <w:tcW w:type="dxa" w:w="2419"/>
            <w:shd w:fill="33363C" w:val="clear"/>
            <w:tcMar>
              <w:top w:type="dxa" w:w="70"/>
              <w:left w:type="dxa" w:w="110"/>
              <w:bottom w:type="dxa" w:w="70"/>
              <w:right w:type="dxa" w:w="110"/>
            </w:tcMar>
            <w:vAlign w:val="top"/>
          </w:tcPr>
          <w:p>
            <w:r>
              <w:rPr>
                <w:b/>
                <w:bCs/>
                <w:color w:val="FFFFFF"/>
                <w:sz w:val="17"/>
                <w:szCs w:val="17"/>
              </w:rPr>
              <w:t xml:space="preserve">Blocker Type</w:t>
            </w:r>
          </w:p>
        </w:tc>
        <w:tc>
          <w:tcPr>
            <w:tcW w:type="dxa" w:w="2822"/>
            <w:shd w:fill="33363C" w:val="clear"/>
            <w:tcMar>
              <w:top w:type="dxa" w:w="70"/>
              <w:left w:type="dxa" w:w="110"/>
              <w:bottom w:type="dxa" w:w="70"/>
              <w:right w:type="dxa" w:w="110"/>
            </w:tcMar>
            <w:vAlign w:val="top"/>
          </w:tcPr>
          <w:p>
            <w:r>
              <w:rPr>
                <w:b/>
                <w:bCs/>
                <w:color w:val="FFFFFF"/>
                <w:sz w:val="17"/>
                <w:szCs w:val="17"/>
              </w:rPr>
              <w:t xml:space="preserve">First Response</w:t>
            </w:r>
          </w:p>
        </w:tc>
        <w:tc>
          <w:tcPr>
            <w:tcW w:type="dxa" w:w="2016"/>
            <w:shd w:fill="33363C" w:val="clear"/>
            <w:tcMar>
              <w:top w:type="dxa" w:w="70"/>
              <w:left w:type="dxa" w:w="110"/>
              <w:bottom w:type="dxa" w:w="70"/>
              <w:right w:type="dxa" w:w="110"/>
            </w:tcMar>
            <w:vAlign w:val="top"/>
          </w:tcPr>
          <w:p>
            <w:r>
              <w:rPr>
                <w:b/>
                <w:bCs/>
                <w:color w:val="FFFFFF"/>
                <w:sz w:val="17"/>
                <w:szCs w:val="17"/>
              </w:rPr>
              <w:t xml:space="preserve">Escalate To</w:t>
            </w:r>
          </w:p>
        </w:tc>
        <w:tc>
          <w:tcPr>
            <w:tcW w:type="dxa" w:w="2822"/>
            <w:shd w:fill="33363C" w:val="clear"/>
            <w:tcMar>
              <w:top w:type="dxa" w:w="70"/>
              <w:left w:type="dxa" w:w="110"/>
              <w:bottom w:type="dxa" w:w="70"/>
              <w:right w:type="dxa" w:w="110"/>
            </w:tcMar>
            <w:vAlign w:val="top"/>
          </w:tcPr>
          <w:p>
            <w:r>
              <w:rPr>
                <w:b/>
                <w:bCs/>
                <w:color w:val="FFFFFF"/>
                <w:sz w:val="17"/>
                <w:szCs w:val="17"/>
              </w:rPr>
              <w:t xml:space="preserve">Escalation Trigger</w:t>
            </w:r>
          </w:p>
        </w:tc>
      </w:tr>
      <w:tr>
        <w:tc>
          <w:tcPr>
            <w:tcW w:type="dxa" w:w="2419"/>
            <w:tcMar>
              <w:top w:type="dxa" w:w="70"/>
              <w:left w:type="dxa" w:w="110"/>
              <w:bottom w:type="dxa" w:w="70"/>
              <w:right w:type="dxa" w:w="110"/>
            </w:tcMar>
            <w:vAlign w:val="top"/>
          </w:tcPr>
          <w:p>
            <w:r>
              <w:rPr>
                <w:b/>
                <w:bCs/>
                <w:color w:val="1A1A1A"/>
                <w:sz w:val="12"/>
                <w:szCs w:val="12"/>
              </w:rPr>
              <w:t xml:space="preserve">Dependency not actually Done</w:t>
            </w:r>
          </w:p>
        </w:tc>
        <w:tc>
          <w:tcPr>
            <w:tcW w:type="dxa" w:w="2822"/>
            <w:tcMar>
              <w:top w:type="dxa" w:w="70"/>
              <w:left w:type="dxa" w:w="110"/>
              <w:bottom w:type="dxa" w:w="70"/>
              <w:right w:type="dxa" w:w="110"/>
            </w:tcMar>
            <w:vAlign w:val="top"/>
          </w:tcPr>
          <w:p>
            <w:r>
              <w:rPr>
                <w:b w:val="false"/>
                <w:bCs w:val="false"/>
                <w:color w:val="1A1A1A"/>
                <w:sz w:val="12"/>
                <w:szCs w:val="12"/>
              </w:rPr>
              <w:t xml:space="preserve">Verify against the Dependency Matrix (Part 11) and the upstream Work Package's own Definition of Done.</w:t>
            </w:r>
          </w:p>
        </w:tc>
        <w:tc>
          <w:tcPr>
            <w:tcW w:type="dxa" w:w="2016"/>
            <w:tcMar>
              <w:top w:type="dxa" w:w="70"/>
              <w:left w:type="dxa" w:w="110"/>
              <w:bottom w:type="dxa" w:w="70"/>
              <w:right w:type="dxa" w:w="110"/>
            </w:tcMar>
            <w:vAlign w:val="top"/>
          </w:tcPr>
          <w:p>
            <w:r>
              <w:rPr>
                <w:b w:val="false"/>
                <w:bCs w:val="false"/>
                <w:color w:val="1A1A1A"/>
                <w:sz w:val="12"/>
                <w:szCs w:val="12"/>
              </w:rPr>
              <w:t xml:space="preserve">Technical Lead</w:t>
            </w:r>
          </w:p>
        </w:tc>
        <w:tc>
          <w:tcPr>
            <w:tcW w:type="dxa" w:w="2822"/>
            <w:tcMar>
              <w:top w:type="dxa" w:w="70"/>
              <w:left w:type="dxa" w:w="110"/>
              <w:bottom w:type="dxa" w:w="70"/>
              <w:right w:type="dxa" w:w="110"/>
            </w:tcMar>
            <w:vAlign w:val="top"/>
          </w:tcPr>
          <w:p>
            <w:r>
              <w:rPr>
                <w:b w:val="false"/>
                <w:bCs w:val="false"/>
                <w:color w:val="1A1A1A"/>
                <w:sz w:val="12"/>
                <w:szCs w:val="12"/>
              </w:rPr>
              <w:t xml:space="preserve">Immediately upon discovery — do not proceed on an unmet dependency.</w:t>
            </w:r>
          </w:p>
        </w:tc>
      </w:tr>
      <w:tr>
        <w:tc>
          <w:tcPr>
            <w:tcW w:type="dxa" w:w="2419"/>
            <w:tcMar>
              <w:top w:type="dxa" w:w="70"/>
              <w:left w:type="dxa" w:w="110"/>
              <w:bottom w:type="dxa" w:w="70"/>
              <w:right w:type="dxa" w:w="110"/>
            </w:tcMar>
            <w:vAlign w:val="top"/>
          </w:tcPr>
          <w:p>
            <w:r>
              <w:rPr>
                <w:b/>
                <w:bCs/>
                <w:color w:val="1A1A1A"/>
                <w:sz w:val="12"/>
                <w:szCs w:val="12"/>
              </w:rPr>
              <w:t xml:space="preserve">Ambiguous or conflicting requirement</w:t>
            </w:r>
          </w:p>
        </w:tc>
        <w:tc>
          <w:tcPr>
            <w:tcW w:type="dxa" w:w="2822"/>
            <w:tcMar>
              <w:top w:type="dxa" w:w="70"/>
              <w:left w:type="dxa" w:w="110"/>
              <w:bottom w:type="dxa" w:w="70"/>
              <w:right w:type="dxa" w:w="110"/>
            </w:tcMar>
            <w:vAlign w:val="top"/>
          </w:tcPr>
          <w:p>
            <w:r>
              <w:rPr>
                <w:b w:val="false"/>
                <w:bCs w:val="false"/>
                <w:color w:val="1A1A1A"/>
                <w:sz w:val="12"/>
                <w:szCs w:val="12"/>
              </w:rPr>
              <w:t xml:space="preserve">Check the Document Authority and Precedence Order (Part 1, Section 1.6).</w:t>
            </w:r>
          </w:p>
        </w:tc>
        <w:tc>
          <w:tcPr>
            <w:tcW w:type="dxa" w:w="2016"/>
            <w:tcMar>
              <w:top w:type="dxa" w:w="70"/>
              <w:left w:type="dxa" w:w="110"/>
              <w:bottom w:type="dxa" w:w="70"/>
              <w:right w:type="dxa" w:w="110"/>
            </w:tcMar>
            <w:vAlign w:val="top"/>
          </w:tcPr>
          <w:p>
            <w:r>
              <w:rPr>
                <w:b w:val="false"/>
                <w:bCs w:val="false"/>
                <w:color w:val="1A1A1A"/>
                <w:sz w:val="12"/>
                <w:szCs w:val="12"/>
              </w:rPr>
              <w:t xml:space="preserve">Enterprise Architect or Product Owner</w:t>
            </w:r>
          </w:p>
        </w:tc>
        <w:tc>
          <w:tcPr>
            <w:tcW w:type="dxa" w:w="2822"/>
            <w:tcMar>
              <w:top w:type="dxa" w:w="70"/>
              <w:left w:type="dxa" w:w="110"/>
              <w:bottom w:type="dxa" w:w="70"/>
              <w:right w:type="dxa" w:w="110"/>
            </w:tcMar>
            <w:vAlign w:val="top"/>
          </w:tcPr>
          <w:p>
            <w:r>
              <w:rPr>
                <w:b w:val="false"/>
                <w:bCs w:val="false"/>
                <w:color w:val="1A1A1A"/>
                <w:sz w:val="12"/>
                <w:szCs w:val="12"/>
              </w:rPr>
              <w:t xml:space="preserve">If precedence order does not resolve the ambiguity within the same working day.</w:t>
            </w:r>
          </w:p>
        </w:tc>
      </w:tr>
      <w:tr>
        <w:tc>
          <w:tcPr>
            <w:tcW w:type="dxa" w:w="2419"/>
            <w:tcMar>
              <w:top w:type="dxa" w:w="70"/>
              <w:left w:type="dxa" w:w="110"/>
              <w:bottom w:type="dxa" w:w="70"/>
              <w:right w:type="dxa" w:w="110"/>
            </w:tcMar>
            <w:vAlign w:val="top"/>
          </w:tcPr>
          <w:p>
            <w:r>
              <w:rPr>
                <w:b/>
                <w:bCs/>
                <w:color w:val="1A1A1A"/>
                <w:sz w:val="12"/>
                <w:szCs w:val="12"/>
              </w:rPr>
              <w:t xml:space="preserve">Failing CI / environment issue</w:t>
            </w:r>
          </w:p>
        </w:tc>
        <w:tc>
          <w:tcPr>
            <w:tcW w:type="dxa" w:w="2822"/>
            <w:tcMar>
              <w:top w:type="dxa" w:w="70"/>
              <w:left w:type="dxa" w:w="110"/>
              <w:bottom w:type="dxa" w:w="70"/>
              <w:right w:type="dxa" w:w="110"/>
            </w:tcMar>
            <w:vAlign w:val="top"/>
          </w:tcPr>
          <w:p>
            <w:r>
              <w:rPr>
                <w:b w:val="false"/>
                <w:bCs w:val="false"/>
                <w:color w:val="1A1A1A"/>
                <w:sz w:val="12"/>
                <w:szCs w:val="12"/>
              </w:rPr>
              <w:t xml:space="preserve">Check DevSecOps pipeline status and recent WP-03 changes.</w:t>
            </w:r>
          </w:p>
        </w:tc>
        <w:tc>
          <w:tcPr>
            <w:tcW w:type="dxa" w:w="2016"/>
            <w:tcMar>
              <w:top w:type="dxa" w:w="70"/>
              <w:left w:type="dxa" w:w="110"/>
              <w:bottom w:type="dxa" w:w="70"/>
              <w:right w:type="dxa" w:w="110"/>
            </w:tcMar>
            <w:vAlign w:val="top"/>
          </w:tcPr>
          <w:p>
            <w:r>
              <w:rPr>
                <w:b w:val="false"/>
                <w:bCs w:val="false"/>
                <w:color w:val="1A1A1A"/>
                <w:sz w:val="12"/>
                <w:szCs w:val="12"/>
              </w:rPr>
              <w:t xml:space="preserve">DevSecOps Lead</w:t>
            </w:r>
          </w:p>
        </w:tc>
        <w:tc>
          <w:tcPr>
            <w:tcW w:type="dxa" w:w="2822"/>
            <w:tcMar>
              <w:top w:type="dxa" w:w="70"/>
              <w:left w:type="dxa" w:w="110"/>
              <w:bottom w:type="dxa" w:w="70"/>
              <w:right w:type="dxa" w:w="110"/>
            </w:tcMar>
            <w:vAlign w:val="top"/>
          </w:tcPr>
          <w:p>
            <w:r>
              <w:rPr>
                <w:b w:val="false"/>
                <w:bCs w:val="false"/>
                <w:color w:val="1A1A1A"/>
                <w:sz w:val="12"/>
                <w:szCs w:val="12"/>
              </w:rPr>
              <w:t xml:space="preserve">If unresolved after one retry.</w:t>
            </w:r>
          </w:p>
        </w:tc>
      </w:tr>
      <w:tr>
        <w:tc>
          <w:tcPr>
            <w:tcW w:type="dxa" w:w="2419"/>
            <w:tcMar>
              <w:top w:type="dxa" w:w="70"/>
              <w:left w:type="dxa" w:w="110"/>
              <w:bottom w:type="dxa" w:w="70"/>
              <w:right w:type="dxa" w:w="110"/>
            </w:tcMar>
            <w:vAlign w:val="top"/>
          </w:tcPr>
          <w:p>
            <w:r>
              <w:rPr>
                <w:b/>
                <w:bCs/>
                <w:color w:val="1A1A1A"/>
                <w:sz w:val="12"/>
                <w:szCs w:val="12"/>
              </w:rPr>
              <w:t xml:space="preserve">Scope appears to exceed the Work Package's stated Scope field</w:t>
            </w:r>
          </w:p>
        </w:tc>
        <w:tc>
          <w:tcPr>
            <w:tcW w:type="dxa" w:w="2822"/>
            <w:tcMar>
              <w:top w:type="dxa" w:w="70"/>
              <w:left w:type="dxa" w:w="110"/>
              <w:bottom w:type="dxa" w:w="70"/>
              <w:right w:type="dxa" w:w="110"/>
            </w:tcMar>
            <w:vAlign w:val="top"/>
          </w:tcPr>
          <w:p>
            <w:r>
              <w:rPr>
                <w:b w:val="false"/>
                <w:bCs w:val="false"/>
                <w:color w:val="1A1A1A"/>
                <w:sz w:val="12"/>
                <w:szCs w:val="12"/>
              </w:rPr>
              <w:t xml:space="preserve">Re-read the Work Package's Out of Scope field (Parts 5–8); do not silently expand scope.</w:t>
            </w:r>
          </w:p>
        </w:tc>
        <w:tc>
          <w:tcPr>
            <w:tcW w:type="dxa" w:w="2016"/>
            <w:tcMar>
              <w:top w:type="dxa" w:w="70"/>
              <w:left w:type="dxa" w:w="110"/>
              <w:bottom w:type="dxa" w:w="70"/>
              <w:right w:type="dxa" w:w="110"/>
            </w:tcMar>
            <w:vAlign w:val="top"/>
          </w:tcPr>
          <w:p>
            <w:r>
              <w:rPr>
                <w:b w:val="false"/>
                <w:bCs w:val="false"/>
                <w:color w:val="1A1A1A"/>
                <w:sz w:val="12"/>
                <w:szCs w:val="12"/>
              </w:rPr>
              <w:t xml:space="preserve">Product Owner</w:t>
            </w:r>
          </w:p>
        </w:tc>
        <w:tc>
          <w:tcPr>
            <w:tcW w:type="dxa" w:w="2822"/>
            <w:tcMar>
              <w:top w:type="dxa" w:w="70"/>
              <w:left w:type="dxa" w:w="110"/>
              <w:bottom w:type="dxa" w:w="70"/>
              <w:right w:type="dxa" w:w="110"/>
            </w:tcMar>
            <w:vAlign w:val="top"/>
          </w:tcPr>
          <w:p>
            <w:r>
              <w:rPr>
                <w:b w:val="false"/>
                <w:bCs w:val="false"/>
                <w:color w:val="1A1A1A"/>
                <w:sz w:val="12"/>
                <w:szCs w:val="12"/>
              </w:rPr>
              <w:t xml:space="preserve">Before any code is written against the disputed scope.</w:t>
            </w:r>
          </w:p>
        </w:tc>
      </w:tr>
      <w:tr>
        <w:tc>
          <w:tcPr>
            <w:tcW w:type="dxa" w:w="2419"/>
            <w:tcMar>
              <w:top w:type="dxa" w:w="70"/>
              <w:left w:type="dxa" w:w="110"/>
              <w:bottom w:type="dxa" w:w="70"/>
              <w:right w:type="dxa" w:w="110"/>
            </w:tcMar>
            <w:vAlign w:val="top"/>
          </w:tcPr>
          <w:p>
            <w:r>
              <w:rPr>
                <w:b/>
                <w:bCs/>
                <w:color w:val="1A1A1A"/>
                <w:sz w:val="12"/>
                <w:szCs w:val="12"/>
              </w:rPr>
              <w:t xml:space="preserve">Security control cannot be satisfied as specified</w:t>
            </w:r>
          </w:p>
        </w:tc>
        <w:tc>
          <w:tcPr>
            <w:tcW w:type="dxa" w:w="2822"/>
            <w:tcMar>
              <w:top w:type="dxa" w:w="70"/>
              <w:left w:type="dxa" w:w="110"/>
              <w:bottom w:type="dxa" w:w="70"/>
              <w:right w:type="dxa" w:w="110"/>
            </w:tcMar>
            <w:vAlign w:val="top"/>
          </w:tcPr>
          <w:p>
            <w:r>
              <w:rPr>
                <w:b w:val="false"/>
                <w:bCs w:val="false"/>
                <w:color w:val="1A1A1A"/>
                <w:sz w:val="12"/>
                <w:szCs w:val="12"/>
              </w:rPr>
              <w:t xml:space="preserve">Consult Security Architecture and Appendix K.</w:t>
            </w:r>
          </w:p>
        </w:tc>
        <w:tc>
          <w:tcPr>
            <w:tcW w:type="dxa" w:w="2016"/>
            <w:tcMar>
              <w:top w:type="dxa" w:w="70"/>
              <w:left w:type="dxa" w:w="110"/>
              <w:bottom w:type="dxa" w:w="70"/>
              <w:right w:type="dxa" w:w="110"/>
            </w:tcMar>
            <w:vAlign w:val="top"/>
          </w:tcPr>
          <w:p>
            <w:r>
              <w:rPr>
                <w:b w:val="false"/>
                <w:bCs w:val="false"/>
                <w:color w:val="1A1A1A"/>
                <w:sz w:val="12"/>
                <w:szCs w:val="12"/>
              </w:rPr>
              <w:t xml:space="preserve">Security Architect</w:t>
            </w:r>
          </w:p>
        </w:tc>
        <w:tc>
          <w:tcPr>
            <w:tcW w:type="dxa" w:w="2822"/>
            <w:tcMar>
              <w:top w:type="dxa" w:w="70"/>
              <w:left w:type="dxa" w:w="110"/>
              <w:bottom w:type="dxa" w:w="70"/>
              <w:right w:type="dxa" w:w="110"/>
            </w:tcMar>
            <w:vAlign w:val="top"/>
          </w:tcPr>
          <w:p>
            <w:r>
              <w:rPr>
                <w:b w:val="false"/>
                <w:bCs w:val="false"/>
                <w:color w:val="1A1A1A"/>
                <w:sz w:val="12"/>
                <w:szCs w:val="12"/>
              </w:rPr>
              <w:t xml:space="preserve">Immediately — never merge a Work Package with a known-unsatisfied Security Control.</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AE9E7" w:sz="2"/>
              <w:left w:val="single" w:color="A13F2E" w:sz="24"/>
              <w:bottom w:val="single" w:color="FAE9E7" w:sz="2"/>
              <w:right w:val="single" w:color="FAE9E7" w:sz="2"/>
            </w:tcBorders>
            <w:shd w:fill="FAE9E7" w:val="clear"/>
            <w:tcMar>
              <w:top w:type="dxa" w:w="120"/>
              <w:left w:type="dxa" w:w="180"/>
              <w:bottom w:type="dxa" w:w="120"/>
              <w:right w:type="dxa" w:w="180"/>
            </w:tcMar>
          </w:tcPr>
          <w:p>
            <w:pPr>
              <w:spacing w:after="60"/>
            </w:pPr>
            <w:r>
              <w:rPr>
                <w:b/>
                <w:bCs/>
                <w:color w:val="A13F2E"/>
                <w:sz w:val="17"/>
                <w:szCs w:val="17"/>
              </w:rPr>
              <w:t xml:space="preserve">RISK</w:t>
            </w:r>
          </w:p>
          <w:p>
            <w:pPr>
              <w:spacing w:after="0"/>
            </w:pPr>
            <w:r>
              <w:rPr>
                <w:sz w:val="18"/>
                <w:szCs w:val="18"/>
              </w:rPr>
              <w:t xml:space="preserve">A blocker left unescalated past its trigger threshold shall be logged as a Risk against the current sprint, per Handbook Chapter 21, and reported at the next Sprint Review regardless of whether it was resolved in the interim.</w:t>
            </w:r>
          </w:p>
        </w:tc>
      </w:tr>
    </w:tbl>
    <w:p>
      <w:pPr>
        <w:pStyle w:val="Heading1"/>
        <w:pBdr>
          <w:bottom w:val="single" w:color="DAD3C0" w:sz="4" w:space="4"/>
        </w:pBdr>
        <w:spacing w:after="140" w:before="360"/>
      </w:pPr>
      <w:r>
        <w:rPr>
          <w:b/>
          <w:bCs/>
          <w:color w:val="97771F"/>
          <w:sz w:val="26"/>
          <w:szCs w:val="26"/>
        </w:rPr>
        <w:t xml:space="preserve">13.7  </w:t>
      </w:r>
      <w:r>
        <w:rPr>
          <w:b/>
          <w:bCs/>
          <w:color w:val="33363C"/>
          <w:sz w:val="26"/>
          <w:szCs w:val="26"/>
        </w:rPr>
        <w:t xml:space="preserve">Environment Promotion Workflow</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code moves from a developer's branch through to production.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 single, disciplined promotion path is the primary safeguard against an untested change reaching a government-facing production system.</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workflow is the practical execution of the CI/CD pipeline and environment configuration delivered under WP-03.</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code reaches production without passing through every environment stage and its associated gate.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AD3C0" w:sz="2"/>
              <w:left w:val="single" w:color="DAD3C0" w:sz="2"/>
              <w:bottom w:val="single" w:color="DAD3C0" w:sz="2"/>
              <w:right w:val="single" w:color="DAD3C0" w:sz="2"/>
            </w:tcBorders>
            <w:shd w:fill="F3F0E8" w:val="clear"/>
            <w:tcMar>
              <w:top w:type="dxa" w:w="140"/>
              <w:left w:type="dxa" w:w="200"/>
              <w:bottom w:type="dxa" w:w="140"/>
              <w:right w:type="dxa" w:w="200"/>
            </w:tcMar>
          </w:tcPr>
          <w:p>
            <w:pPr>
              <w:spacing w:after="0" w:line="240"/>
            </w:pPr>
            <w:r>
              <w:rPr>
                <w:rFonts w:ascii="Consolas" w:cs="Consolas" w:eastAsia="Consolas" w:hAnsi="Consolas"/>
                <w:color w:val="1C1E21"/>
                <w:sz w:val="17"/>
                <w:szCs w:val="17"/>
              </w:rPr>
              <w:t xml:space="preserve">Developer Branch</w:t>
            </w:r>
          </w:p>
          <w:p>
            <w:pPr>
              <w:spacing w:after="0" w:line="240"/>
            </w:pPr>
            <w:r>
              <w:rPr>
                <w:rFonts w:ascii="Consolas" w:cs="Consolas" w:eastAsia="Consolas" w:hAnsi="Consolas"/>
                <w:color w:val="1C1E21"/>
                <w:sz w:val="17"/>
                <w:szCs w:val="17"/>
              </w:rPr>
              <w:t xml:space="preserve">   │  (CI: build, unit test, security scan — Handbook Ch.15)</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Sprint Integration Branch</w:t>
            </w:r>
          </w:p>
          <w:p>
            <w:pPr>
              <w:spacing w:after="0" w:line="240"/>
            </w:pPr>
            <w:r>
              <w:rPr>
                <w:rFonts w:ascii="Consolas" w:cs="Consolas" w:eastAsia="Consolas" w:hAnsi="Consolas"/>
                <w:color w:val="1C1E21"/>
                <w:sz w:val="17"/>
                <w:szCs w:val="17"/>
              </w:rPr>
              <w:t xml:space="preserve">   │  (Sprint Exit Criteria gate — MEKB Part 9)</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Staging Environment</w:t>
            </w:r>
          </w:p>
          <w:p>
            <w:pPr>
              <w:spacing w:after="0" w:line="240"/>
            </w:pPr>
            <w:r>
              <w:rPr>
                <w:rFonts w:ascii="Consolas" w:cs="Consolas" w:eastAsia="Consolas" w:hAnsi="Consolas"/>
                <w:color w:val="1C1E21"/>
                <w:sz w:val="17"/>
                <w:szCs w:val="17"/>
              </w:rPr>
              <w:t xml:space="preserve">   │  (Integration test, UAT, performance test — per the Work Package's own</w:t>
            </w:r>
          </w:p>
          <w:p>
            <w:pPr>
              <w:spacing w:after="0" w:line="240"/>
            </w:pPr>
            <w:r>
              <w:rPr>
                <w:rFonts w:ascii="Consolas" w:cs="Consolas" w:eastAsia="Consolas" w:hAnsi="Consolas"/>
                <w:color w:val="1C1E21"/>
                <w:sz w:val="17"/>
                <w:szCs w:val="17"/>
              </w:rPr>
              <w:t xml:space="preserve">   │   Test Cases table, Parts 5–8)</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Release Candidate</w:t>
            </w:r>
          </w:p>
          <w:p>
            <w:pPr>
              <w:spacing w:after="0" w:line="240"/>
            </w:pPr>
            <w:r>
              <w:rPr>
                <w:rFonts w:ascii="Consolas" w:cs="Consolas" w:eastAsia="Consolas" w:hAnsi="Consolas"/>
                <w:color w:val="1C1E21"/>
                <w:sz w:val="17"/>
                <w:szCs w:val="17"/>
              </w:rPr>
              <w:t xml:space="preserve">   │  (WP-24 regression suite and Release Readiness Checklist — MEKB Part 8, WP-24)</w:t>
            </w:r>
          </w:p>
          <w:p>
            <w:pPr>
              <w:spacing w:after="0" w:line="240"/>
            </w:pPr>
            <w:r>
              <w:rPr>
                <w:rFonts w:ascii="Consolas" w:cs="Consolas" w:eastAsia="Consolas" w:hAnsi="Consolas"/>
                <w:color w:val="1C1E21"/>
                <w:sz w:val="17"/>
                <w:szCs w:val="17"/>
              </w:rPr>
              <w:t xml:space="preserve">   ▼</w:t>
            </w:r>
          </w:p>
          <w:p>
            <w:pPr>
              <w:spacing w:after="0" w:line="240"/>
            </w:pPr>
            <w:r>
              <w:rPr>
                <w:rFonts w:ascii="Consolas" w:cs="Consolas" w:eastAsia="Consolas" w:hAnsi="Consolas"/>
                <w:color w:val="1C1E21"/>
                <w:sz w:val="17"/>
                <w:szCs w:val="17"/>
              </w:rPr>
              <w:t xml:space="preserve">Production</w:t>
            </w:r>
          </w:p>
          <w:p>
            <w:pPr>
              <w:spacing w:after="0" w:line="240"/>
            </w:pPr>
            <w:r>
              <w:rPr>
                <w:rFonts w:ascii="Consolas" w:cs="Consolas" w:eastAsia="Consolas" w:hAnsi="Consolas"/>
                <w:color w:val="1C1E21"/>
                <w:sz w:val="17"/>
                <w:szCs w:val="17"/>
              </w:rPr>
              <w:t xml:space="preserve">      (Deployment executed per PDIB Part 13; go-live milestones per Appendix O)</w:t>
            </w:r>
          </w:p>
        </w:tc>
      </w:tr>
    </w:tbl>
    <w:p>
      <w:pPr>
        <w:spacing w:after="150" w:line="276"/>
        <w:jc w:val="both"/>
      </w:pPr>
      <w:r>
        <w:t xml:space="preserve">No environment stage may be skipped. A hotfix required outside the normal sprint cycle still passes through Staging before Production, with an expedited but not eliminated review at each gate, per Handbook Chapter 21 (Risk and Change Management).</w:t>
      </w:r>
    </w:p>
    <w:p>
      <w:pPr>
        <w:pStyle w:val="Heading1"/>
        <w:pBdr>
          <w:bottom w:val="single" w:color="DAD3C0" w:sz="4" w:space="4"/>
        </w:pBdr>
        <w:spacing w:after="140" w:before="360"/>
      </w:pPr>
      <w:r>
        <w:rPr>
          <w:b/>
          <w:bCs/>
          <w:color w:val="97771F"/>
          <w:sz w:val="26"/>
          <w:szCs w:val="26"/>
        </w:rPr>
        <w:t xml:space="preserve">13.8  </w:t>
      </w:r>
      <w:r>
        <w:rPr>
          <w:b/>
          <w:bCs/>
          <w:color w:val="33363C"/>
          <w:sz w:val="26"/>
          <w:szCs w:val="26"/>
        </w:rPr>
        <w:t xml:space="preserve">Incident and Defect Handling During a Sprint</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 defect discovered mid-sprint — whether in new or previously delivered functionality — is triaged and resolved.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defects from silently accumulating between the Work-Package-level testing in Parts 5–8 and the full regression pass in WP-24.</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Severity classification here is consistent with the Defect Management Process defined in TSAS Part 14.</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defect triaged within one working day and tracked to resolution or formal deferral.</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234"/>
        <w:gridCol w:w="4032"/>
      </w:tblGrid>
      <w:tr>
        <w:trPr>
          <w:tblHeader/>
        </w:trPr>
        <w:tc>
          <w:tcPr>
            <w:tcW w:type="dxa" w:w="1814"/>
            <w:shd w:fill="33363C" w:val="clear"/>
            <w:tcMar>
              <w:top w:type="dxa" w:w="70"/>
              <w:left w:type="dxa" w:w="110"/>
              <w:bottom w:type="dxa" w:w="70"/>
              <w:right w:type="dxa" w:w="110"/>
            </w:tcMar>
            <w:vAlign w:val="top"/>
          </w:tcPr>
          <w:p>
            <w:r>
              <w:rPr>
                <w:b/>
                <w:bCs/>
                <w:color w:val="FFFFFF"/>
                <w:sz w:val="17"/>
                <w:szCs w:val="17"/>
              </w:rPr>
              <w:t xml:space="preserve">Severity</w:t>
            </w:r>
          </w:p>
        </w:tc>
        <w:tc>
          <w:tcPr>
            <w:tcW w:type="dxa" w:w="4234"/>
            <w:shd w:fill="33363C" w:val="clear"/>
            <w:tcMar>
              <w:top w:type="dxa" w:w="70"/>
              <w:left w:type="dxa" w:w="110"/>
              <w:bottom w:type="dxa" w:w="70"/>
              <w:right w:type="dxa" w:w="110"/>
            </w:tcMar>
            <w:vAlign w:val="top"/>
          </w:tcPr>
          <w:p>
            <w:r>
              <w:rPr>
                <w:b/>
                <w:bCs/>
                <w:color w:val="FFFFFF"/>
                <w:sz w:val="17"/>
                <w:szCs w:val="17"/>
              </w:rPr>
              <w:t xml:space="preserve">Definition</w:t>
            </w:r>
          </w:p>
        </w:tc>
        <w:tc>
          <w:tcPr>
            <w:tcW w:type="dxa" w:w="4032"/>
            <w:shd w:fill="33363C" w:val="clear"/>
            <w:tcMar>
              <w:top w:type="dxa" w:w="70"/>
              <w:left w:type="dxa" w:w="110"/>
              <w:bottom w:type="dxa" w:w="70"/>
              <w:right w:type="dxa" w:w="110"/>
            </w:tcMar>
            <w:vAlign w:val="top"/>
          </w:tcPr>
          <w:p>
            <w:r>
              <w:rPr>
                <w:b/>
                <w:bCs/>
                <w:color w:val="FFFFFF"/>
                <w:sz w:val="17"/>
                <w:szCs w:val="17"/>
              </w:rPr>
              <w:t xml:space="preserve">Response</w:t>
            </w:r>
          </w:p>
        </w:tc>
      </w:tr>
      <w:tr>
        <w:tc>
          <w:tcPr>
            <w:tcW w:type="dxa" w:w="1814"/>
            <w:tcMar>
              <w:top w:type="dxa" w:w="70"/>
              <w:left w:type="dxa" w:w="110"/>
              <w:bottom w:type="dxa" w:w="70"/>
              <w:right w:type="dxa" w:w="110"/>
            </w:tcMar>
            <w:vAlign w:val="top"/>
          </w:tcPr>
          <w:p>
            <w:r>
              <w:rPr>
                <w:b/>
                <w:bCs/>
                <w:color w:val="1A1A1A"/>
                <w:sz w:val="12"/>
                <w:szCs w:val="12"/>
              </w:rPr>
              <w:t xml:space="preserve">Severity 1 — Critical</w:t>
            </w:r>
          </w:p>
        </w:tc>
        <w:tc>
          <w:tcPr>
            <w:tcW w:type="dxa" w:w="4234"/>
            <w:tcMar>
              <w:top w:type="dxa" w:w="70"/>
              <w:left w:type="dxa" w:w="110"/>
              <w:bottom w:type="dxa" w:w="70"/>
              <w:right w:type="dxa" w:w="110"/>
            </w:tcMar>
            <w:vAlign w:val="top"/>
          </w:tcPr>
          <w:p>
            <w:r>
              <w:rPr>
                <w:b w:val="false"/>
                <w:bCs w:val="false"/>
                <w:color w:val="1A1A1A"/>
                <w:sz w:val="12"/>
                <w:szCs w:val="12"/>
              </w:rPr>
              <w:t xml:space="preserve">Data loss, security breach, or complete loss of a Must Have capability.</w:t>
            </w:r>
          </w:p>
        </w:tc>
        <w:tc>
          <w:tcPr>
            <w:tcW w:type="dxa" w:w="4032"/>
            <w:tcMar>
              <w:top w:type="dxa" w:w="70"/>
              <w:left w:type="dxa" w:w="110"/>
              <w:bottom w:type="dxa" w:w="70"/>
              <w:right w:type="dxa" w:w="110"/>
            </w:tcMar>
            <w:vAlign w:val="top"/>
          </w:tcPr>
          <w:p>
            <w:r>
              <w:rPr>
                <w:b w:val="false"/>
                <w:bCs w:val="false"/>
                <w:color w:val="1A1A1A"/>
                <w:sz w:val="12"/>
                <w:szCs w:val="12"/>
              </w:rPr>
              <w:t xml:space="preserve">Immediate all-hands response; current sprint work pauses if necessary; Security Architect notified for any security-related defect.</w:t>
            </w:r>
          </w:p>
        </w:tc>
      </w:tr>
      <w:tr>
        <w:tc>
          <w:tcPr>
            <w:tcW w:type="dxa" w:w="1814"/>
            <w:tcMar>
              <w:top w:type="dxa" w:w="70"/>
              <w:left w:type="dxa" w:w="110"/>
              <w:bottom w:type="dxa" w:w="70"/>
              <w:right w:type="dxa" w:w="110"/>
            </w:tcMar>
            <w:vAlign w:val="top"/>
          </w:tcPr>
          <w:p>
            <w:r>
              <w:rPr>
                <w:b/>
                <w:bCs/>
                <w:color w:val="1A1A1A"/>
                <w:sz w:val="12"/>
                <w:szCs w:val="12"/>
              </w:rPr>
              <w:t xml:space="preserve">Severity 2 — High</w:t>
            </w:r>
          </w:p>
        </w:tc>
        <w:tc>
          <w:tcPr>
            <w:tcW w:type="dxa" w:w="4234"/>
            <w:tcMar>
              <w:top w:type="dxa" w:w="70"/>
              <w:left w:type="dxa" w:w="110"/>
              <w:bottom w:type="dxa" w:w="70"/>
              <w:right w:type="dxa" w:w="110"/>
            </w:tcMar>
            <w:vAlign w:val="top"/>
          </w:tcPr>
          <w:p>
            <w:r>
              <w:rPr>
                <w:b w:val="false"/>
                <w:bCs w:val="false"/>
                <w:color w:val="1A1A1A"/>
                <w:sz w:val="12"/>
                <w:szCs w:val="12"/>
              </w:rPr>
              <w:t xml:space="preserve">A Must Have or Should Have Acceptance Criterion is violated with no workaround.</w:t>
            </w:r>
          </w:p>
        </w:tc>
        <w:tc>
          <w:tcPr>
            <w:tcW w:type="dxa" w:w="4032"/>
            <w:tcMar>
              <w:top w:type="dxa" w:w="70"/>
              <w:left w:type="dxa" w:w="110"/>
              <w:bottom w:type="dxa" w:w="70"/>
              <w:right w:type="dxa" w:w="110"/>
            </w:tcMar>
            <w:vAlign w:val="top"/>
          </w:tcPr>
          <w:p>
            <w:r>
              <w:rPr>
                <w:b w:val="false"/>
                <w:bCs w:val="false"/>
                <w:color w:val="1A1A1A"/>
                <w:sz w:val="12"/>
                <w:szCs w:val="12"/>
              </w:rPr>
              <w:t xml:space="preserve">Fixed within the current sprint; blocks the affected Work Package's Definition of Done.</w:t>
            </w:r>
          </w:p>
        </w:tc>
      </w:tr>
      <w:tr>
        <w:tc>
          <w:tcPr>
            <w:tcW w:type="dxa" w:w="1814"/>
            <w:tcMar>
              <w:top w:type="dxa" w:w="70"/>
              <w:left w:type="dxa" w:w="110"/>
              <w:bottom w:type="dxa" w:w="70"/>
              <w:right w:type="dxa" w:w="110"/>
            </w:tcMar>
            <w:vAlign w:val="top"/>
          </w:tcPr>
          <w:p>
            <w:r>
              <w:rPr>
                <w:b/>
                <w:bCs/>
                <w:color w:val="1A1A1A"/>
                <w:sz w:val="12"/>
                <w:szCs w:val="12"/>
              </w:rPr>
              <w:t xml:space="preserve">Severity 3 — Medium</w:t>
            </w:r>
          </w:p>
        </w:tc>
        <w:tc>
          <w:tcPr>
            <w:tcW w:type="dxa" w:w="4234"/>
            <w:tcMar>
              <w:top w:type="dxa" w:w="70"/>
              <w:left w:type="dxa" w:w="110"/>
              <w:bottom w:type="dxa" w:w="70"/>
              <w:right w:type="dxa" w:w="110"/>
            </w:tcMar>
            <w:vAlign w:val="top"/>
          </w:tcPr>
          <w:p>
            <w:r>
              <w:rPr>
                <w:b w:val="false"/>
                <w:bCs w:val="false"/>
                <w:color w:val="1A1A1A"/>
                <w:sz w:val="12"/>
                <w:szCs w:val="12"/>
              </w:rPr>
              <w:t xml:space="preserve">A Should Have or Could Have Acceptance Criterion is violated, or a workaround exists.</w:t>
            </w:r>
          </w:p>
        </w:tc>
        <w:tc>
          <w:tcPr>
            <w:tcW w:type="dxa" w:w="4032"/>
            <w:tcMar>
              <w:top w:type="dxa" w:w="70"/>
              <w:left w:type="dxa" w:w="110"/>
              <w:bottom w:type="dxa" w:w="70"/>
              <w:right w:type="dxa" w:w="110"/>
            </w:tcMar>
            <w:vAlign w:val="top"/>
          </w:tcPr>
          <w:p>
            <w:r>
              <w:rPr>
                <w:b w:val="false"/>
                <w:bCs w:val="false"/>
                <w:color w:val="1A1A1A"/>
                <w:sz w:val="12"/>
                <w:szCs w:val="12"/>
              </w:rPr>
              <w:t xml:space="preserve">Logged and scheduled; does not block the current Work Package's Definition of Done unless it is the specific criterion violated.</w:t>
            </w:r>
          </w:p>
        </w:tc>
      </w:tr>
      <w:tr>
        <w:tc>
          <w:tcPr>
            <w:tcW w:type="dxa" w:w="1814"/>
            <w:tcMar>
              <w:top w:type="dxa" w:w="70"/>
              <w:left w:type="dxa" w:w="110"/>
              <w:bottom w:type="dxa" w:w="70"/>
              <w:right w:type="dxa" w:w="110"/>
            </w:tcMar>
            <w:vAlign w:val="top"/>
          </w:tcPr>
          <w:p>
            <w:r>
              <w:rPr>
                <w:b/>
                <w:bCs/>
                <w:color w:val="1A1A1A"/>
                <w:sz w:val="12"/>
                <w:szCs w:val="12"/>
              </w:rPr>
              <w:t xml:space="preserve">Severity 4 — Low</w:t>
            </w:r>
          </w:p>
        </w:tc>
        <w:tc>
          <w:tcPr>
            <w:tcW w:type="dxa" w:w="4234"/>
            <w:tcMar>
              <w:top w:type="dxa" w:w="70"/>
              <w:left w:type="dxa" w:w="110"/>
              <w:bottom w:type="dxa" w:w="70"/>
              <w:right w:type="dxa" w:w="110"/>
            </w:tcMar>
            <w:vAlign w:val="top"/>
          </w:tcPr>
          <w:p>
            <w:r>
              <w:rPr>
                <w:b w:val="false"/>
                <w:bCs w:val="false"/>
                <w:color w:val="1A1A1A"/>
                <w:sz w:val="12"/>
                <w:szCs w:val="12"/>
              </w:rPr>
              <w:t xml:space="preserve">Cosmetic or minor usability issue with no functional impact.</w:t>
            </w:r>
          </w:p>
        </w:tc>
        <w:tc>
          <w:tcPr>
            <w:tcW w:type="dxa" w:w="4032"/>
            <w:tcMar>
              <w:top w:type="dxa" w:w="70"/>
              <w:left w:type="dxa" w:w="110"/>
              <w:bottom w:type="dxa" w:w="70"/>
              <w:right w:type="dxa" w:w="110"/>
            </w:tcMar>
            <w:vAlign w:val="top"/>
          </w:tcPr>
          <w:p>
            <w:r>
              <w:rPr>
                <w:b w:val="false"/>
                <w:bCs w:val="false"/>
                <w:color w:val="1A1A1A"/>
                <w:sz w:val="12"/>
                <w:szCs w:val="12"/>
              </w:rPr>
              <w:t xml:space="preserve">Logged in the backlog for future sprint prioritization.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COMPLIANCE REQUIREMENT</w:t>
            </w:r>
          </w:p>
          <w:p>
            <w:pPr>
              <w:spacing w:after="0"/>
            </w:pPr>
            <w:r>
              <w:rPr>
                <w:sz w:val="18"/>
                <w:szCs w:val="18"/>
              </w:rPr>
              <w:t xml:space="preserve">Per WP-24's own Acceptance Criteria (MEKB Part 8), zero unresolved Severity 1 or Severity 2 defects may remain open at the Release Readiness gate. Any Severity 1/2 defect discovered during a sprint must be tracked to closure, not merely logged.</w:t>
            </w:r>
          </w:p>
        </w:tc>
      </w:tr>
    </w:tbl>
    <w:p>
      <w:pPr>
        <w:pStyle w:val="Heading1"/>
        <w:pBdr>
          <w:bottom w:val="single" w:color="DAD3C0" w:sz="4" w:space="4"/>
        </w:pBdr>
        <w:spacing w:after="140" w:before="360"/>
      </w:pPr>
      <w:r>
        <w:rPr>
          <w:b/>
          <w:bCs/>
          <w:color w:val="97771F"/>
          <w:sz w:val="26"/>
          <w:szCs w:val="26"/>
        </w:rPr>
        <w:t xml:space="preserve">13.9  </w:t>
      </w:r>
      <w:r>
        <w:rPr>
          <w:b/>
          <w:bCs/>
          <w:color w:val="33363C"/>
          <w:sz w:val="26"/>
          <w:szCs w:val="26"/>
        </w:rPr>
        <w:t xml:space="preserve">Sprint Ceremonies Playbook</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 agenda for each sprint ceremony, mapped to the Agile Delivery Framework in PDIB Part 6.</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Consistent ceremony structure keeps sprint overhead predictable across a twenty-sprint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Ceremony inputs and outputs are drawn directly from the artifacts already fixed in Parts 9 and 10.</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sprint ceremony has a fixed agenda, inputs, and outputs — no ceremony is improvised.</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226"/>
        <w:gridCol w:w="3830"/>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Ceremony</w:t>
            </w:r>
          </w:p>
        </w:tc>
        <w:tc>
          <w:tcPr>
            <w:tcW w:type="dxa" w:w="1411"/>
            <w:shd w:fill="33363C" w:val="clear"/>
            <w:tcMar>
              <w:top w:type="dxa" w:w="70"/>
              <w:left w:type="dxa" w:w="110"/>
              <w:bottom w:type="dxa" w:w="70"/>
              <w:right w:type="dxa" w:w="110"/>
            </w:tcMar>
            <w:vAlign w:val="top"/>
          </w:tcPr>
          <w:p>
            <w:r>
              <w:rPr>
                <w:b/>
                <w:bCs/>
                <w:color w:val="FFFFFF"/>
                <w:sz w:val="17"/>
                <w:szCs w:val="17"/>
              </w:rPr>
              <w:t xml:space="preserve">Timing</w:t>
            </w:r>
          </w:p>
        </w:tc>
        <w:tc>
          <w:tcPr>
            <w:tcW w:type="dxa" w:w="3226"/>
            <w:shd w:fill="33363C" w:val="clear"/>
            <w:tcMar>
              <w:top w:type="dxa" w:w="70"/>
              <w:left w:type="dxa" w:w="110"/>
              <w:bottom w:type="dxa" w:w="70"/>
              <w:right w:type="dxa" w:w="110"/>
            </w:tcMar>
            <w:vAlign w:val="top"/>
          </w:tcPr>
          <w:p>
            <w:r>
              <w:rPr>
                <w:b/>
                <w:bCs/>
                <w:color w:val="FFFFFF"/>
                <w:sz w:val="17"/>
                <w:szCs w:val="17"/>
              </w:rPr>
              <w:t xml:space="preserve">Inputs</w:t>
            </w:r>
          </w:p>
        </w:tc>
        <w:tc>
          <w:tcPr>
            <w:tcW w:type="dxa" w:w="3830"/>
            <w:shd w:fill="33363C" w:val="clear"/>
            <w:tcMar>
              <w:top w:type="dxa" w:w="70"/>
              <w:left w:type="dxa" w:w="110"/>
              <w:bottom w:type="dxa" w:w="70"/>
              <w:right w:type="dxa" w:w="110"/>
            </w:tcMar>
            <w:vAlign w:val="top"/>
          </w:tcPr>
          <w:p>
            <w:r>
              <w:rPr>
                <w:b/>
                <w:bCs/>
                <w:color w:val="FFFFFF"/>
                <w:sz w:val="17"/>
                <w:szCs w:val="17"/>
              </w:rPr>
              <w:t xml:space="preserve">Outputs</w:t>
            </w:r>
          </w:p>
        </w:tc>
      </w:tr>
      <w:tr>
        <w:tc>
          <w:tcPr>
            <w:tcW w:type="dxa" w:w="1613"/>
            <w:tcMar>
              <w:top w:type="dxa" w:w="70"/>
              <w:left w:type="dxa" w:w="110"/>
              <w:bottom w:type="dxa" w:w="70"/>
              <w:right w:type="dxa" w:w="110"/>
            </w:tcMar>
            <w:vAlign w:val="top"/>
          </w:tcPr>
          <w:p>
            <w:r>
              <w:rPr>
                <w:b/>
                <w:bCs/>
                <w:color w:val="1A1A1A"/>
                <w:sz w:val="11"/>
                <w:szCs w:val="11"/>
              </w:rPr>
              <w:t xml:space="preserve">Sprint Planning</w:t>
            </w:r>
          </w:p>
        </w:tc>
        <w:tc>
          <w:tcPr>
            <w:tcW w:type="dxa" w:w="1411"/>
            <w:tcMar>
              <w:top w:type="dxa" w:w="70"/>
              <w:left w:type="dxa" w:w="110"/>
              <w:bottom w:type="dxa" w:w="70"/>
              <w:right w:type="dxa" w:w="110"/>
            </w:tcMar>
            <w:vAlign w:val="top"/>
          </w:tcPr>
          <w:p>
            <w:r>
              <w:rPr>
                <w:b w:val="false"/>
                <w:bCs w:val="false"/>
                <w:color w:val="1A1A1A"/>
                <w:sz w:val="11"/>
                <w:szCs w:val="11"/>
              </w:rPr>
              <w:t xml:space="preserve">Day 1 of sprint</w:t>
            </w:r>
          </w:p>
        </w:tc>
        <w:tc>
          <w:tcPr>
            <w:tcW w:type="dxa" w:w="3226"/>
            <w:tcMar>
              <w:top w:type="dxa" w:w="70"/>
              <w:left w:type="dxa" w:w="110"/>
              <w:bottom w:type="dxa" w:w="70"/>
              <w:right w:type="dxa" w:w="110"/>
            </w:tcMar>
            <w:vAlign w:val="top"/>
          </w:tcPr>
          <w:p>
            <w:r>
              <w:rPr>
                <w:b w:val="false"/>
                <w:bCs w:val="false"/>
                <w:color w:val="1A1A1A"/>
                <w:sz w:val="11"/>
                <w:szCs w:val="11"/>
              </w:rPr>
              <w:t xml:space="preserve">This sprint's entry in the Sprint Roadmap (Part 9); relevant Work Packages (Parts 5–8); Backlog stories (Part 10).</w:t>
            </w:r>
          </w:p>
        </w:tc>
        <w:tc>
          <w:tcPr>
            <w:tcW w:type="dxa" w:w="3830"/>
            <w:tcMar>
              <w:top w:type="dxa" w:w="70"/>
              <w:left w:type="dxa" w:w="110"/>
              <w:bottom w:type="dxa" w:w="70"/>
              <w:right w:type="dxa" w:w="110"/>
            </w:tcMar>
            <w:vAlign w:val="top"/>
          </w:tcPr>
          <w:p>
            <w:r>
              <w:rPr>
                <w:b w:val="false"/>
                <w:bCs w:val="false"/>
                <w:color w:val="1A1A1A"/>
                <w:sz w:val="11"/>
                <w:szCs w:val="11"/>
              </w:rPr>
              <w:t xml:space="preserve">Confirmed Sprint-Ready Work Packages; Tasks assigned to engineers and Antigravity sessions.</w:t>
            </w:r>
          </w:p>
        </w:tc>
      </w:tr>
      <w:tr>
        <w:tc>
          <w:tcPr>
            <w:tcW w:type="dxa" w:w="1613"/>
            <w:tcMar>
              <w:top w:type="dxa" w:w="70"/>
              <w:left w:type="dxa" w:w="110"/>
              <w:bottom w:type="dxa" w:w="70"/>
              <w:right w:type="dxa" w:w="110"/>
            </w:tcMar>
            <w:vAlign w:val="top"/>
          </w:tcPr>
          <w:p>
            <w:r>
              <w:rPr>
                <w:b/>
                <w:bCs/>
                <w:color w:val="1A1A1A"/>
                <w:sz w:val="11"/>
                <w:szCs w:val="11"/>
              </w:rPr>
              <w:t xml:space="preserve">Daily Standup</w:t>
            </w:r>
          </w:p>
        </w:tc>
        <w:tc>
          <w:tcPr>
            <w:tcW w:type="dxa" w:w="1411"/>
            <w:tcMar>
              <w:top w:type="dxa" w:w="70"/>
              <w:left w:type="dxa" w:w="110"/>
              <w:bottom w:type="dxa" w:w="70"/>
              <w:right w:type="dxa" w:w="110"/>
            </w:tcMar>
            <w:vAlign w:val="top"/>
          </w:tcPr>
          <w:p>
            <w:r>
              <w:rPr>
                <w:b w:val="false"/>
                <w:bCs w:val="false"/>
                <w:color w:val="1A1A1A"/>
                <w:sz w:val="11"/>
                <w:szCs w:val="11"/>
              </w:rPr>
              <w:t xml:space="preserve">Every working day</w:t>
            </w:r>
          </w:p>
        </w:tc>
        <w:tc>
          <w:tcPr>
            <w:tcW w:type="dxa" w:w="3226"/>
            <w:tcMar>
              <w:top w:type="dxa" w:w="70"/>
              <w:left w:type="dxa" w:w="110"/>
              <w:bottom w:type="dxa" w:w="70"/>
              <w:right w:type="dxa" w:w="110"/>
            </w:tcMar>
            <w:vAlign w:val="top"/>
          </w:tcPr>
          <w:p>
            <w:r>
              <w:rPr>
                <w:b w:val="false"/>
                <w:bCs w:val="false"/>
                <w:color w:val="1A1A1A"/>
                <w:sz w:val="11"/>
                <w:szCs w:val="11"/>
              </w:rPr>
              <w:t xml:space="preserve">Sprint Board status.</w:t>
            </w:r>
          </w:p>
        </w:tc>
        <w:tc>
          <w:tcPr>
            <w:tcW w:type="dxa" w:w="3830"/>
            <w:tcMar>
              <w:top w:type="dxa" w:w="70"/>
              <w:left w:type="dxa" w:w="110"/>
              <w:bottom w:type="dxa" w:w="70"/>
              <w:right w:type="dxa" w:w="110"/>
            </w:tcMar>
            <w:vAlign w:val="top"/>
          </w:tcPr>
          <w:p>
            <w:r>
              <w:rPr>
                <w:b w:val="false"/>
                <w:bCs w:val="false"/>
                <w:color w:val="1A1A1A"/>
                <w:sz w:val="11"/>
                <w:szCs w:val="11"/>
              </w:rPr>
              <w:t xml:space="preserve">Updated board; blockers logged per Section 13.6.</w:t>
            </w:r>
          </w:p>
        </w:tc>
      </w:tr>
      <w:tr>
        <w:tc>
          <w:tcPr>
            <w:tcW w:type="dxa" w:w="1613"/>
            <w:tcMar>
              <w:top w:type="dxa" w:w="70"/>
              <w:left w:type="dxa" w:w="110"/>
              <w:bottom w:type="dxa" w:w="70"/>
              <w:right w:type="dxa" w:w="110"/>
            </w:tcMar>
            <w:vAlign w:val="top"/>
          </w:tcPr>
          <w:p>
            <w:r>
              <w:rPr>
                <w:b/>
                <w:bCs/>
                <w:color w:val="1A1A1A"/>
                <w:sz w:val="11"/>
                <w:szCs w:val="11"/>
              </w:rPr>
              <w:t xml:space="preserve">Backlog Refinement</w:t>
            </w:r>
          </w:p>
        </w:tc>
        <w:tc>
          <w:tcPr>
            <w:tcW w:type="dxa" w:w="1411"/>
            <w:tcMar>
              <w:top w:type="dxa" w:w="70"/>
              <w:left w:type="dxa" w:w="110"/>
              <w:bottom w:type="dxa" w:w="70"/>
              <w:right w:type="dxa" w:w="110"/>
            </w:tcMar>
            <w:vAlign w:val="top"/>
          </w:tcPr>
          <w:p>
            <w:r>
              <w:rPr>
                <w:b w:val="false"/>
                <w:bCs w:val="false"/>
                <w:color w:val="1A1A1A"/>
                <w:sz w:val="11"/>
                <w:szCs w:val="11"/>
              </w:rPr>
              <w:t xml:space="preserve">Mid-sprint</w:t>
            </w:r>
          </w:p>
        </w:tc>
        <w:tc>
          <w:tcPr>
            <w:tcW w:type="dxa" w:w="3226"/>
            <w:tcMar>
              <w:top w:type="dxa" w:w="70"/>
              <w:left w:type="dxa" w:w="110"/>
              <w:bottom w:type="dxa" w:w="70"/>
              <w:right w:type="dxa" w:w="110"/>
            </w:tcMar>
            <w:vAlign w:val="top"/>
          </w:tcPr>
          <w:p>
            <w:r>
              <w:rPr>
                <w:b w:val="false"/>
                <w:bCs w:val="false"/>
                <w:color w:val="1A1A1A"/>
                <w:sz w:val="11"/>
                <w:szCs w:val="11"/>
              </w:rPr>
              <w:t xml:space="preserve">Upcoming sprint's Work Packages (Part 9); any Change Requests raised.</w:t>
            </w:r>
          </w:p>
        </w:tc>
        <w:tc>
          <w:tcPr>
            <w:tcW w:type="dxa" w:w="3830"/>
            <w:tcMar>
              <w:top w:type="dxa" w:w="70"/>
              <w:left w:type="dxa" w:w="110"/>
              <w:bottom w:type="dxa" w:w="70"/>
              <w:right w:type="dxa" w:w="110"/>
            </w:tcMar>
            <w:vAlign w:val="top"/>
          </w:tcPr>
          <w:p>
            <w:r>
              <w:rPr>
                <w:b w:val="false"/>
                <w:bCs w:val="false"/>
                <w:color w:val="1A1A1A"/>
                <w:sz w:val="11"/>
                <w:szCs w:val="11"/>
              </w:rPr>
              <w:t xml:space="preserve">Refined story detail for the next 1–2 sprints; re-estimated points if needed.</w:t>
            </w:r>
          </w:p>
        </w:tc>
      </w:tr>
      <w:tr>
        <w:tc>
          <w:tcPr>
            <w:tcW w:type="dxa" w:w="1613"/>
            <w:tcMar>
              <w:top w:type="dxa" w:w="70"/>
              <w:left w:type="dxa" w:w="110"/>
              <w:bottom w:type="dxa" w:w="70"/>
              <w:right w:type="dxa" w:w="110"/>
            </w:tcMar>
            <w:vAlign w:val="top"/>
          </w:tcPr>
          <w:p>
            <w:r>
              <w:rPr>
                <w:b/>
                <w:bCs/>
                <w:color w:val="1A1A1A"/>
                <w:sz w:val="11"/>
                <w:szCs w:val="11"/>
              </w:rPr>
              <w:t xml:space="preserve">Sprint Review</w:t>
            </w:r>
          </w:p>
        </w:tc>
        <w:tc>
          <w:tcPr>
            <w:tcW w:type="dxa" w:w="1411"/>
            <w:tcMar>
              <w:top w:type="dxa" w:w="70"/>
              <w:left w:type="dxa" w:w="110"/>
              <w:bottom w:type="dxa" w:w="70"/>
              <w:right w:type="dxa" w:w="110"/>
            </w:tcMar>
            <w:vAlign w:val="top"/>
          </w:tcPr>
          <w:p>
            <w:r>
              <w:rPr>
                <w:b w:val="false"/>
                <w:bCs w:val="false"/>
                <w:color w:val="1A1A1A"/>
                <w:sz w:val="11"/>
                <w:szCs w:val="11"/>
              </w:rPr>
              <w:t xml:space="preserve">Last day of sprint</w:t>
            </w:r>
          </w:p>
        </w:tc>
        <w:tc>
          <w:tcPr>
            <w:tcW w:type="dxa" w:w="3226"/>
            <w:tcMar>
              <w:top w:type="dxa" w:w="70"/>
              <w:left w:type="dxa" w:w="110"/>
              <w:bottom w:type="dxa" w:w="70"/>
              <w:right w:type="dxa" w:w="110"/>
            </w:tcMar>
            <w:vAlign w:val="top"/>
          </w:tcPr>
          <w:p>
            <w:r>
              <w:rPr>
                <w:b w:val="false"/>
                <w:bCs w:val="false"/>
                <w:color w:val="1A1A1A"/>
                <w:sz w:val="11"/>
                <w:szCs w:val="11"/>
              </w:rPr>
              <w:t xml:space="preserve">This sprint's Exit Criteria (Part 9); Done Work Packages.</w:t>
            </w:r>
          </w:p>
        </w:tc>
        <w:tc>
          <w:tcPr>
            <w:tcW w:type="dxa" w:w="3830"/>
            <w:tcMar>
              <w:top w:type="dxa" w:w="70"/>
              <w:left w:type="dxa" w:w="110"/>
              <w:bottom w:type="dxa" w:w="70"/>
              <w:right w:type="dxa" w:w="110"/>
            </w:tcMar>
            <w:vAlign w:val="top"/>
          </w:tcPr>
          <w:p>
            <w:r>
              <w:rPr>
                <w:b w:val="false"/>
                <w:bCs w:val="false"/>
                <w:color w:val="1A1A1A"/>
                <w:sz w:val="11"/>
                <w:szCs w:val="11"/>
              </w:rPr>
              <w:t xml:space="preserve">Stakeholder sign-off against Exit Criteria; any Work Package not meeting Exit Criteria is carried forward with a documented reason.</w:t>
            </w:r>
          </w:p>
        </w:tc>
      </w:tr>
      <w:tr>
        <w:tc>
          <w:tcPr>
            <w:tcW w:type="dxa" w:w="1613"/>
            <w:tcMar>
              <w:top w:type="dxa" w:w="70"/>
              <w:left w:type="dxa" w:w="110"/>
              <w:bottom w:type="dxa" w:w="70"/>
              <w:right w:type="dxa" w:w="110"/>
            </w:tcMar>
            <w:vAlign w:val="top"/>
          </w:tcPr>
          <w:p>
            <w:r>
              <w:rPr>
                <w:b/>
                <w:bCs/>
                <w:color w:val="1A1A1A"/>
                <w:sz w:val="11"/>
                <w:szCs w:val="11"/>
              </w:rPr>
              <w:t xml:space="preserve">Sprint Retrospective</w:t>
            </w:r>
          </w:p>
        </w:tc>
        <w:tc>
          <w:tcPr>
            <w:tcW w:type="dxa" w:w="1411"/>
            <w:tcMar>
              <w:top w:type="dxa" w:w="70"/>
              <w:left w:type="dxa" w:w="110"/>
              <w:bottom w:type="dxa" w:w="70"/>
              <w:right w:type="dxa" w:w="110"/>
            </w:tcMar>
            <w:vAlign w:val="top"/>
          </w:tcPr>
          <w:p>
            <w:r>
              <w:rPr>
                <w:b w:val="false"/>
                <w:bCs w:val="false"/>
                <w:color w:val="1A1A1A"/>
                <w:sz w:val="11"/>
                <w:szCs w:val="11"/>
              </w:rPr>
              <w:t xml:space="preserve">Immediately after Sprint Review</w:t>
            </w:r>
          </w:p>
        </w:tc>
        <w:tc>
          <w:tcPr>
            <w:tcW w:type="dxa" w:w="3226"/>
            <w:tcMar>
              <w:top w:type="dxa" w:w="70"/>
              <w:left w:type="dxa" w:w="110"/>
              <w:bottom w:type="dxa" w:w="70"/>
              <w:right w:type="dxa" w:w="110"/>
            </w:tcMar>
            <w:vAlign w:val="top"/>
          </w:tcPr>
          <w:p>
            <w:r>
              <w:rPr>
                <w:b w:val="false"/>
                <w:bCs w:val="false"/>
                <w:color w:val="1A1A1A"/>
                <w:sz w:val="11"/>
                <w:szCs w:val="11"/>
              </w:rPr>
              <w:t xml:space="preserve">Any blockers, escalations, or defects logged this sprint (Sections 13.6, 13.8).</w:t>
            </w:r>
          </w:p>
        </w:tc>
        <w:tc>
          <w:tcPr>
            <w:tcW w:type="dxa" w:w="3830"/>
            <w:tcMar>
              <w:top w:type="dxa" w:w="70"/>
              <w:left w:type="dxa" w:w="110"/>
              <w:bottom w:type="dxa" w:w="70"/>
              <w:right w:type="dxa" w:w="110"/>
            </w:tcMar>
            <w:vAlign w:val="top"/>
          </w:tcPr>
          <w:p>
            <w:r>
              <w:rPr>
                <w:b w:val="false"/>
                <w:bCs w:val="false"/>
                <w:color w:val="1A1A1A"/>
                <w:sz w:val="11"/>
                <w:szCs w:val="11"/>
              </w:rPr>
              <w:t xml:space="preserve">Process improvement actions for the next sprint; recorded per Handbook Chapter 21.</w:t>
            </w:r>
          </w:p>
        </w:tc>
      </w:tr>
    </w:tbl>
    <w:p>
      <w:pPr>
        <w:pStyle w:val="Heading1"/>
        <w:pBdr>
          <w:bottom w:val="single" w:color="DAD3C0" w:sz="4" w:space="4"/>
        </w:pBdr>
        <w:spacing w:after="140" w:before="360"/>
      </w:pPr>
      <w:r>
        <w:rPr>
          <w:b/>
          <w:bCs/>
          <w:color w:val="97771F"/>
          <w:sz w:val="26"/>
          <w:szCs w:val="26"/>
        </w:rPr>
        <w:t xml:space="preserve">13.10  </w:t>
      </w:r>
      <w:r>
        <w:rPr>
          <w:b/>
          <w:bCs/>
          <w:color w:val="33363C"/>
          <w:sz w:val="26"/>
          <w:szCs w:val="26"/>
        </w:rPr>
        <w:t xml:space="preserve">Summary and Bridge to Part 14</w:t>
      </w:r>
    </w:p>
    <w:p>
      <w:pPr>
        <w:spacing w:after="150" w:line="276"/>
        <w:jc w:val="both"/>
      </w:pPr>
      <w:r>
        <w:t xml:space="preserve">This Part operationalized the entire MEKB into a concrete daily and sprint-level execution rhythm: a fixed daily cycle, a Work Package lifecycle with unambiguous states, a source control workflow anchored to the WBS naming convention, a specific protocol for Antigravity sessions, bounded escalation paths, a disciplined environment promotion path, a defect severity and response model, and a fixed agenda for every sprint ceremony.</w:t>
      </w:r>
    </w:p>
    <w:p>
      <w:pPr>
        <w:spacing w:after="150" w:line="276"/>
        <w:jc w:val="both"/>
      </w:pPr>
      <w:r>
        <w:t xml:space="preserve">Part 14 — Quality Gates &amp; Acceptance Framework — takes the gates referenced throughout this Playbook (Definition of Ready, Definition of Done, Sprint Exit Criteria, the WP-24 Release Readiness gate, and the Appendix O Deliverable Quality Gates) and consolidates them into a single, four-tier Quality Gate Model spanning Work Package, Sprint, Release, and Programme levels.</w:t>
      </w:r>
    </w:p>
    <w:p>
      <w:pPr>
        <w:pStyle w:val="Heading2"/>
        <w:spacing w:after="110" w:before="260"/>
      </w:pPr>
      <w:r>
        <w:rPr>
          <w:b/>
          <w:bCs/>
          <w:color w:val="97771F"/>
          <w:sz w:val="21"/>
          <w:szCs w:val="21"/>
        </w:rPr>
        <w:t xml:space="preserve">13.10.1  </w:t>
      </w:r>
      <w:r>
        <w:rPr>
          <w:b/>
          <w:bCs/>
          <w:color w:val="33363C"/>
          <w:sz w:val="21"/>
          <w:szCs w:val="21"/>
        </w:rPr>
        <w:t xml:space="preserve">Key Takeaways</w:t>
      </w:r>
    </w:p>
    <w:p>
      <w:pPr>
        <w:pStyle w:val="ListParagraph"/>
        <w:numPr>
          <w:ilvl w:val="0"/>
          <w:numId w:val="1"/>
        </w:numPr>
        <w:spacing w:after="90" w:line="264"/>
      </w:pPr>
      <w:r>
        <w:t xml:space="preserve">Every Work Package moves through five lifecycle states — Backlog, Sprint-Ready, In Progress, In Review, Done — each with an explicit entry and exit condition.</w:t>
      </w:r>
    </w:p>
    <w:p>
      <w:pPr>
        <w:pStyle w:val="ListParagraph"/>
        <w:numPr>
          <w:ilvl w:val="0"/>
          <w:numId w:val="1"/>
        </w:numPr>
        <w:spacing w:after="90" w:line="264"/>
      </w:pPr>
      <w:r>
        <w:t xml:space="preserve">Branch, commit, and Pull Request naming all anchor to the Work Package ID, making every change traceable without a separate index.</w:t>
      </w:r>
    </w:p>
    <w:p>
      <w:pPr>
        <w:pStyle w:val="ListParagraph"/>
        <w:numPr>
          <w:ilvl w:val="0"/>
          <w:numId w:val="1"/>
        </w:numPr>
        <w:spacing w:after="90" w:line="264"/>
      </w:pPr>
      <w:r>
        <w:t xml:space="preserve">Antigravity sessions follow the same seven-step operating protocol for every Work Package, leaving a consistent, human-reviewable audit trail.</w:t>
      </w:r>
    </w:p>
    <w:p>
      <w:pPr>
        <w:pStyle w:val="ListParagraph"/>
        <w:numPr>
          <w:ilvl w:val="0"/>
          <w:numId w:val="1"/>
        </w:numPr>
        <w:spacing w:after="90" w:line="264"/>
      </w:pPr>
      <w:r>
        <w:t xml:space="preserve">Defect severity classification (Severity 1–4) determines response urgency and directly gates WP-24's Release Readiness Acceptance Criteria.</w:t>
      </w:r>
    </w:p>
    <w:p>
      <w:pPr>
        <w:pStyle w:val="Heading2"/>
        <w:spacing w:after="110" w:before="260"/>
      </w:pPr>
      <w:r>
        <w:rPr>
          <w:b/>
          <w:bCs/>
          <w:color w:val="97771F"/>
          <w:sz w:val="21"/>
          <w:szCs w:val="21"/>
        </w:rPr>
        <w:t xml:space="preserve">13.10.2  </w:t>
      </w:r>
      <w:r>
        <w:rPr>
          <w:b/>
          <w:bCs/>
          <w:color w:val="33363C"/>
          <w:sz w:val="21"/>
          <w:szCs w:val="21"/>
        </w:rPr>
        <w:t xml:space="preserve">Related Parts</w:t>
      </w:r>
    </w:p>
    <w:p>
      <w:pPr>
        <w:pStyle w:val="ListParagraph"/>
        <w:numPr>
          <w:ilvl w:val="0"/>
          <w:numId w:val="1"/>
        </w:numPr>
        <w:spacing w:after="90" w:line="264"/>
      </w:pPr>
      <w:r>
        <w:t xml:space="preserve">MEKB Part 9 — Sprint Roadmap</w:t>
      </w:r>
    </w:p>
    <w:p>
      <w:pPr>
        <w:pStyle w:val="ListParagraph"/>
        <w:numPr>
          <w:ilvl w:val="0"/>
          <w:numId w:val="1"/>
        </w:numPr>
        <w:spacing w:after="90" w:line="264"/>
      </w:pPr>
      <w:r>
        <w:t xml:space="preserve">MEKB Part 12 — Master Prompt Library</w:t>
      </w:r>
    </w:p>
    <w:p>
      <w:pPr>
        <w:pStyle w:val="ListParagraph"/>
        <w:numPr>
          <w:ilvl w:val="0"/>
          <w:numId w:val="1"/>
        </w:numPr>
        <w:spacing w:after="90" w:line="264"/>
      </w:pPr>
      <w:r>
        <w:t xml:space="preserve">MEKB Part 14 — Quality Gates &amp; Acceptance Framework</w:t>
      </w:r>
    </w:p>
    <w:p>
      <w:pPr>
        <w:pStyle w:val="ListParagraph"/>
        <w:numPr>
          <w:ilvl w:val="0"/>
          <w:numId w:val="1"/>
        </w:numPr>
        <w:spacing w:after="90" w:line="264"/>
      </w:pPr>
      <w:r>
        <w:t xml:space="preserve">Engineering Handbook Chapters 15, 18–23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2026-07-20T14:23:27.154Z</dcterms:created>
  <dcterms:modified xsi:type="dcterms:W3CDTF">2026-07-20T14:23:27.154Z</dcterms:modified>
</cp:coreProperties>
</file>

<file path=docProps/custom.xml><?xml version="1.0" encoding="utf-8"?>
<Properties xmlns="http://schemas.openxmlformats.org/officeDocument/2006/custom-properties" xmlns:vt="http://schemas.openxmlformats.org/officeDocument/2006/docPropsVTypes"/>
</file>