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97771F"/>
          <w:sz w:val="22"/>
          <w:szCs w:val="22"/>
        </w:rPr>
        <w:t xml:space="preserve">SAPZ MASTER ENGINEERING KNOWLEDGE BASE</w:t>
      </w:r>
    </w:p>
    <w:p>
      <w:pPr>
        <w:spacing w:after="260"/>
        <w:jc w:val="center"/>
      </w:pPr>
      <w:r>
        <w:rPr>
          <w:b/>
          <w:bCs/>
          <w:color w:val="1C1E21"/>
          <w:sz w:val="28"/>
          <w:szCs w:val="28"/>
        </w:rPr>
        <w:t xml:space="preserve">Part 14</w:t>
      </w:r>
    </w:p>
    <w:p>
      <w:pPr>
        <w:pBdr>
          <w:bottom w:val="single" w:color="33363C" w:sz="14" w:space="10"/>
        </w:pBdr>
        <w:spacing w:after="160"/>
        <w:jc w:val="center"/>
      </w:pPr>
      <w:r>
        <w:rPr>
          <w:b/>
          <w:bCs/>
          <w:color w:val="1C1E21"/>
          <w:sz w:val="40"/>
          <w:szCs w:val="40"/>
        </w:rPr>
        <w:t xml:space="preserve">Quality Gates &amp; Acceptance Framework</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Knowledge Base (MEKB) — Bridging Documentation and Implementation</w:t>
      </w:r>
    </w:p>
    <w:p>
      <w:r>
        <w:br w:type="page"/>
      </w:r>
    </w:p>
    <w:p>
      <w:pPr>
        <w:spacing w:after="40"/>
        <w:jc w:val="left"/>
      </w:pPr>
      <w:r>
        <w:rPr>
          <w:b/>
          <w:bCs/>
          <w:caps/>
          <w:color w:val="97771F"/>
          <w:sz w:val="22"/>
          <w:szCs w:val="22"/>
        </w:rPr>
        <w:t xml:space="preserve">PART 14</w:t>
      </w:r>
    </w:p>
    <w:p>
      <w:pPr>
        <w:pBdr>
          <w:bottom w:val="single" w:color="33363C" w:sz="12" w:space="8"/>
        </w:pBdr>
        <w:spacing w:after="200"/>
        <w:jc w:val="left"/>
      </w:pPr>
      <w:r>
        <w:rPr>
          <w:b/>
          <w:bCs/>
          <w:color w:val="1C1E21"/>
          <w:sz w:val="44"/>
          <w:szCs w:val="44"/>
        </w:rPr>
        <w:t xml:space="preserve">Quality Gates &amp; Acceptance Framework</w:t>
      </w:r>
    </w:p>
    <w:p>
      <w:pPr>
        <w:spacing w:after="90" w:before="180"/>
      </w:pPr>
      <w:r>
        <w:rPr>
          <w:b/>
          <w:bCs/>
          <w:color w:val="1C1E21"/>
          <w:sz w:val="19"/>
          <w:szCs w:val="19"/>
        </w:rPr>
        <w:t xml:space="preserve">Part Overview</w:t>
      </w:r>
    </w:p>
    <w:p>
      <w:pPr>
        <w:spacing w:after="150" w:line="276"/>
        <w:jc w:val="both"/>
      </w:pPr>
      <w:r>
        <w:t xml:space="preserve">Quality gates already exist throughout the MEKB — the Definition of Ready and Definition of Done fixed for every Work Package (Parts 5–8), the Sprint Exit Criteria in every sprint (Part 9), the Release Readiness Checklist executed under WP-24, and the Deliverable Quality Gates defined in Appendix O. This Part does not introduce new gates; it consolidates all of them into a single Four-Tier Quality Gate Model, so that 'is this good enough to proceed' has exactly one answer at every level of the programme — Work Package, Sprint, Release, and Programme.</w:t>
      </w:r>
    </w:p>
    <w:p>
      <w:pPr>
        <w:pStyle w:val="Heading1"/>
        <w:pBdr>
          <w:bottom w:val="single" w:color="DAD3C0" w:sz="4" w:space="4"/>
        </w:pBdr>
        <w:spacing w:after="140" w:before="360"/>
      </w:pPr>
      <w:r>
        <w:rPr>
          <w:b/>
          <w:bCs/>
          <w:color w:val="97771F"/>
          <w:sz w:val="26"/>
          <w:szCs w:val="26"/>
        </w:rPr>
        <w:t xml:space="preserve">14.1  </w:t>
      </w:r>
      <w:r>
        <w:rPr>
          <w:b/>
          <w:bCs/>
          <w:color w:val="33363C"/>
          <w:sz w:val="26"/>
          <w:szCs w:val="26"/>
        </w:rPr>
        <w:t xml:space="preserve">Purpose and Quality Philosophy</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State the quality philosophy underlying every gate in this Part.</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A single, consistent quality philosophy is what makes the platform auditable by IFAD and the Federal Government of Nigeria.</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Quality is gated at every level of granularity, not just at the end — a defect caught at the Work Package gate is orders of magnitude cheaper to fix than one caught at the Programme gate.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artifact — code, test, document, or decision — advances past its tier without passing its gate.</w:t>
            </w:r>
          </w:p>
        </w:tc>
      </w:tr>
    </w:tbl>
    <w:p>
      <w:pPr>
        <w:spacing w:after="160"/>
      </w:pPr>
    </w:p>
    <w:p>
      <w:pPr>
        <w:spacing w:after="150" w:line="276"/>
        <w:jc w:val="both"/>
      </w:pPr>
      <w:r>
        <w:t xml:space="preserve">Three principles govern every gate defined in this Part, consistent with the Quality Assurance category established in Appendix O, Section O.3, and the Traceability Principles in Appendix J, Section J.2:</w:t>
      </w:r>
    </w:p>
    <w:p>
      <w:pPr>
        <w:spacing w:after="90" w:line="264"/>
      </w:pPr>
      <w:r>
        <w:rPr>
          <w:b/>
          <w:bCs/>
          <w:color w:val="33363C"/>
        </w:rPr>
        <w:t xml:space="preserve">1. </w:t>
      </w:r>
      <w:r>
        <w:t xml:space="preserve">No artifact advances to the next tier without passing its own tier's gate — a Work Package with an unmet Acceptance Criterion does not enter Sprint Exit review; a sprint with an unmet Exit Criterion does not contribute to the Release gate.</w:t>
      </w:r>
    </w:p>
    <w:p>
      <w:pPr>
        <w:spacing w:after="90" w:line="264"/>
      </w:pPr>
      <w:r>
        <w:rPr>
          <w:b/>
          <w:bCs/>
          <w:color w:val="33363C"/>
        </w:rPr>
        <w:t xml:space="preserve">2. </w:t>
      </w:r>
      <w:r>
        <w:t xml:space="preserve">Every gate produces evidence, not just a pass/fail flag — the evidence is what makes the gate auditable after the fact.</w:t>
      </w:r>
    </w:p>
    <w:p>
      <w:pPr>
        <w:spacing w:after="90" w:line="264"/>
      </w:pPr>
      <w:r>
        <w:rPr>
          <w:b/>
          <w:bCs/>
          <w:color w:val="33363C"/>
        </w:rPr>
        <w:t xml:space="preserve">3. </w:t>
      </w:r>
      <w:r>
        <w:t xml:space="preserve">A gate failure is a routing decision, not a dead end — Section 14.8 defines exactly how a non-conformance is triaged, deferred, or waived, so that a failed gate never simply stalls the programme.</w:t>
      </w:r>
    </w:p>
    <w:p>
      <w:pPr>
        <w:pStyle w:val="Heading1"/>
        <w:pBdr>
          <w:bottom w:val="single" w:color="DAD3C0" w:sz="4" w:space="4"/>
        </w:pBdr>
        <w:spacing w:after="140" w:before="360"/>
      </w:pPr>
      <w:r>
        <w:rPr>
          <w:b/>
          <w:bCs/>
          <w:color w:val="97771F"/>
          <w:sz w:val="26"/>
          <w:szCs w:val="26"/>
        </w:rPr>
        <w:t xml:space="preserve">14.2  </w:t>
      </w:r>
      <w:r>
        <w:rPr>
          <w:b/>
          <w:bCs/>
          <w:color w:val="33363C"/>
          <w:sz w:val="26"/>
          <w:szCs w:val="26"/>
        </w:rPr>
        <w:t xml:space="preserve">The Four-Tier Quality Gate Model</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Show how the four gate tiers relate and where each is already defined elsewhere in the MEKB.</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PMO a single mental model of quality assurance across the entire programme.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tier's gate criteria were already fixed elsewhere in the MEKB — this section is the index, not a new specification.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Any stakeholder can locate the authoritative gate criteria for any level of the programme from this one table.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AD3C0" w:sz="2"/>
              <w:left w:val="single" w:color="DAD3C0" w:sz="2"/>
              <w:bottom w:val="single" w:color="DAD3C0" w:sz="2"/>
              <w:right w:val="single" w:color="DAD3C0" w:sz="2"/>
            </w:tcBorders>
            <w:shd w:fill="F3F0E8" w:val="clear"/>
            <w:tcMar>
              <w:top w:type="dxa" w:w="140"/>
              <w:left w:type="dxa" w:w="200"/>
              <w:bottom w:type="dxa" w:w="140"/>
              <w:right w:type="dxa" w:w="200"/>
            </w:tcMar>
          </w:tcPr>
          <w:p>
            <w:pPr>
              <w:spacing w:after="0" w:line="240"/>
            </w:pPr>
            <w:r>
              <w:rPr>
                <w:rFonts w:ascii="Consolas" w:cs="Consolas" w:eastAsia="Consolas" w:hAnsi="Consolas"/>
                <w:color w:val="1C1E21"/>
                <w:sz w:val="17"/>
                <w:szCs w:val="17"/>
              </w:rPr>
              <w:t xml:space="preserve">Tier 4 — Programme Acceptance Gate</w:t>
            </w:r>
          </w:p>
          <w:p>
            <w:pPr>
              <w:spacing w:after="0" w:line="240"/>
            </w:pPr>
            <w:r>
              <w:rPr>
                <w:rFonts w:ascii="Consolas" w:cs="Consolas" w:eastAsia="Consolas" w:hAnsi="Consolas"/>
                <w:color w:val="1C1E21"/>
                <w:sz w:val="17"/>
                <w:szCs w:val="17"/>
              </w:rPr>
              <w:t xml:space="preserve">  (Section 14.6 — IFAD / Federal Government of Nigeria final acceptance)</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      │  requires all Releases accepted</w:t>
            </w:r>
          </w:p>
          <w:p>
            <w:pPr>
              <w:spacing w:after="0" w:line="240"/>
            </w:pPr>
            <w:r>
              <w:rPr>
                <w:rFonts w:ascii="Consolas" w:cs="Consolas" w:eastAsia="Consolas" w:hAnsi="Consolas"/>
                <w:color w:val="1C1E21"/>
                <w:sz w:val="17"/>
                <w:szCs w:val="17"/>
              </w:rPr>
              <w:t xml:space="preserve">Tier 3 — Release Quality Gate</w:t>
            </w:r>
          </w:p>
          <w:p>
            <w:pPr>
              <w:spacing w:after="0" w:line="240"/>
            </w:pPr>
            <w:r>
              <w:rPr>
                <w:rFonts w:ascii="Consolas" w:cs="Consolas" w:eastAsia="Consolas" w:hAnsi="Consolas"/>
                <w:color w:val="1C1E21"/>
                <w:sz w:val="17"/>
                <w:szCs w:val="17"/>
              </w:rPr>
              <w:t xml:space="preserve">  (Section 14.5 — WP-24 Release Readiness Checklist, per Release in Part 9)</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      │  requires all Sprints in the Release to have exited cleanly</w:t>
            </w:r>
          </w:p>
          <w:p>
            <w:pPr>
              <w:spacing w:after="0" w:line="240"/>
            </w:pPr>
            <w:r>
              <w:rPr>
                <w:rFonts w:ascii="Consolas" w:cs="Consolas" w:eastAsia="Consolas" w:hAnsi="Consolas"/>
                <w:color w:val="1C1E21"/>
                <w:sz w:val="17"/>
                <w:szCs w:val="17"/>
              </w:rPr>
              <w:t xml:space="preserve">Tier 2 — Sprint Quality Gate</w:t>
            </w:r>
          </w:p>
          <w:p>
            <w:pPr>
              <w:spacing w:after="0" w:line="240"/>
            </w:pPr>
            <w:r>
              <w:rPr>
                <w:rFonts w:ascii="Consolas" w:cs="Consolas" w:eastAsia="Consolas" w:hAnsi="Consolas"/>
                <w:color w:val="1C1E21"/>
                <w:sz w:val="17"/>
                <w:szCs w:val="17"/>
              </w:rPr>
              <w:t xml:space="preserve">  (Section 14.4 — Sprint Exit Criteria, per sprint in Part 9)</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      │  requires all Work Packages in the Sprint to be Done</w:t>
            </w:r>
          </w:p>
          <w:p>
            <w:pPr>
              <w:spacing w:after="0" w:line="240"/>
            </w:pPr>
            <w:r>
              <w:rPr>
                <w:rFonts w:ascii="Consolas" w:cs="Consolas" w:eastAsia="Consolas" w:hAnsi="Consolas"/>
                <w:color w:val="1C1E21"/>
                <w:sz w:val="17"/>
                <w:szCs w:val="17"/>
              </w:rPr>
              <w:t xml:space="preserve">Tier 1 — Work Package Quality Gate</w:t>
            </w:r>
          </w:p>
          <w:p>
            <w:pPr>
              <w:spacing w:after="0" w:line="240"/>
            </w:pPr>
            <w:r>
              <w:rPr>
                <w:rFonts w:ascii="Consolas" w:cs="Consolas" w:eastAsia="Consolas" w:hAnsi="Consolas"/>
                <w:color w:val="1C1E21"/>
                <w:sz w:val="17"/>
                <w:szCs w:val="17"/>
              </w:rPr>
              <w:t xml:space="preserve">  (Section 14.3 — Definition of Ready / Definition of Done, Parts 5–8)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2419"/>
        <w:gridCol w:w="4435"/>
        <w:gridCol w:w="2419"/>
      </w:tblGrid>
      <w:tr>
        <w:trPr>
          <w:tblHeader/>
        </w:trPr>
        <w:tc>
          <w:tcPr>
            <w:tcW w:type="dxa" w:w="806"/>
            <w:shd w:fill="33363C" w:val="clear"/>
            <w:tcMar>
              <w:top w:type="dxa" w:w="70"/>
              <w:left w:type="dxa" w:w="110"/>
              <w:bottom w:type="dxa" w:w="70"/>
              <w:right w:type="dxa" w:w="110"/>
            </w:tcMar>
            <w:vAlign w:val="top"/>
          </w:tcPr>
          <w:p>
            <w:r>
              <w:rPr>
                <w:b/>
                <w:bCs/>
                <w:color w:val="FFFFFF"/>
                <w:sz w:val="17"/>
                <w:szCs w:val="17"/>
              </w:rPr>
              <w:t xml:space="preserve">Tier</w:t>
            </w:r>
          </w:p>
        </w:tc>
        <w:tc>
          <w:tcPr>
            <w:tcW w:type="dxa" w:w="2419"/>
            <w:shd w:fill="33363C" w:val="clear"/>
            <w:tcMar>
              <w:top w:type="dxa" w:w="70"/>
              <w:left w:type="dxa" w:w="110"/>
              <w:bottom w:type="dxa" w:w="70"/>
              <w:right w:type="dxa" w:w="110"/>
            </w:tcMar>
            <w:vAlign w:val="top"/>
          </w:tcPr>
          <w:p>
            <w:r>
              <w:rPr>
                <w:b/>
                <w:bCs/>
                <w:color w:val="FFFFFF"/>
                <w:sz w:val="17"/>
                <w:szCs w:val="17"/>
              </w:rPr>
              <w:t xml:space="preserve">Gate Name</w:t>
            </w:r>
          </w:p>
        </w:tc>
        <w:tc>
          <w:tcPr>
            <w:tcW w:type="dxa" w:w="4435"/>
            <w:shd w:fill="33363C" w:val="clear"/>
            <w:tcMar>
              <w:top w:type="dxa" w:w="70"/>
              <w:left w:type="dxa" w:w="110"/>
              <w:bottom w:type="dxa" w:w="70"/>
              <w:right w:type="dxa" w:w="110"/>
            </w:tcMar>
            <w:vAlign w:val="top"/>
          </w:tcPr>
          <w:p>
            <w:r>
              <w:rPr>
                <w:b/>
                <w:bCs/>
                <w:color w:val="FFFFFF"/>
                <w:sz w:val="17"/>
                <w:szCs w:val="17"/>
              </w:rPr>
              <w:t xml:space="preserve">Authoritative Criteria</w:t>
            </w:r>
          </w:p>
        </w:tc>
        <w:tc>
          <w:tcPr>
            <w:tcW w:type="dxa" w:w="2419"/>
            <w:shd w:fill="33363C" w:val="clear"/>
            <w:tcMar>
              <w:top w:type="dxa" w:w="70"/>
              <w:left w:type="dxa" w:w="110"/>
              <w:bottom w:type="dxa" w:w="70"/>
              <w:right w:type="dxa" w:w="110"/>
            </w:tcMar>
            <w:vAlign w:val="top"/>
          </w:tcPr>
          <w:p>
            <w:r>
              <w:rPr>
                <w:b/>
                <w:bCs/>
                <w:color w:val="FFFFFF"/>
                <w:sz w:val="17"/>
                <w:szCs w:val="17"/>
              </w:rPr>
              <w:t xml:space="preserve">Owner</w:t>
            </w:r>
          </w:p>
        </w:tc>
      </w:tr>
      <w:tr>
        <w:tc>
          <w:tcPr>
            <w:tcW w:type="dxa" w:w="806"/>
            <w:tcMar>
              <w:top w:type="dxa" w:w="70"/>
              <w:left w:type="dxa" w:w="110"/>
              <w:bottom w:type="dxa" w:w="70"/>
              <w:right w:type="dxa" w:w="110"/>
            </w:tcMar>
            <w:vAlign w:val="top"/>
          </w:tcPr>
          <w:p>
            <w:r>
              <w:rPr>
                <w:b/>
                <w:bCs/>
                <w:color w:val="1A1A1A"/>
                <w:sz w:val="12"/>
                <w:szCs w:val="12"/>
              </w:rPr>
              <w:t xml:space="preserve">1</w:t>
            </w:r>
          </w:p>
        </w:tc>
        <w:tc>
          <w:tcPr>
            <w:tcW w:type="dxa" w:w="2419"/>
            <w:tcMar>
              <w:top w:type="dxa" w:w="70"/>
              <w:left w:type="dxa" w:w="110"/>
              <w:bottom w:type="dxa" w:w="70"/>
              <w:right w:type="dxa" w:w="110"/>
            </w:tcMar>
            <w:vAlign w:val="top"/>
          </w:tcPr>
          <w:p>
            <w:r>
              <w:rPr>
                <w:b w:val="false"/>
                <w:bCs w:val="false"/>
                <w:color w:val="1A1A1A"/>
                <w:sz w:val="12"/>
                <w:szCs w:val="12"/>
              </w:rPr>
              <w:t xml:space="preserve">Work Package Quality Gate</w:t>
            </w:r>
          </w:p>
        </w:tc>
        <w:tc>
          <w:tcPr>
            <w:tcW w:type="dxa" w:w="4435"/>
            <w:tcMar>
              <w:top w:type="dxa" w:w="70"/>
              <w:left w:type="dxa" w:w="110"/>
              <w:bottom w:type="dxa" w:w="70"/>
              <w:right w:type="dxa" w:w="110"/>
            </w:tcMar>
            <w:vAlign w:val="top"/>
          </w:tcPr>
          <w:p>
            <w:r>
              <w:rPr>
                <w:b w:val="false"/>
                <w:bCs w:val="false"/>
                <w:color w:val="1A1A1A"/>
                <w:sz w:val="12"/>
                <w:szCs w:val="12"/>
              </w:rPr>
              <w:t xml:space="preserve">Definition of Ready and Definition of Done fields, fixed per Work Package (MEKB Parts 5–8).</w:t>
            </w:r>
          </w:p>
        </w:tc>
        <w:tc>
          <w:tcPr>
            <w:tcW w:type="dxa" w:w="2419"/>
            <w:tcMar>
              <w:top w:type="dxa" w:w="70"/>
              <w:left w:type="dxa" w:w="110"/>
              <w:bottom w:type="dxa" w:w="70"/>
              <w:right w:type="dxa" w:w="110"/>
            </w:tcMar>
            <w:vAlign w:val="top"/>
          </w:tcPr>
          <w:p>
            <w:r>
              <w:rPr>
                <w:b w:val="false"/>
                <w:bCs w:val="false"/>
                <w:color w:val="1A1A1A"/>
                <w:sz w:val="12"/>
                <w:szCs w:val="12"/>
              </w:rPr>
              <w:t xml:space="preserve">Technical Lead / Work Package reviewer</w:t>
            </w:r>
          </w:p>
        </w:tc>
      </w:tr>
      <w:tr>
        <w:tc>
          <w:tcPr>
            <w:tcW w:type="dxa" w:w="806"/>
            <w:tcMar>
              <w:top w:type="dxa" w:w="70"/>
              <w:left w:type="dxa" w:w="110"/>
              <w:bottom w:type="dxa" w:w="70"/>
              <w:right w:type="dxa" w:w="110"/>
            </w:tcMar>
            <w:vAlign w:val="top"/>
          </w:tcPr>
          <w:p>
            <w:r>
              <w:rPr>
                <w:b/>
                <w:bCs/>
                <w:color w:val="1A1A1A"/>
                <w:sz w:val="12"/>
                <w:szCs w:val="12"/>
              </w:rPr>
              <w:t xml:space="preserve">2</w:t>
            </w:r>
          </w:p>
        </w:tc>
        <w:tc>
          <w:tcPr>
            <w:tcW w:type="dxa" w:w="2419"/>
            <w:tcMar>
              <w:top w:type="dxa" w:w="70"/>
              <w:left w:type="dxa" w:w="110"/>
              <w:bottom w:type="dxa" w:w="70"/>
              <w:right w:type="dxa" w:w="110"/>
            </w:tcMar>
            <w:vAlign w:val="top"/>
          </w:tcPr>
          <w:p>
            <w:r>
              <w:rPr>
                <w:b w:val="false"/>
                <w:bCs w:val="false"/>
                <w:color w:val="1A1A1A"/>
                <w:sz w:val="12"/>
                <w:szCs w:val="12"/>
              </w:rPr>
              <w:t xml:space="preserve">Sprint Quality Gate</w:t>
            </w:r>
          </w:p>
        </w:tc>
        <w:tc>
          <w:tcPr>
            <w:tcW w:type="dxa" w:w="4435"/>
            <w:tcMar>
              <w:top w:type="dxa" w:w="70"/>
              <w:left w:type="dxa" w:w="110"/>
              <w:bottom w:type="dxa" w:w="70"/>
              <w:right w:type="dxa" w:w="110"/>
            </w:tcMar>
            <w:vAlign w:val="top"/>
          </w:tcPr>
          <w:p>
            <w:r>
              <w:rPr>
                <w:b w:val="false"/>
                <w:bCs w:val="false"/>
                <w:color w:val="1A1A1A"/>
                <w:sz w:val="12"/>
                <w:szCs w:val="12"/>
              </w:rPr>
              <w:t xml:space="preserve">Exit Criteria field, fixed per sprint (MEKB Part 9).</w:t>
            </w:r>
          </w:p>
        </w:tc>
        <w:tc>
          <w:tcPr>
            <w:tcW w:type="dxa" w:w="2419"/>
            <w:tcMar>
              <w:top w:type="dxa" w:w="70"/>
              <w:left w:type="dxa" w:w="110"/>
              <w:bottom w:type="dxa" w:w="70"/>
              <w:right w:type="dxa" w:w="110"/>
            </w:tcMar>
            <w:vAlign w:val="top"/>
          </w:tcPr>
          <w:p>
            <w:r>
              <w:rPr>
                <w:b w:val="false"/>
                <w:bCs w:val="false"/>
                <w:color w:val="1A1A1A"/>
                <w:sz w:val="12"/>
                <w:szCs w:val="12"/>
              </w:rPr>
              <w:t xml:space="preserve">Scrum Master</w:t>
            </w:r>
          </w:p>
        </w:tc>
      </w:tr>
      <w:tr>
        <w:tc>
          <w:tcPr>
            <w:tcW w:type="dxa" w:w="806"/>
            <w:tcMar>
              <w:top w:type="dxa" w:w="70"/>
              <w:left w:type="dxa" w:w="110"/>
              <w:bottom w:type="dxa" w:w="70"/>
              <w:right w:type="dxa" w:w="110"/>
            </w:tcMar>
            <w:vAlign w:val="top"/>
          </w:tcPr>
          <w:p>
            <w:r>
              <w:rPr>
                <w:b/>
                <w:bCs/>
                <w:color w:val="1A1A1A"/>
                <w:sz w:val="12"/>
                <w:szCs w:val="12"/>
              </w:rPr>
              <w:t xml:space="preserve">3</w:t>
            </w:r>
          </w:p>
        </w:tc>
        <w:tc>
          <w:tcPr>
            <w:tcW w:type="dxa" w:w="2419"/>
            <w:tcMar>
              <w:top w:type="dxa" w:w="70"/>
              <w:left w:type="dxa" w:w="110"/>
              <w:bottom w:type="dxa" w:w="70"/>
              <w:right w:type="dxa" w:w="110"/>
            </w:tcMar>
            <w:vAlign w:val="top"/>
          </w:tcPr>
          <w:p>
            <w:r>
              <w:rPr>
                <w:b w:val="false"/>
                <w:bCs w:val="false"/>
                <w:color w:val="1A1A1A"/>
                <w:sz w:val="12"/>
                <w:szCs w:val="12"/>
              </w:rPr>
              <w:t xml:space="preserve">Release Quality Gate</w:t>
            </w:r>
          </w:p>
        </w:tc>
        <w:tc>
          <w:tcPr>
            <w:tcW w:type="dxa" w:w="4435"/>
            <w:tcMar>
              <w:top w:type="dxa" w:w="70"/>
              <w:left w:type="dxa" w:w="110"/>
              <w:bottom w:type="dxa" w:w="70"/>
              <w:right w:type="dxa" w:w="110"/>
            </w:tcMar>
            <w:vAlign w:val="top"/>
          </w:tcPr>
          <w:p>
            <w:r>
              <w:rPr>
                <w:b w:val="false"/>
                <w:bCs w:val="false"/>
                <w:color w:val="1A1A1A"/>
                <w:sz w:val="12"/>
                <w:szCs w:val="12"/>
              </w:rPr>
              <w:t xml:space="preserve">WP-24 Release Readiness Checklist and Acceptance Criteria (MEKB Part 8).</w:t>
            </w:r>
          </w:p>
        </w:tc>
        <w:tc>
          <w:tcPr>
            <w:tcW w:type="dxa" w:w="2419"/>
            <w:tcMar>
              <w:top w:type="dxa" w:w="70"/>
              <w:left w:type="dxa" w:w="110"/>
              <w:bottom w:type="dxa" w:w="70"/>
              <w:right w:type="dxa" w:w="110"/>
            </w:tcMar>
            <w:vAlign w:val="top"/>
          </w:tcPr>
          <w:p>
            <w:r>
              <w:rPr>
                <w:b w:val="false"/>
                <w:bCs w:val="false"/>
                <w:color w:val="1A1A1A"/>
                <w:sz w:val="12"/>
                <w:szCs w:val="12"/>
              </w:rPr>
              <w:t xml:space="preserve">QA Lead</w:t>
            </w:r>
          </w:p>
        </w:tc>
      </w:tr>
      <w:tr>
        <w:tc>
          <w:tcPr>
            <w:tcW w:type="dxa" w:w="806"/>
            <w:tcMar>
              <w:top w:type="dxa" w:w="70"/>
              <w:left w:type="dxa" w:w="110"/>
              <w:bottom w:type="dxa" w:w="70"/>
              <w:right w:type="dxa" w:w="110"/>
            </w:tcMar>
            <w:vAlign w:val="top"/>
          </w:tcPr>
          <w:p>
            <w:r>
              <w:rPr>
                <w:b/>
                <w:bCs/>
                <w:color w:val="1A1A1A"/>
                <w:sz w:val="12"/>
                <w:szCs w:val="12"/>
              </w:rPr>
              <w:t xml:space="preserve">4</w:t>
            </w:r>
          </w:p>
        </w:tc>
        <w:tc>
          <w:tcPr>
            <w:tcW w:type="dxa" w:w="2419"/>
            <w:tcMar>
              <w:top w:type="dxa" w:w="70"/>
              <w:left w:type="dxa" w:w="110"/>
              <w:bottom w:type="dxa" w:w="70"/>
              <w:right w:type="dxa" w:w="110"/>
            </w:tcMar>
            <w:vAlign w:val="top"/>
          </w:tcPr>
          <w:p>
            <w:r>
              <w:rPr>
                <w:b w:val="false"/>
                <w:bCs w:val="false"/>
                <w:color w:val="1A1A1A"/>
                <w:sz w:val="12"/>
                <w:szCs w:val="12"/>
              </w:rPr>
              <w:t xml:space="preserve">Programme Acceptance Gate</w:t>
            </w:r>
          </w:p>
        </w:tc>
        <w:tc>
          <w:tcPr>
            <w:tcW w:type="dxa" w:w="4435"/>
            <w:tcMar>
              <w:top w:type="dxa" w:w="70"/>
              <w:left w:type="dxa" w:w="110"/>
              <w:bottom w:type="dxa" w:w="70"/>
              <w:right w:type="dxa" w:w="110"/>
            </w:tcMar>
            <w:vAlign w:val="top"/>
          </w:tcPr>
          <w:p>
            <w:r>
              <w:rPr>
                <w:b w:val="false"/>
                <w:bCs w:val="false"/>
                <w:color w:val="1A1A1A"/>
                <w:sz w:val="12"/>
                <w:szCs w:val="12"/>
              </w:rPr>
              <w:t xml:space="preserve">Appendix O Deliverable Quality Gates (Section O.10) and WP-25 Acceptance Criteria (MEKB Part 8).</w:t>
            </w:r>
          </w:p>
        </w:tc>
        <w:tc>
          <w:tcPr>
            <w:tcW w:type="dxa" w:w="2419"/>
            <w:tcMar>
              <w:top w:type="dxa" w:w="70"/>
              <w:left w:type="dxa" w:w="110"/>
              <w:bottom w:type="dxa" w:w="70"/>
              <w:right w:type="dxa" w:w="110"/>
            </w:tcMar>
            <w:vAlign w:val="top"/>
          </w:tcPr>
          <w:p>
            <w:r>
              <w:rPr>
                <w:b w:val="false"/>
                <w:bCs w:val="false"/>
                <w:color w:val="1A1A1A"/>
                <w:sz w:val="12"/>
                <w:szCs w:val="12"/>
              </w:rPr>
              <w:t xml:space="preserve">Programme Manager / PMO</w:t>
            </w:r>
          </w:p>
        </w:tc>
      </w:tr>
    </w:tbl>
    <w:p>
      <w:pPr>
        <w:pStyle w:val="Heading1"/>
        <w:pBdr>
          <w:bottom w:val="single" w:color="DAD3C0" w:sz="4" w:space="4"/>
        </w:pBdr>
        <w:spacing w:after="140" w:before="360"/>
      </w:pPr>
      <w:r>
        <w:rPr>
          <w:b/>
          <w:bCs/>
          <w:color w:val="97771F"/>
          <w:sz w:val="26"/>
          <w:szCs w:val="26"/>
        </w:rPr>
        <w:t xml:space="preserve">14.3  </w:t>
      </w:r>
      <w:r>
        <w:rPr>
          <w:b/>
          <w:bCs/>
          <w:color w:val="33363C"/>
          <w:sz w:val="26"/>
          <w:szCs w:val="26"/>
        </w:rPr>
        <w:t xml:space="preserve">Tier 1 — Work Package Quality Gate</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Formalize the Work-Package-level gate every one of the twenty-five Work Packages already passes through.</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Catches defects at the cheapest possible point — before they are compounded by downstream Work Packages.</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This gate has two checkpoints: entry (Definition of Ready) and exit (Definition of Done), both already fixed per Work Package in Parts 5–8.</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Zero Work Packages enter execution without meeting Definition of Ready; zero Work Packages are marked complete without meeting Definition of Done.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822"/>
        <w:gridCol w:w="2822"/>
        <w:gridCol w:w="2419"/>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Checkpoint</w:t>
            </w:r>
          </w:p>
        </w:tc>
        <w:tc>
          <w:tcPr>
            <w:tcW w:type="dxa" w:w="2822"/>
            <w:shd w:fill="33363C" w:val="clear"/>
            <w:tcMar>
              <w:top w:type="dxa" w:w="70"/>
              <w:left w:type="dxa" w:w="110"/>
              <w:bottom w:type="dxa" w:w="70"/>
              <w:right w:type="dxa" w:w="110"/>
            </w:tcMar>
            <w:vAlign w:val="top"/>
          </w:tcPr>
          <w:p>
            <w:r>
              <w:rPr>
                <w:b/>
                <w:bCs/>
                <w:color w:val="FFFFFF"/>
                <w:sz w:val="17"/>
                <w:szCs w:val="17"/>
              </w:rPr>
              <w:t xml:space="preserve">Criteria Source</w:t>
            </w:r>
          </w:p>
        </w:tc>
        <w:tc>
          <w:tcPr>
            <w:tcW w:type="dxa" w:w="2822"/>
            <w:shd w:fill="33363C" w:val="clear"/>
            <w:tcMar>
              <w:top w:type="dxa" w:w="70"/>
              <w:left w:type="dxa" w:w="110"/>
              <w:bottom w:type="dxa" w:w="70"/>
              <w:right w:type="dxa" w:w="110"/>
            </w:tcMar>
            <w:vAlign w:val="top"/>
          </w:tcPr>
          <w:p>
            <w:r>
              <w:rPr>
                <w:b/>
                <w:bCs/>
                <w:color w:val="FFFFFF"/>
                <w:sz w:val="17"/>
                <w:szCs w:val="17"/>
              </w:rPr>
              <w:t xml:space="preserve">Verification Method</w:t>
            </w:r>
          </w:p>
        </w:tc>
        <w:tc>
          <w:tcPr>
            <w:tcW w:type="dxa" w:w="2419"/>
            <w:shd w:fill="33363C" w:val="clear"/>
            <w:tcMar>
              <w:top w:type="dxa" w:w="70"/>
              <w:left w:type="dxa" w:w="110"/>
              <w:bottom w:type="dxa" w:w="70"/>
              <w:right w:type="dxa" w:w="110"/>
            </w:tcMar>
            <w:vAlign w:val="top"/>
          </w:tcPr>
          <w:p>
            <w:r>
              <w:rPr>
                <w:b/>
                <w:bCs/>
                <w:color w:val="FFFFFF"/>
                <w:sz w:val="17"/>
                <w:szCs w:val="17"/>
              </w:rPr>
              <w:t xml:space="preserve">Evidence Produced</w:t>
            </w:r>
          </w:p>
        </w:tc>
      </w:tr>
      <w:tr>
        <w:tc>
          <w:tcPr>
            <w:tcW w:type="dxa" w:w="2016"/>
            <w:tcMar>
              <w:top w:type="dxa" w:w="70"/>
              <w:left w:type="dxa" w:w="110"/>
              <w:bottom w:type="dxa" w:w="70"/>
              <w:right w:type="dxa" w:w="110"/>
            </w:tcMar>
            <w:vAlign w:val="top"/>
          </w:tcPr>
          <w:p>
            <w:r>
              <w:rPr>
                <w:b/>
                <w:bCs/>
                <w:color w:val="1A1A1A"/>
                <w:sz w:val="12"/>
                <w:szCs w:val="12"/>
              </w:rPr>
              <w:t xml:space="preserve">Entry — Definition of Ready</w:t>
            </w:r>
          </w:p>
        </w:tc>
        <w:tc>
          <w:tcPr>
            <w:tcW w:type="dxa" w:w="2822"/>
            <w:tcMar>
              <w:top w:type="dxa" w:w="70"/>
              <w:left w:type="dxa" w:w="110"/>
              <w:bottom w:type="dxa" w:w="70"/>
              <w:right w:type="dxa" w:w="110"/>
            </w:tcMar>
            <w:vAlign w:val="top"/>
          </w:tcPr>
          <w:p>
            <w:r>
              <w:rPr>
                <w:b w:val="false"/>
                <w:bCs w:val="false"/>
                <w:color w:val="1A1A1A"/>
                <w:sz w:val="12"/>
                <w:szCs w:val="12"/>
              </w:rPr>
              <w:t xml:space="preserve">Each Work Package's own Definition of Ready field (Parts 5–8).</w:t>
            </w:r>
          </w:p>
        </w:tc>
        <w:tc>
          <w:tcPr>
            <w:tcW w:type="dxa" w:w="2822"/>
            <w:tcMar>
              <w:top w:type="dxa" w:w="70"/>
              <w:left w:type="dxa" w:w="110"/>
              <w:bottom w:type="dxa" w:w="70"/>
              <w:right w:type="dxa" w:w="110"/>
            </w:tcMar>
            <w:vAlign w:val="top"/>
          </w:tcPr>
          <w:p>
            <w:r>
              <w:rPr>
                <w:b w:val="false"/>
                <w:bCs w:val="false"/>
                <w:color w:val="1A1A1A"/>
                <w:sz w:val="12"/>
                <w:szCs w:val="12"/>
              </w:rPr>
              <w:t xml:space="preserve">Manual confirmation by the assigned engineer or Antigravity session before Step 1 of the Master Prompt (Part 12).</w:t>
            </w:r>
          </w:p>
        </w:tc>
        <w:tc>
          <w:tcPr>
            <w:tcW w:type="dxa" w:w="2419"/>
            <w:tcMar>
              <w:top w:type="dxa" w:w="70"/>
              <w:left w:type="dxa" w:w="110"/>
              <w:bottom w:type="dxa" w:w="70"/>
              <w:right w:type="dxa" w:w="110"/>
            </w:tcMar>
            <w:vAlign w:val="top"/>
          </w:tcPr>
          <w:p>
            <w:r>
              <w:rPr>
                <w:b w:val="false"/>
                <w:bCs w:val="false"/>
                <w:color w:val="1A1A1A"/>
                <w:sz w:val="12"/>
                <w:szCs w:val="12"/>
              </w:rPr>
              <w:t xml:space="preserve">Sprint Board state change: Backlog → Sprint-Ready (Part 13, Section 13.3).</w:t>
            </w:r>
          </w:p>
        </w:tc>
      </w:tr>
      <w:tr>
        <w:tc>
          <w:tcPr>
            <w:tcW w:type="dxa" w:w="2016"/>
            <w:tcMar>
              <w:top w:type="dxa" w:w="70"/>
              <w:left w:type="dxa" w:w="110"/>
              <w:bottom w:type="dxa" w:w="70"/>
              <w:right w:type="dxa" w:w="110"/>
            </w:tcMar>
            <w:vAlign w:val="top"/>
          </w:tcPr>
          <w:p>
            <w:r>
              <w:rPr>
                <w:b/>
                <w:bCs/>
                <w:color w:val="1A1A1A"/>
                <w:sz w:val="12"/>
                <w:szCs w:val="12"/>
              </w:rPr>
              <w:t xml:space="preserve">Mid-Gate — Code Review</w:t>
            </w:r>
          </w:p>
        </w:tc>
        <w:tc>
          <w:tcPr>
            <w:tcW w:type="dxa" w:w="2822"/>
            <w:tcMar>
              <w:top w:type="dxa" w:w="70"/>
              <w:left w:type="dxa" w:w="110"/>
              <w:bottom w:type="dxa" w:w="70"/>
              <w:right w:type="dxa" w:w="110"/>
            </w:tcMar>
            <w:vAlign w:val="top"/>
          </w:tcPr>
          <w:p>
            <w:r>
              <w:rPr>
                <w:b w:val="false"/>
                <w:bCs w:val="false"/>
                <w:color w:val="1A1A1A"/>
                <w:sz w:val="12"/>
                <w:szCs w:val="12"/>
              </w:rPr>
              <w:t xml:space="preserve">Handbook Chapter 18 (Code Review and Pull Request Policy).</w:t>
            </w:r>
          </w:p>
        </w:tc>
        <w:tc>
          <w:tcPr>
            <w:tcW w:type="dxa" w:w="2822"/>
            <w:tcMar>
              <w:top w:type="dxa" w:w="70"/>
              <w:left w:type="dxa" w:w="110"/>
              <w:bottom w:type="dxa" w:w="70"/>
              <w:right w:type="dxa" w:w="110"/>
            </w:tcMar>
            <w:vAlign w:val="top"/>
          </w:tcPr>
          <w:p>
            <w:r>
              <w:rPr>
                <w:b w:val="false"/>
                <w:bCs w:val="false"/>
                <w:color w:val="1A1A1A"/>
                <w:sz w:val="12"/>
                <w:szCs w:val="12"/>
              </w:rPr>
              <w:t xml:space="preserve">Peer review of the Pull Request against the Work Package's Functional and Non-Functional Requirements.</w:t>
            </w:r>
          </w:p>
        </w:tc>
        <w:tc>
          <w:tcPr>
            <w:tcW w:type="dxa" w:w="2419"/>
            <w:tcMar>
              <w:top w:type="dxa" w:w="70"/>
              <w:left w:type="dxa" w:w="110"/>
              <w:bottom w:type="dxa" w:w="70"/>
              <w:right w:type="dxa" w:w="110"/>
            </w:tcMar>
            <w:vAlign w:val="top"/>
          </w:tcPr>
          <w:p>
            <w:r>
              <w:rPr>
                <w:b w:val="false"/>
                <w:bCs w:val="false"/>
                <w:color w:val="1A1A1A"/>
                <w:sz w:val="12"/>
                <w:szCs w:val="12"/>
              </w:rPr>
              <w:t xml:space="preserve">Approved Pull Request with reviewer identity and timestamp.</w:t>
            </w:r>
          </w:p>
        </w:tc>
      </w:tr>
      <w:tr>
        <w:tc>
          <w:tcPr>
            <w:tcW w:type="dxa" w:w="2016"/>
            <w:tcMar>
              <w:top w:type="dxa" w:w="70"/>
              <w:left w:type="dxa" w:w="110"/>
              <w:bottom w:type="dxa" w:w="70"/>
              <w:right w:type="dxa" w:w="110"/>
            </w:tcMar>
            <w:vAlign w:val="top"/>
          </w:tcPr>
          <w:p>
            <w:r>
              <w:rPr>
                <w:b/>
                <w:bCs/>
                <w:color w:val="1A1A1A"/>
                <w:sz w:val="12"/>
                <w:szCs w:val="12"/>
              </w:rPr>
              <w:t xml:space="preserve">Exit — Definition of Done</w:t>
            </w:r>
          </w:p>
        </w:tc>
        <w:tc>
          <w:tcPr>
            <w:tcW w:type="dxa" w:w="2822"/>
            <w:tcMar>
              <w:top w:type="dxa" w:w="70"/>
              <w:left w:type="dxa" w:w="110"/>
              <w:bottom w:type="dxa" w:w="70"/>
              <w:right w:type="dxa" w:w="110"/>
            </w:tcMar>
            <w:vAlign w:val="top"/>
          </w:tcPr>
          <w:p>
            <w:r>
              <w:rPr>
                <w:b w:val="false"/>
                <w:bCs w:val="false"/>
                <w:color w:val="1A1A1A"/>
                <w:sz w:val="12"/>
                <w:szCs w:val="12"/>
              </w:rPr>
              <w:t xml:space="preserve">Each Work Package's own Definition of Done field (Parts 5–8); Step 9 of the Master Prompt.</w:t>
            </w:r>
          </w:p>
        </w:tc>
        <w:tc>
          <w:tcPr>
            <w:tcW w:type="dxa" w:w="2822"/>
            <w:tcMar>
              <w:top w:type="dxa" w:w="70"/>
              <w:left w:type="dxa" w:w="110"/>
              <w:bottom w:type="dxa" w:w="70"/>
              <w:right w:type="dxa" w:w="110"/>
            </w:tcMar>
            <w:vAlign w:val="top"/>
          </w:tcPr>
          <w:p>
            <w:r>
              <w:rPr>
                <w:b w:val="false"/>
                <w:bCs w:val="false"/>
                <w:color w:val="1A1A1A"/>
                <w:sz w:val="12"/>
                <w:szCs w:val="12"/>
              </w:rPr>
              <w:t xml:space="preserve">Confirmation against every Acceptance Criterion, Test Case, and Documentation Update listed for the Work Package.</w:t>
            </w:r>
          </w:p>
        </w:tc>
        <w:tc>
          <w:tcPr>
            <w:tcW w:type="dxa" w:w="2419"/>
            <w:tcMar>
              <w:top w:type="dxa" w:w="70"/>
              <w:left w:type="dxa" w:w="110"/>
              <w:bottom w:type="dxa" w:w="70"/>
              <w:right w:type="dxa" w:w="110"/>
            </w:tcMar>
            <w:vAlign w:val="top"/>
          </w:tcPr>
          <w:p>
            <w:r>
              <w:rPr>
                <w:b w:val="false"/>
                <w:bCs w:val="false"/>
                <w:color w:val="1A1A1A"/>
                <w:sz w:val="12"/>
                <w:szCs w:val="12"/>
              </w:rPr>
              <w:t xml:space="preserve">Sprint Board state change: In Review → Done; traceability matrix entry (Appendix J).</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3F0E8" w:sz="2"/>
              <w:left w:val="single" w:color="97771F" w:sz="24"/>
              <w:bottom w:val="single" w:color="F3F0E8" w:sz="2"/>
              <w:right w:val="single" w:color="F3F0E8" w:sz="2"/>
            </w:tcBorders>
            <w:shd w:fill="F3F0E8" w:val="clear"/>
            <w:tcMar>
              <w:top w:type="dxa" w:w="120"/>
              <w:left w:type="dxa" w:w="180"/>
              <w:bottom w:type="dxa" w:w="120"/>
              <w:right w:type="dxa" w:w="180"/>
            </w:tcMar>
          </w:tcPr>
          <w:p>
            <w:pPr>
              <w:spacing w:after="60"/>
            </w:pPr>
            <w:r>
              <w:rPr>
                <w:b/>
                <w:bCs/>
                <w:color w:val="97771F"/>
                <w:sz w:val="17"/>
                <w:szCs w:val="17"/>
              </w:rPr>
              <w:t xml:space="preserve">NOTE</w:t>
            </w:r>
          </w:p>
          <w:p>
            <w:pPr>
              <w:spacing w:after="0"/>
            </w:pPr>
            <w:r>
              <w:rPr>
                <w:sz w:val="18"/>
                <w:szCs w:val="18"/>
              </w:rPr>
              <w:t xml:space="preserve">Every Work Package's Definition of Done in Parts 5–8 already names the specific human role required to sign off — Technical Lead, Solution Architect, Security Architect, or equivalent. This gate does not add a new signatory; it enforces that the existing one is obtained before the Work Package moves to Done.</w:t>
            </w:r>
          </w:p>
        </w:tc>
      </w:tr>
    </w:tbl>
    <w:p>
      <w:pPr>
        <w:pStyle w:val="Heading1"/>
        <w:pBdr>
          <w:bottom w:val="single" w:color="DAD3C0" w:sz="4" w:space="4"/>
        </w:pBdr>
        <w:spacing w:after="140" w:before="360"/>
      </w:pPr>
      <w:r>
        <w:rPr>
          <w:b/>
          <w:bCs/>
          <w:color w:val="97771F"/>
          <w:sz w:val="26"/>
          <w:szCs w:val="26"/>
        </w:rPr>
        <w:t xml:space="preserve">14.4  </w:t>
      </w:r>
      <w:r>
        <w:rPr>
          <w:b/>
          <w:bCs/>
          <w:color w:val="33363C"/>
          <w:sz w:val="26"/>
          <w:szCs w:val="26"/>
        </w:rPr>
        <w:t xml:space="preserve">Tier 2 — Sprint Quality Gate</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Formalize the sprint-level gate that determines whether a sprint's Work Packages collectively count as delivered.</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a sprint from being reported as complete when its Work Packages are only partially Done.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This gate's criteria are the Exit Criteria field already fixed for every sprint in Part 9.</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sprint is reported to the Steering Committee as complete only when every Work Package assigned to it has passed the Tier 1 gate.</w:t>
            </w:r>
          </w:p>
        </w:tc>
      </w:tr>
    </w:tbl>
    <w:p>
      <w:pPr>
        <w:spacing w:after="160"/>
      </w:pPr>
    </w:p>
    <w:p>
      <w:pPr>
        <w:spacing w:after="150" w:line="276"/>
        <w:jc w:val="both"/>
      </w:pPr>
      <w:r>
        <w:t xml:space="preserve">At Sprint Review (Part 13, Section 13.9), the Scrum Master verifies each Work Package assigned to the sprint against its Tier 1 exit evidence, then confirms the sprint's own Exit Criteria as stated in Part 9. A Work Package that has not passed its Tier 1 gate is carried forward to the next sprint with a documented reason — it does not cause the entire sprint to be marked incomplete, but it does not count toward that sprint's velocity either.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234"/>
        <w:gridCol w:w="3830"/>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Sprint Gate Outcome</w:t>
            </w:r>
          </w:p>
        </w:tc>
        <w:tc>
          <w:tcPr>
            <w:tcW w:type="dxa" w:w="4234"/>
            <w:shd w:fill="33363C" w:val="clear"/>
            <w:tcMar>
              <w:top w:type="dxa" w:w="70"/>
              <w:left w:type="dxa" w:w="110"/>
              <w:bottom w:type="dxa" w:w="70"/>
              <w:right w:type="dxa" w:w="110"/>
            </w:tcMar>
            <w:vAlign w:val="top"/>
          </w:tcPr>
          <w:p>
            <w:r>
              <w:rPr>
                <w:b/>
                <w:bCs/>
                <w:color w:val="FFFFFF"/>
                <w:sz w:val="17"/>
                <w:szCs w:val="17"/>
              </w:rPr>
              <w:t xml:space="preserve">Condition</w:t>
            </w:r>
          </w:p>
        </w:tc>
        <w:tc>
          <w:tcPr>
            <w:tcW w:type="dxa" w:w="3830"/>
            <w:shd w:fill="33363C" w:val="clear"/>
            <w:tcMar>
              <w:top w:type="dxa" w:w="70"/>
              <w:left w:type="dxa" w:w="110"/>
              <w:bottom w:type="dxa" w:w="70"/>
              <w:right w:type="dxa" w:w="110"/>
            </w:tcMar>
            <w:vAlign w:val="top"/>
          </w:tcPr>
          <w:p>
            <w:r>
              <w:rPr>
                <w:b/>
                <w:bCs/>
                <w:color w:val="FFFFFF"/>
                <w:sz w:val="17"/>
                <w:szCs w:val="17"/>
              </w:rPr>
              <w:t xml:space="preserve">Action</w:t>
            </w:r>
          </w:p>
        </w:tc>
      </w:tr>
      <w:tr>
        <w:tc>
          <w:tcPr>
            <w:tcW w:type="dxa" w:w="2016"/>
            <w:tcMar>
              <w:top w:type="dxa" w:w="70"/>
              <w:left w:type="dxa" w:w="110"/>
              <w:bottom w:type="dxa" w:w="70"/>
              <w:right w:type="dxa" w:w="110"/>
            </w:tcMar>
            <w:vAlign w:val="top"/>
          </w:tcPr>
          <w:p>
            <w:r>
              <w:rPr>
                <w:b/>
                <w:bCs/>
                <w:color w:val="1A1A1A"/>
                <w:sz w:val="12"/>
                <w:szCs w:val="12"/>
              </w:rPr>
              <w:t xml:space="preserve">Clean Exit</w:t>
            </w:r>
          </w:p>
        </w:tc>
        <w:tc>
          <w:tcPr>
            <w:tcW w:type="dxa" w:w="4234"/>
            <w:tcMar>
              <w:top w:type="dxa" w:w="70"/>
              <w:left w:type="dxa" w:w="110"/>
              <w:bottom w:type="dxa" w:w="70"/>
              <w:right w:type="dxa" w:w="110"/>
            </w:tcMar>
            <w:vAlign w:val="top"/>
          </w:tcPr>
          <w:p>
            <w:r>
              <w:rPr>
                <w:b w:val="false"/>
                <w:bCs w:val="false"/>
                <w:color w:val="1A1A1A"/>
                <w:sz w:val="12"/>
                <w:szCs w:val="12"/>
              </w:rPr>
              <w:t xml:space="preserve">All Work Packages assigned to the sprint have passed their Tier 1 gate.</w:t>
            </w:r>
          </w:p>
        </w:tc>
        <w:tc>
          <w:tcPr>
            <w:tcW w:type="dxa" w:w="3830"/>
            <w:tcMar>
              <w:top w:type="dxa" w:w="70"/>
              <w:left w:type="dxa" w:w="110"/>
              <w:bottom w:type="dxa" w:w="70"/>
              <w:right w:type="dxa" w:w="110"/>
            </w:tcMar>
            <w:vAlign w:val="top"/>
          </w:tcPr>
          <w:p>
            <w:r>
              <w:rPr>
                <w:b w:val="false"/>
                <w:bCs w:val="false"/>
                <w:color w:val="1A1A1A"/>
                <w:sz w:val="12"/>
                <w:szCs w:val="12"/>
              </w:rPr>
              <w:t xml:space="preserve">Sprint marked complete; contributes fully to the Release Quality Gate (Tier 3).</w:t>
            </w:r>
          </w:p>
        </w:tc>
      </w:tr>
      <w:tr>
        <w:tc>
          <w:tcPr>
            <w:tcW w:type="dxa" w:w="2016"/>
            <w:tcMar>
              <w:top w:type="dxa" w:w="70"/>
              <w:left w:type="dxa" w:w="110"/>
              <w:bottom w:type="dxa" w:w="70"/>
              <w:right w:type="dxa" w:w="110"/>
            </w:tcMar>
            <w:vAlign w:val="top"/>
          </w:tcPr>
          <w:p>
            <w:r>
              <w:rPr>
                <w:b/>
                <w:bCs/>
                <w:color w:val="1A1A1A"/>
                <w:sz w:val="12"/>
                <w:szCs w:val="12"/>
              </w:rPr>
              <w:t xml:space="preserve">Partial Exit</w:t>
            </w:r>
          </w:p>
        </w:tc>
        <w:tc>
          <w:tcPr>
            <w:tcW w:type="dxa" w:w="4234"/>
            <w:tcMar>
              <w:top w:type="dxa" w:w="70"/>
              <w:left w:type="dxa" w:w="110"/>
              <w:bottom w:type="dxa" w:w="70"/>
              <w:right w:type="dxa" w:w="110"/>
            </w:tcMar>
            <w:vAlign w:val="top"/>
          </w:tcPr>
          <w:p>
            <w:r>
              <w:rPr>
                <w:b w:val="false"/>
                <w:bCs w:val="false"/>
                <w:color w:val="1A1A1A"/>
                <w:sz w:val="12"/>
                <w:szCs w:val="12"/>
              </w:rPr>
              <w:t xml:space="preserve">One or more Work Packages remain In Progress or In Review at sprint end.</w:t>
            </w:r>
          </w:p>
        </w:tc>
        <w:tc>
          <w:tcPr>
            <w:tcW w:type="dxa" w:w="3830"/>
            <w:tcMar>
              <w:top w:type="dxa" w:w="70"/>
              <w:left w:type="dxa" w:w="110"/>
              <w:bottom w:type="dxa" w:w="70"/>
              <w:right w:type="dxa" w:w="110"/>
            </w:tcMar>
            <w:vAlign w:val="top"/>
          </w:tcPr>
          <w:p>
            <w:r>
              <w:rPr>
                <w:b w:val="false"/>
                <w:bCs w:val="false"/>
                <w:color w:val="1A1A1A"/>
                <w:sz w:val="12"/>
                <w:szCs w:val="12"/>
              </w:rPr>
              <w:t xml:space="preserve">Sprint reported with the specific Work Package(s) carried forward; reason logged per Handbook Chapter 21.</w:t>
            </w:r>
          </w:p>
        </w:tc>
      </w:tr>
      <w:tr>
        <w:tc>
          <w:tcPr>
            <w:tcW w:type="dxa" w:w="2016"/>
            <w:tcMar>
              <w:top w:type="dxa" w:w="70"/>
              <w:left w:type="dxa" w:w="110"/>
              <w:bottom w:type="dxa" w:w="70"/>
              <w:right w:type="dxa" w:w="110"/>
            </w:tcMar>
            <w:vAlign w:val="top"/>
          </w:tcPr>
          <w:p>
            <w:r>
              <w:rPr>
                <w:b/>
                <w:bCs/>
                <w:color w:val="1A1A1A"/>
                <w:sz w:val="12"/>
                <w:szCs w:val="12"/>
              </w:rPr>
              <w:t xml:space="preserve">Blocked Exit</w:t>
            </w:r>
          </w:p>
        </w:tc>
        <w:tc>
          <w:tcPr>
            <w:tcW w:type="dxa" w:w="4234"/>
            <w:tcMar>
              <w:top w:type="dxa" w:w="70"/>
              <w:left w:type="dxa" w:w="110"/>
              <w:bottom w:type="dxa" w:w="70"/>
              <w:right w:type="dxa" w:w="110"/>
            </w:tcMar>
            <w:vAlign w:val="top"/>
          </w:tcPr>
          <w:p>
            <w:r>
              <w:rPr>
                <w:b w:val="false"/>
                <w:bCs w:val="false"/>
                <w:color w:val="1A1A1A"/>
                <w:sz w:val="12"/>
                <w:szCs w:val="12"/>
              </w:rPr>
              <w:t xml:space="preserve">A Work Package is blocked by an unresolved escalation (Part 13, Section 13.6) past its trigger threshold.</w:t>
            </w:r>
          </w:p>
        </w:tc>
        <w:tc>
          <w:tcPr>
            <w:tcW w:type="dxa" w:w="3830"/>
            <w:tcMar>
              <w:top w:type="dxa" w:w="70"/>
              <w:left w:type="dxa" w:w="110"/>
              <w:bottom w:type="dxa" w:w="70"/>
              <w:right w:type="dxa" w:w="110"/>
            </w:tcMar>
            <w:vAlign w:val="top"/>
          </w:tcPr>
          <w:p>
            <w:r>
              <w:rPr>
                <w:b w:val="false"/>
                <w:bCs w:val="false"/>
                <w:color w:val="1A1A1A"/>
                <w:sz w:val="12"/>
                <w:szCs w:val="12"/>
              </w:rPr>
              <w:t xml:space="preserve">Escalation reported to the Steering Committee; Release Quality Gate (Tier 3) timeline reassessed.</w:t>
            </w:r>
          </w:p>
        </w:tc>
      </w:tr>
    </w:tbl>
    <w:p>
      <w:pPr>
        <w:pStyle w:val="Heading1"/>
        <w:pBdr>
          <w:bottom w:val="single" w:color="DAD3C0" w:sz="4" w:space="4"/>
        </w:pBdr>
        <w:spacing w:after="140" w:before="360"/>
      </w:pPr>
      <w:r>
        <w:rPr>
          <w:b/>
          <w:bCs/>
          <w:color w:val="97771F"/>
          <w:sz w:val="26"/>
          <w:szCs w:val="26"/>
        </w:rPr>
        <w:t xml:space="preserve">14.5  </w:t>
      </w:r>
      <w:r>
        <w:rPr>
          <w:b/>
          <w:bCs/>
          <w:color w:val="33363C"/>
          <w:sz w:val="26"/>
          <w:szCs w:val="26"/>
        </w:rPr>
        <w:t xml:space="preserve">Tier 3 — Release Quality Gate</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Formalize the Release-level gate executed by WP-24 (Quality Engineering &amp; Release Readiness).</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The single point at which the platform is certified fit for the next Release, including the final General Availability Release.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This gate's mechanism is WP-24 itself (MEKB Part 8); this section restates its criteria as a formal gate definition rather than duplicating the Work Package.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Release proceeds to deployment with an unresolved Severity 1 or Severity 2 defect, per WP-24's own Acceptance Criteria.</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2822"/>
        <w:gridCol w:w="4435"/>
      </w:tblGrid>
      <w:tr>
        <w:trPr>
          <w:tblHeader/>
        </w:trPr>
        <w:tc>
          <w:tcPr>
            <w:tcW w:type="dxa" w:w="2822"/>
            <w:shd w:fill="33363C" w:val="clear"/>
            <w:tcMar>
              <w:top w:type="dxa" w:w="70"/>
              <w:left w:type="dxa" w:w="110"/>
              <w:bottom w:type="dxa" w:w="70"/>
              <w:right w:type="dxa" w:w="110"/>
            </w:tcMar>
            <w:vAlign w:val="top"/>
          </w:tcPr>
          <w:p>
            <w:r>
              <w:rPr>
                <w:b/>
                <w:bCs/>
                <w:color w:val="FFFFFF"/>
                <w:sz w:val="17"/>
                <w:szCs w:val="17"/>
              </w:rPr>
              <w:t xml:space="preserve">Gate Criterion</w:t>
            </w:r>
          </w:p>
        </w:tc>
        <w:tc>
          <w:tcPr>
            <w:tcW w:type="dxa" w:w="2822"/>
            <w:shd w:fill="33363C" w:val="clear"/>
            <w:tcMar>
              <w:top w:type="dxa" w:w="70"/>
              <w:left w:type="dxa" w:w="110"/>
              <w:bottom w:type="dxa" w:w="70"/>
              <w:right w:type="dxa" w:w="110"/>
            </w:tcMar>
            <w:vAlign w:val="top"/>
          </w:tcPr>
          <w:p>
            <w:r>
              <w:rPr>
                <w:b/>
                <w:bCs/>
                <w:color w:val="FFFFFF"/>
                <w:sz w:val="17"/>
                <w:szCs w:val="17"/>
              </w:rPr>
              <w:t xml:space="preserve">Source</w:t>
            </w:r>
          </w:p>
        </w:tc>
        <w:tc>
          <w:tcPr>
            <w:tcW w:type="dxa" w:w="4435"/>
            <w:shd w:fill="33363C" w:val="clear"/>
            <w:tcMar>
              <w:top w:type="dxa" w:w="70"/>
              <w:left w:type="dxa" w:w="110"/>
              <w:bottom w:type="dxa" w:w="70"/>
              <w:right w:type="dxa" w:w="110"/>
            </w:tcMar>
            <w:vAlign w:val="top"/>
          </w:tcPr>
          <w:p>
            <w:r>
              <w:rPr>
                <w:b/>
                <w:bCs/>
                <w:color w:val="FFFFFF"/>
                <w:sz w:val="17"/>
                <w:szCs w:val="17"/>
              </w:rPr>
              <w:t xml:space="preserve">Pass Threshold</w:t>
            </w:r>
          </w:p>
        </w:tc>
      </w:tr>
      <w:tr>
        <w:tc>
          <w:tcPr>
            <w:tcW w:type="dxa" w:w="2822"/>
            <w:tcMar>
              <w:top w:type="dxa" w:w="70"/>
              <w:left w:type="dxa" w:w="110"/>
              <w:bottom w:type="dxa" w:w="70"/>
              <w:right w:type="dxa" w:w="110"/>
            </w:tcMar>
            <w:vAlign w:val="top"/>
          </w:tcPr>
          <w:p>
            <w:r>
              <w:rPr>
                <w:b/>
                <w:bCs/>
                <w:color w:val="1A1A1A"/>
                <w:sz w:val="12"/>
                <w:szCs w:val="12"/>
              </w:rPr>
              <w:t xml:space="preserve">Full regression suite</w:t>
            </w:r>
          </w:p>
        </w:tc>
        <w:tc>
          <w:tcPr>
            <w:tcW w:type="dxa" w:w="2822"/>
            <w:tcMar>
              <w:top w:type="dxa" w:w="70"/>
              <w:left w:type="dxa" w:w="110"/>
              <w:bottom w:type="dxa" w:w="70"/>
              <w:right w:type="dxa" w:w="110"/>
            </w:tcMar>
            <w:vAlign w:val="top"/>
          </w:tcPr>
          <w:p>
            <w:r>
              <w:rPr>
                <w:b w:val="false"/>
                <w:bCs w:val="false"/>
                <w:color w:val="1A1A1A"/>
                <w:sz w:val="12"/>
                <w:szCs w:val="12"/>
              </w:rPr>
              <w:t xml:space="preserve">WP-24, TSAS Parts 4–5.</w:t>
            </w:r>
          </w:p>
        </w:tc>
        <w:tc>
          <w:tcPr>
            <w:tcW w:type="dxa" w:w="4435"/>
            <w:tcMar>
              <w:top w:type="dxa" w:w="70"/>
              <w:left w:type="dxa" w:w="110"/>
              <w:bottom w:type="dxa" w:w="70"/>
              <w:right w:type="dxa" w:w="110"/>
            </w:tcMar>
            <w:vAlign w:val="top"/>
          </w:tcPr>
          <w:p>
            <w:r>
              <w:rPr>
                <w:b w:val="false"/>
                <w:bCs w:val="false"/>
                <w:color w:val="1A1A1A"/>
                <w:sz w:val="12"/>
                <w:szCs w:val="12"/>
              </w:rPr>
              <w:t xml:space="preserve">100% pass rate; zero unresolved Severity 1/2 defects (Part 13, Section 13.8).</w:t>
            </w:r>
          </w:p>
        </w:tc>
      </w:tr>
      <w:tr>
        <w:tc>
          <w:tcPr>
            <w:tcW w:type="dxa" w:w="2822"/>
            <w:tcMar>
              <w:top w:type="dxa" w:w="70"/>
              <w:left w:type="dxa" w:w="110"/>
              <w:bottom w:type="dxa" w:w="70"/>
              <w:right w:type="dxa" w:w="110"/>
            </w:tcMar>
            <w:vAlign w:val="top"/>
          </w:tcPr>
          <w:p>
            <w:r>
              <w:rPr>
                <w:b/>
                <w:bCs/>
                <w:color w:val="1A1A1A"/>
                <w:sz w:val="12"/>
                <w:szCs w:val="12"/>
              </w:rPr>
              <w:t xml:space="preserve">Platform-wide performance test</w:t>
            </w:r>
          </w:p>
        </w:tc>
        <w:tc>
          <w:tcPr>
            <w:tcW w:type="dxa" w:w="2822"/>
            <w:tcMar>
              <w:top w:type="dxa" w:w="70"/>
              <w:left w:type="dxa" w:w="110"/>
              <w:bottom w:type="dxa" w:w="70"/>
              <w:right w:type="dxa" w:w="110"/>
            </w:tcMar>
            <w:vAlign w:val="top"/>
          </w:tcPr>
          <w:p>
            <w:r>
              <w:rPr>
                <w:b w:val="false"/>
                <w:bCs w:val="false"/>
                <w:color w:val="1A1A1A"/>
                <w:sz w:val="12"/>
                <w:szCs w:val="12"/>
              </w:rPr>
              <w:t xml:space="preserve">WP-24, TSAS Part 9; SRS Part 33; DDS Part 16.</w:t>
            </w:r>
          </w:p>
        </w:tc>
        <w:tc>
          <w:tcPr>
            <w:tcW w:type="dxa" w:w="4435"/>
            <w:tcMar>
              <w:top w:type="dxa" w:w="70"/>
              <w:left w:type="dxa" w:w="110"/>
              <w:bottom w:type="dxa" w:w="70"/>
              <w:right w:type="dxa" w:w="110"/>
            </w:tcMar>
            <w:vAlign w:val="top"/>
          </w:tcPr>
          <w:p>
            <w:r>
              <w:rPr>
                <w:b w:val="false"/>
                <w:bCs w:val="false"/>
                <w:color w:val="1A1A1A"/>
                <w:sz w:val="12"/>
                <w:szCs w:val="12"/>
              </w:rPr>
              <w:t xml:space="preserve">All defined performance thresholds met under representative load.</w:t>
            </w:r>
          </w:p>
        </w:tc>
      </w:tr>
      <w:tr>
        <w:tc>
          <w:tcPr>
            <w:tcW w:type="dxa" w:w="2822"/>
            <w:tcMar>
              <w:top w:type="dxa" w:w="70"/>
              <w:left w:type="dxa" w:w="110"/>
              <w:bottom w:type="dxa" w:w="70"/>
              <w:right w:type="dxa" w:w="110"/>
            </w:tcMar>
            <w:vAlign w:val="top"/>
          </w:tcPr>
          <w:p>
            <w:r>
              <w:rPr>
                <w:b/>
                <w:bCs/>
                <w:color w:val="1A1A1A"/>
                <w:sz w:val="12"/>
                <w:szCs w:val="12"/>
              </w:rPr>
              <w:t xml:space="preserve">Platform-wide penetration test</w:t>
            </w:r>
          </w:p>
        </w:tc>
        <w:tc>
          <w:tcPr>
            <w:tcW w:type="dxa" w:w="2822"/>
            <w:tcMar>
              <w:top w:type="dxa" w:w="70"/>
              <w:left w:type="dxa" w:w="110"/>
              <w:bottom w:type="dxa" w:w="70"/>
              <w:right w:type="dxa" w:w="110"/>
            </w:tcMar>
            <w:vAlign w:val="top"/>
          </w:tcPr>
          <w:p>
            <w:r>
              <w:rPr>
                <w:b w:val="false"/>
                <w:bCs w:val="false"/>
                <w:color w:val="1A1A1A"/>
                <w:sz w:val="12"/>
                <w:szCs w:val="12"/>
              </w:rPr>
              <w:t xml:space="preserve">WP-24, TSAS Part 8; Appendix K.</w:t>
            </w:r>
          </w:p>
        </w:tc>
        <w:tc>
          <w:tcPr>
            <w:tcW w:type="dxa" w:w="4435"/>
            <w:tcMar>
              <w:top w:type="dxa" w:w="70"/>
              <w:left w:type="dxa" w:w="110"/>
              <w:bottom w:type="dxa" w:w="70"/>
              <w:right w:type="dxa" w:w="110"/>
            </w:tcMar>
            <w:vAlign w:val="top"/>
          </w:tcPr>
          <w:p>
            <w:r>
              <w:rPr>
                <w:b w:val="false"/>
                <w:bCs w:val="false"/>
                <w:color w:val="1A1A1A"/>
                <w:sz w:val="12"/>
                <w:szCs w:val="12"/>
              </w:rPr>
              <w:t xml:space="preserve">All findings remediated or formally risk-accepted by the Security Architect.</w:t>
            </w:r>
          </w:p>
        </w:tc>
      </w:tr>
      <w:tr>
        <w:tc>
          <w:tcPr>
            <w:tcW w:type="dxa" w:w="2822"/>
            <w:tcMar>
              <w:top w:type="dxa" w:w="70"/>
              <w:left w:type="dxa" w:w="110"/>
              <w:bottom w:type="dxa" w:w="70"/>
              <w:right w:type="dxa" w:w="110"/>
            </w:tcMar>
            <w:vAlign w:val="top"/>
          </w:tcPr>
          <w:p>
            <w:r>
              <w:rPr>
                <w:b/>
                <w:bCs/>
                <w:color w:val="1A1A1A"/>
                <w:sz w:val="12"/>
                <w:szCs w:val="12"/>
              </w:rPr>
              <w:t xml:space="preserve">Release Readiness Checklist</w:t>
            </w:r>
          </w:p>
        </w:tc>
        <w:tc>
          <w:tcPr>
            <w:tcW w:type="dxa" w:w="2822"/>
            <w:tcMar>
              <w:top w:type="dxa" w:w="70"/>
              <w:left w:type="dxa" w:w="110"/>
              <w:bottom w:type="dxa" w:w="70"/>
              <w:right w:type="dxa" w:w="110"/>
            </w:tcMar>
            <w:vAlign w:val="top"/>
          </w:tcPr>
          <w:p>
            <w:r>
              <w:rPr>
                <w:b w:val="false"/>
                <w:bCs w:val="false"/>
                <w:color w:val="1A1A1A"/>
                <w:sz w:val="12"/>
                <w:szCs w:val="12"/>
              </w:rPr>
              <w:t xml:space="preserve">WP-24; TSAS Part 15.</w:t>
            </w:r>
          </w:p>
        </w:tc>
        <w:tc>
          <w:tcPr>
            <w:tcW w:type="dxa" w:w="4435"/>
            <w:tcMar>
              <w:top w:type="dxa" w:w="70"/>
              <w:left w:type="dxa" w:w="110"/>
              <w:bottom w:type="dxa" w:w="70"/>
              <w:right w:type="dxa" w:w="110"/>
            </w:tcMar>
            <w:vAlign w:val="top"/>
          </w:tcPr>
          <w:p>
            <w:r>
              <w:rPr>
                <w:b w:val="false"/>
                <w:bCs w:val="false"/>
                <w:color w:val="1A1A1A"/>
                <w:sz w:val="12"/>
                <w:szCs w:val="12"/>
              </w:rPr>
              <w:t xml:space="preserve">100% complete and signed off.</w:t>
            </w:r>
          </w:p>
        </w:tc>
      </w:tr>
      <w:tr>
        <w:tc>
          <w:tcPr>
            <w:tcW w:type="dxa" w:w="2822"/>
            <w:tcMar>
              <w:top w:type="dxa" w:w="70"/>
              <w:left w:type="dxa" w:w="110"/>
              <w:bottom w:type="dxa" w:w="70"/>
              <w:right w:type="dxa" w:w="110"/>
            </w:tcMar>
            <w:vAlign w:val="top"/>
          </w:tcPr>
          <w:p>
            <w:r>
              <w:rPr>
                <w:b/>
                <w:bCs/>
                <w:color w:val="1A1A1A"/>
                <w:sz w:val="12"/>
                <w:szCs w:val="12"/>
              </w:rPr>
              <w:t xml:space="preserve">Traceability coverage for this Release's scope</w:t>
            </w:r>
          </w:p>
        </w:tc>
        <w:tc>
          <w:tcPr>
            <w:tcW w:type="dxa" w:w="2822"/>
            <w:tcMar>
              <w:top w:type="dxa" w:w="70"/>
              <w:left w:type="dxa" w:w="110"/>
              <w:bottom w:type="dxa" w:w="70"/>
              <w:right w:type="dxa" w:w="110"/>
            </w:tcMar>
            <w:vAlign w:val="top"/>
          </w:tcPr>
          <w:p>
            <w:r>
              <w:rPr>
                <w:b w:val="false"/>
                <w:bCs w:val="false"/>
                <w:color w:val="1A1A1A"/>
                <w:sz w:val="12"/>
                <w:szCs w:val="12"/>
              </w:rPr>
              <w:t xml:space="preserve">Appendix J, Section J.14.</w:t>
            </w:r>
          </w:p>
        </w:tc>
        <w:tc>
          <w:tcPr>
            <w:tcW w:type="dxa" w:w="4435"/>
            <w:tcMar>
              <w:top w:type="dxa" w:w="70"/>
              <w:left w:type="dxa" w:w="110"/>
              <w:bottom w:type="dxa" w:w="70"/>
              <w:right w:type="dxa" w:w="110"/>
            </w:tcMar>
            <w:vAlign w:val="top"/>
          </w:tcPr>
          <w:p>
            <w:r>
              <w:rPr>
                <w:b w:val="false"/>
                <w:bCs w:val="false"/>
                <w:color w:val="1A1A1A"/>
                <w:sz w:val="12"/>
                <w:szCs w:val="12"/>
              </w:rPr>
              <w:t xml:space="preserve">100% of the Release's requirements traceable end to end.</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DEAF2" w:sz="2"/>
              <w:left w:val="single" w:color="5B4E75" w:sz="24"/>
              <w:bottom w:val="single" w:color="EDEAF2" w:sz="2"/>
              <w:right w:val="single" w:color="EDEAF2" w:sz="2"/>
            </w:tcBorders>
            <w:shd w:fill="EDEAF2" w:val="clear"/>
            <w:tcMar>
              <w:top w:type="dxa" w:w="120"/>
              <w:left w:type="dxa" w:w="180"/>
              <w:bottom w:type="dxa" w:w="120"/>
              <w:right w:type="dxa" w:w="180"/>
            </w:tcMar>
          </w:tcPr>
          <w:p>
            <w:pPr>
              <w:spacing w:after="60"/>
            </w:pPr>
            <w:r>
              <w:rPr>
                <w:b/>
                <w:bCs/>
                <w:color w:val="5B4E75"/>
                <w:sz w:val="17"/>
                <w:szCs w:val="17"/>
              </w:rPr>
              <w:t xml:space="preserve">COMPLIANCE REQUIREMENT</w:t>
            </w:r>
          </w:p>
          <w:p>
            <w:pPr>
              <w:spacing w:after="0"/>
            </w:pPr>
            <w:r>
              <w:rPr>
                <w:sz w:val="18"/>
                <w:szCs w:val="18"/>
              </w:rPr>
              <w:t xml:space="preserve">Per the Sprint Roadmap's Release structure (Part 9, Section 9.1), this gate is executed once per Release, not once per sprint. Releases 0.1 through 0.9 may use an abbreviated form of this gate scoped to that Release's incremental Work Packages, but the full Tier 3 gate as specified here is mandatory before Release 1.0 (General Availability).</w:t>
            </w:r>
          </w:p>
        </w:tc>
      </w:tr>
    </w:tbl>
    <w:p>
      <w:pPr>
        <w:pStyle w:val="Heading1"/>
        <w:pBdr>
          <w:bottom w:val="single" w:color="DAD3C0" w:sz="4" w:space="4"/>
        </w:pBdr>
        <w:spacing w:after="140" w:before="360"/>
      </w:pPr>
      <w:r>
        <w:rPr>
          <w:b/>
          <w:bCs/>
          <w:color w:val="97771F"/>
          <w:sz w:val="26"/>
          <w:szCs w:val="26"/>
        </w:rPr>
        <w:t xml:space="preserve">14.6  </w:t>
      </w:r>
      <w:r>
        <w:rPr>
          <w:b/>
          <w:bCs/>
          <w:color w:val="33363C"/>
          <w:sz w:val="26"/>
          <w:szCs w:val="26"/>
        </w:rPr>
        <w:t xml:space="preserve">Tier 4 — Programme Acceptance Gate</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Formalize the final gate at which the platform is accepted by IFAD and the Federal Government of Nigeria.</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The gate that converts engineering completion into contractual, donor-recognized programme completion.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This gate's mechanism is WP-25 (Documentation, ADR &amp; Traceability Closeout) combined with the Deliverable Quality Gates in Appendix O, Section O.10.</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Formal, auditable confirmation that every contractual deliverable has reached Baseline or Published status.</w:t>
            </w:r>
          </w:p>
        </w:tc>
      </w:tr>
    </w:tbl>
    <w:p>
      <w:pPr>
        <w:spacing w:after="160"/>
      </w:pPr>
    </w:p>
    <w:p>
      <w:pPr>
        <w:spacing w:after="150" w:line="276"/>
        <w:jc w:val="both"/>
      </w:pPr>
      <w:r>
        <w:t xml:space="preserve">Appendix O, Section O.10 defines ten Deliverable Quality Gates that every deliverable must satisfy before Approval. At the Programme Acceptance Gate, these ten checks are applied collectively across the entire Master Deliverables Register (Appendix O, Section O.4), not deliverable by deliverable:</w:t>
      </w:r>
    </w:p>
    <w:p>
      <w:pPr>
        <w:spacing w:after="90" w:line="264"/>
      </w:pPr>
      <w:r>
        <w:rPr>
          <w:b/>
          <w:bCs/>
          <w:color w:val="33363C"/>
        </w:rPr>
        <w:t xml:space="preserve">1. </w:t>
      </w:r>
      <w:r>
        <w:t xml:space="preserve">Completeness check — every deliverable in the Register is present.</w:t>
      </w:r>
    </w:p>
    <w:p>
      <w:pPr>
        <w:spacing w:after="90" w:line="264"/>
      </w:pPr>
      <w:r>
        <w:rPr>
          <w:b/>
          <w:bCs/>
          <w:color w:val="33363C"/>
        </w:rPr>
        <w:t xml:space="preserve">2. </w:t>
      </w:r>
      <w:r>
        <w:t xml:space="preserve">Technical review — completed per each deliverable's Approval Authority Matrix entry (Appendix O, Section O.6).</w:t>
      </w:r>
    </w:p>
    <w:p>
      <w:pPr>
        <w:spacing w:after="90" w:line="264"/>
      </w:pPr>
      <w:r>
        <w:rPr>
          <w:b/>
          <w:bCs/>
          <w:color w:val="33363C"/>
        </w:rPr>
        <w:t xml:space="preserve">3. </w:t>
      </w:r>
      <w:r>
        <w:t xml:space="preserve">Editorial review — completed per Handbook Chapter 17 (Documentation Standards).</w:t>
      </w:r>
    </w:p>
    <w:p>
      <w:pPr>
        <w:spacing w:after="90" w:line="264"/>
      </w:pPr>
      <w:r>
        <w:rPr>
          <w:b/>
          <w:bCs/>
          <w:color w:val="33363C"/>
        </w:rPr>
        <w:t xml:space="preserve">4. </w:t>
      </w:r>
      <w:r>
        <w:t xml:space="preserve">Security review — completed for every deliverable so flagged, per Appendix K.</w:t>
      </w:r>
    </w:p>
    <w:p>
      <w:pPr>
        <w:spacing w:after="90" w:line="264"/>
      </w:pPr>
      <w:r>
        <w:rPr>
          <w:b/>
          <w:bCs/>
          <w:color w:val="33363C"/>
        </w:rPr>
        <w:t xml:space="preserve">5. </w:t>
      </w:r>
      <w:r>
        <w:t xml:space="preserve">Standards compliance verification — every deliverable conforms to its governing Handbook chapter.</w:t>
      </w:r>
    </w:p>
    <w:p>
      <w:pPr>
        <w:spacing w:after="90" w:line="264"/>
      </w:pPr>
      <w:r>
        <w:rPr>
          <w:b/>
          <w:bCs/>
          <w:color w:val="33363C"/>
        </w:rPr>
        <w:t xml:space="preserve">6. </w:t>
      </w:r>
      <w:r>
        <w:t xml:space="preserve">Requirements traceability verification — 100% per Appendix J, Section J.14.</w:t>
      </w:r>
    </w:p>
    <w:p>
      <w:pPr>
        <w:spacing w:after="90" w:line="264"/>
      </w:pPr>
      <w:r>
        <w:rPr>
          <w:b/>
          <w:bCs/>
          <w:color w:val="33363C"/>
        </w:rPr>
        <w:t xml:space="preserve">7. </w:t>
      </w:r>
      <w:r>
        <w:t xml:space="preserve">Cross-reference validation — every cross-reference in the MEKB (Parts 1–15) resolves correctly.</w:t>
      </w:r>
    </w:p>
    <w:p>
      <w:pPr>
        <w:spacing w:after="90" w:line="264"/>
      </w:pPr>
      <w:r>
        <w:rPr>
          <w:b/>
          <w:bCs/>
          <w:color w:val="33363C"/>
        </w:rPr>
        <w:t xml:space="preserve">8. </w:t>
      </w:r>
      <w:r>
        <w:t xml:space="preserve">Version control verification — every deliverable at its correct, final version per Appendix O, Section O.8.</w:t>
      </w:r>
    </w:p>
    <w:p>
      <w:pPr>
        <w:spacing w:after="90" w:line="264"/>
      </w:pPr>
      <w:r>
        <w:rPr>
          <w:b/>
          <w:bCs/>
          <w:color w:val="33363C"/>
        </w:rPr>
        <w:t xml:space="preserve">9. </w:t>
      </w:r>
      <w:r>
        <w:t xml:space="preserve">Stakeholder review — Steering Committee review per Appendix O, Section O.13.</w:t>
      </w:r>
    </w:p>
    <w:p>
      <w:pPr>
        <w:spacing w:after="90" w:line="264"/>
      </w:pPr>
      <w:r>
        <w:rPr>
          <w:b/>
          <w:bCs/>
          <w:color w:val="33363C"/>
        </w:rPr>
        <w:t xml:space="preserve">10. </w:t>
      </w:r>
      <w:r>
        <w:t xml:space="preserve">Formal approval — Steering Committee sign-off, per the Approval Authority Matrix (Appendix O, Section O.6).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DEAF2" w:sz="2"/>
              <w:left w:val="single" w:color="5B4E75" w:sz="24"/>
              <w:bottom w:val="single" w:color="EDEAF2" w:sz="2"/>
              <w:right w:val="single" w:color="EDEAF2" w:sz="2"/>
            </w:tcBorders>
            <w:shd w:fill="EDEAF2" w:val="clear"/>
            <w:tcMar>
              <w:top w:type="dxa" w:w="120"/>
              <w:left w:type="dxa" w:w="180"/>
              <w:bottom w:type="dxa" w:w="120"/>
              <w:right w:type="dxa" w:w="180"/>
            </w:tcMar>
          </w:tcPr>
          <w:p>
            <w:pPr>
              <w:spacing w:after="60"/>
            </w:pPr>
            <w:r>
              <w:rPr>
                <w:b/>
                <w:bCs/>
                <w:color w:val="5B4E75"/>
                <w:sz w:val="17"/>
                <w:szCs w:val="17"/>
              </w:rPr>
              <w:t xml:space="preserve">GOVERNANCE NOTE</w:t>
            </w:r>
          </w:p>
          <w:p>
            <w:pPr>
              <w:spacing w:after="0"/>
            </w:pPr>
            <w:r>
              <w:rPr>
                <w:sz w:val="18"/>
                <w:szCs w:val="18"/>
              </w:rPr>
              <w:t xml:space="preserve">No deliverable may proceed to Baseline status without successful completion of all ten applicable quality gates, per Appendix O, Section O.10. This rule is restated here, not modified — Appendix O remains the sole authority on deliverable lifecycle status.</w:t>
            </w:r>
          </w:p>
        </w:tc>
      </w:tr>
    </w:tbl>
    <w:p>
      <w:pPr>
        <w:pStyle w:val="Heading1"/>
        <w:pBdr>
          <w:bottom w:val="single" w:color="DAD3C0" w:sz="4" w:space="4"/>
        </w:pBdr>
        <w:spacing w:after="140" w:before="360"/>
      </w:pPr>
      <w:r>
        <w:rPr>
          <w:b/>
          <w:bCs/>
          <w:color w:val="97771F"/>
          <w:sz w:val="26"/>
          <w:szCs w:val="26"/>
        </w:rPr>
        <w:t xml:space="preserve">14.7  </w:t>
      </w:r>
      <w:r>
        <w:rPr>
          <w:b/>
          <w:bCs/>
          <w:color w:val="33363C"/>
          <w:sz w:val="26"/>
          <w:szCs w:val="26"/>
        </w:rPr>
        <w:t xml:space="preserve">Quality Metrics and Reporting</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metrics that make gate status visible at every tier without waiting for the gate event itself.</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Steering Committee continuous, leading visibility into quality risk rather than only a pass/fail result at each gate.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Metrics are drawn directly from artifacts already produced by the Work Packages and sprints — no new instrumentation is required beyond what WP-01 through WP-25 already deliver.</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quality dashboard the PMO can review at any point in the programme, not only at gate events.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806"/>
        <w:gridCol w:w="3024"/>
        <w:gridCol w:w="3024"/>
      </w:tblGrid>
      <w:tr>
        <w:trPr>
          <w:tblHeader/>
        </w:trPr>
        <w:tc>
          <w:tcPr>
            <w:tcW w:type="dxa" w:w="3226"/>
            <w:shd w:fill="33363C" w:val="clear"/>
            <w:tcMar>
              <w:top w:type="dxa" w:w="70"/>
              <w:left w:type="dxa" w:w="110"/>
              <w:bottom w:type="dxa" w:w="70"/>
              <w:right w:type="dxa" w:w="110"/>
            </w:tcMar>
            <w:vAlign w:val="top"/>
          </w:tcPr>
          <w:p>
            <w:r>
              <w:rPr>
                <w:b/>
                <w:bCs/>
                <w:color w:val="FFFFFF"/>
                <w:sz w:val="17"/>
                <w:szCs w:val="17"/>
              </w:rPr>
              <w:t xml:space="preserve">Metric</w:t>
            </w:r>
          </w:p>
        </w:tc>
        <w:tc>
          <w:tcPr>
            <w:tcW w:type="dxa" w:w="806"/>
            <w:shd w:fill="33363C" w:val="clear"/>
            <w:tcMar>
              <w:top w:type="dxa" w:w="70"/>
              <w:left w:type="dxa" w:w="110"/>
              <w:bottom w:type="dxa" w:w="70"/>
              <w:right w:type="dxa" w:w="110"/>
            </w:tcMar>
            <w:vAlign w:val="top"/>
          </w:tcPr>
          <w:p>
            <w:r>
              <w:rPr>
                <w:b/>
                <w:bCs/>
                <w:color w:val="FFFFFF"/>
                <w:sz w:val="17"/>
                <w:szCs w:val="17"/>
              </w:rPr>
              <w:t xml:space="preserve">Tier</w:t>
            </w:r>
          </w:p>
        </w:tc>
        <w:tc>
          <w:tcPr>
            <w:tcW w:type="dxa" w:w="3024"/>
            <w:shd w:fill="33363C" w:val="clear"/>
            <w:tcMar>
              <w:top w:type="dxa" w:w="70"/>
              <w:left w:type="dxa" w:w="110"/>
              <w:bottom w:type="dxa" w:w="70"/>
              <w:right w:type="dxa" w:w="110"/>
            </w:tcMar>
            <w:vAlign w:val="top"/>
          </w:tcPr>
          <w:p>
            <w:r>
              <w:rPr>
                <w:b/>
                <w:bCs/>
                <w:color w:val="FFFFFF"/>
                <w:sz w:val="17"/>
                <w:szCs w:val="17"/>
              </w:rPr>
              <w:t xml:space="preserve">Source</w:t>
            </w:r>
          </w:p>
        </w:tc>
        <w:tc>
          <w:tcPr>
            <w:tcW w:type="dxa" w:w="3024"/>
            <w:shd w:fill="33363C" w:val="clear"/>
            <w:tcMar>
              <w:top w:type="dxa" w:w="70"/>
              <w:left w:type="dxa" w:w="110"/>
              <w:bottom w:type="dxa" w:w="70"/>
              <w:right w:type="dxa" w:w="110"/>
            </w:tcMar>
            <w:vAlign w:val="top"/>
          </w:tcPr>
          <w:p>
            <w:r>
              <w:rPr>
                <w:b/>
                <w:bCs/>
                <w:color w:val="FFFFFF"/>
                <w:sz w:val="17"/>
                <w:szCs w:val="17"/>
              </w:rPr>
              <w:t xml:space="preserve">Target</w:t>
            </w:r>
          </w:p>
        </w:tc>
      </w:tr>
      <w:tr>
        <w:tc>
          <w:tcPr>
            <w:tcW w:type="dxa" w:w="3226"/>
            <w:tcMar>
              <w:top w:type="dxa" w:w="70"/>
              <w:left w:type="dxa" w:w="110"/>
              <w:bottom w:type="dxa" w:w="70"/>
              <w:right w:type="dxa" w:w="110"/>
            </w:tcMar>
            <w:vAlign w:val="top"/>
          </w:tcPr>
          <w:p>
            <w:r>
              <w:rPr>
                <w:b/>
                <w:bCs/>
                <w:color w:val="1A1A1A"/>
                <w:sz w:val="11"/>
                <w:szCs w:val="11"/>
              </w:rPr>
              <w:t xml:space="preserve">% Work Packages meeting Definition of Ready before Sprint start</w:t>
            </w:r>
          </w:p>
        </w:tc>
        <w:tc>
          <w:tcPr>
            <w:tcW w:type="dxa" w:w="806"/>
            <w:tcMar>
              <w:top w:type="dxa" w:w="70"/>
              <w:left w:type="dxa" w:w="110"/>
              <w:bottom w:type="dxa" w:w="70"/>
              <w:right w:type="dxa" w:w="110"/>
            </w:tcMar>
            <w:vAlign w:val="top"/>
          </w:tcPr>
          <w:p>
            <w:r>
              <w:rPr>
                <w:b w:val="false"/>
                <w:bCs w:val="false"/>
                <w:color w:val="1A1A1A"/>
                <w:sz w:val="11"/>
                <w:szCs w:val="11"/>
              </w:rPr>
              <w:t xml:space="preserve">1</w:t>
            </w:r>
          </w:p>
        </w:tc>
        <w:tc>
          <w:tcPr>
            <w:tcW w:type="dxa" w:w="3024"/>
            <w:tcMar>
              <w:top w:type="dxa" w:w="70"/>
              <w:left w:type="dxa" w:w="110"/>
              <w:bottom w:type="dxa" w:w="70"/>
              <w:right w:type="dxa" w:w="110"/>
            </w:tcMar>
            <w:vAlign w:val="top"/>
          </w:tcPr>
          <w:p>
            <w:r>
              <w:rPr>
                <w:b w:val="false"/>
                <w:bCs w:val="false"/>
                <w:color w:val="1A1A1A"/>
                <w:sz w:val="11"/>
                <w:szCs w:val="11"/>
              </w:rPr>
              <w:t xml:space="preserve">Sprint Board (Part 13)</w:t>
            </w:r>
          </w:p>
        </w:tc>
        <w:tc>
          <w:tcPr>
            <w:tcW w:type="dxa" w:w="3024"/>
            <w:tcMar>
              <w:top w:type="dxa" w:w="70"/>
              <w:left w:type="dxa" w:w="110"/>
              <w:bottom w:type="dxa" w:w="70"/>
              <w:right w:type="dxa" w:w="110"/>
            </w:tcMar>
            <w:vAlign w:val="top"/>
          </w:tcPr>
          <w:p>
            <w:r>
              <w:rPr>
                <w:b w:val="false"/>
                <w:bCs w:val="false"/>
                <w:color w:val="1A1A1A"/>
                <w:sz w:val="11"/>
                <w:szCs w:val="11"/>
              </w:rPr>
              <w:t xml:space="preserve">100%</w:t>
            </w:r>
          </w:p>
        </w:tc>
      </w:tr>
      <w:tr>
        <w:tc>
          <w:tcPr>
            <w:tcW w:type="dxa" w:w="3226"/>
            <w:tcMar>
              <w:top w:type="dxa" w:w="70"/>
              <w:left w:type="dxa" w:w="110"/>
              <w:bottom w:type="dxa" w:w="70"/>
              <w:right w:type="dxa" w:w="110"/>
            </w:tcMar>
            <w:vAlign w:val="top"/>
          </w:tcPr>
          <w:p>
            <w:r>
              <w:rPr>
                <w:b/>
                <w:bCs/>
                <w:color w:val="1A1A1A"/>
                <w:sz w:val="11"/>
                <w:szCs w:val="11"/>
              </w:rPr>
              <w:t xml:space="preserve">% Pull Requests passing CI on first submission</w:t>
            </w:r>
          </w:p>
        </w:tc>
        <w:tc>
          <w:tcPr>
            <w:tcW w:type="dxa" w:w="806"/>
            <w:tcMar>
              <w:top w:type="dxa" w:w="70"/>
              <w:left w:type="dxa" w:w="110"/>
              <w:bottom w:type="dxa" w:w="70"/>
              <w:right w:type="dxa" w:w="110"/>
            </w:tcMar>
            <w:vAlign w:val="top"/>
          </w:tcPr>
          <w:p>
            <w:r>
              <w:rPr>
                <w:b w:val="false"/>
                <w:bCs w:val="false"/>
                <w:color w:val="1A1A1A"/>
                <w:sz w:val="11"/>
                <w:szCs w:val="11"/>
              </w:rPr>
              <w:t xml:space="preserve">1</w:t>
            </w:r>
          </w:p>
        </w:tc>
        <w:tc>
          <w:tcPr>
            <w:tcW w:type="dxa" w:w="3024"/>
            <w:tcMar>
              <w:top w:type="dxa" w:w="70"/>
              <w:left w:type="dxa" w:w="110"/>
              <w:bottom w:type="dxa" w:w="70"/>
              <w:right w:type="dxa" w:w="110"/>
            </w:tcMar>
            <w:vAlign w:val="top"/>
          </w:tcPr>
          <w:p>
            <w:r>
              <w:rPr>
                <w:b w:val="false"/>
                <w:bCs w:val="false"/>
                <w:color w:val="1A1A1A"/>
                <w:sz w:val="11"/>
                <w:szCs w:val="11"/>
              </w:rPr>
              <w:t xml:space="preserve">DevSecOps pipeline (WP-03)</w:t>
            </w:r>
          </w:p>
        </w:tc>
        <w:tc>
          <w:tcPr>
            <w:tcW w:type="dxa" w:w="3024"/>
            <w:tcMar>
              <w:top w:type="dxa" w:w="70"/>
              <w:left w:type="dxa" w:w="110"/>
              <w:bottom w:type="dxa" w:w="70"/>
              <w:right w:type="dxa" w:w="110"/>
            </w:tcMar>
            <w:vAlign w:val="top"/>
          </w:tcPr>
          <w:p>
            <w:r>
              <w:rPr>
                <w:b w:val="false"/>
                <w:bCs w:val="false"/>
                <w:color w:val="1A1A1A"/>
                <w:sz w:val="11"/>
                <w:szCs w:val="11"/>
              </w:rPr>
              <w:t xml:space="preserve">≥ 90%</w:t>
            </w:r>
          </w:p>
        </w:tc>
      </w:tr>
      <w:tr>
        <w:tc>
          <w:tcPr>
            <w:tcW w:type="dxa" w:w="3226"/>
            <w:tcMar>
              <w:top w:type="dxa" w:w="70"/>
              <w:left w:type="dxa" w:w="110"/>
              <w:bottom w:type="dxa" w:w="70"/>
              <w:right w:type="dxa" w:w="110"/>
            </w:tcMar>
            <w:vAlign w:val="top"/>
          </w:tcPr>
          <w:p>
            <w:r>
              <w:rPr>
                <w:b/>
                <w:bCs/>
                <w:color w:val="1A1A1A"/>
                <w:sz w:val="11"/>
                <w:szCs w:val="11"/>
              </w:rPr>
              <w:t xml:space="preserve">Sprint velocity (story points Done per sprint)</w:t>
            </w:r>
          </w:p>
        </w:tc>
        <w:tc>
          <w:tcPr>
            <w:tcW w:type="dxa" w:w="806"/>
            <w:tcMar>
              <w:top w:type="dxa" w:w="70"/>
              <w:left w:type="dxa" w:w="110"/>
              <w:bottom w:type="dxa" w:w="70"/>
              <w:right w:type="dxa" w:w="110"/>
            </w:tcMar>
            <w:vAlign w:val="top"/>
          </w:tcPr>
          <w:p>
            <w:r>
              <w:rPr>
                <w:b w:val="false"/>
                <w:bCs w:val="false"/>
                <w:color w:val="1A1A1A"/>
                <w:sz w:val="11"/>
                <w:szCs w:val="11"/>
              </w:rPr>
              <w:t xml:space="preserve">2</w:t>
            </w:r>
          </w:p>
        </w:tc>
        <w:tc>
          <w:tcPr>
            <w:tcW w:type="dxa" w:w="3024"/>
            <w:tcMar>
              <w:top w:type="dxa" w:w="70"/>
              <w:left w:type="dxa" w:w="110"/>
              <w:bottom w:type="dxa" w:w="70"/>
              <w:right w:type="dxa" w:w="110"/>
            </w:tcMar>
            <w:vAlign w:val="top"/>
          </w:tcPr>
          <w:p>
            <w:r>
              <w:rPr>
                <w:b w:val="false"/>
                <w:bCs w:val="false"/>
                <w:color w:val="1A1A1A"/>
                <w:sz w:val="11"/>
                <w:szCs w:val="11"/>
              </w:rPr>
              <w:t xml:space="preserve">Master Product Backlog (Part 10)</w:t>
            </w:r>
          </w:p>
        </w:tc>
        <w:tc>
          <w:tcPr>
            <w:tcW w:type="dxa" w:w="3024"/>
            <w:tcMar>
              <w:top w:type="dxa" w:w="70"/>
              <w:left w:type="dxa" w:w="110"/>
              <w:bottom w:type="dxa" w:w="70"/>
              <w:right w:type="dxa" w:w="110"/>
            </w:tcMar>
            <w:vAlign w:val="top"/>
          </w:tcPr>
          <w:p>
            <w:r>
              <w:rPr>
                <w:b w:val="false"/>
                <w:bCs w:val="false"/>
                <w:color w:val="1A1A1A"/>
                <w:sz w:val="11"/>
                <w:szCs w:val="11"/>
              </w:rPr>
              <w:t xml:space="preserve">Stable ± 15% sprint to sprint</w:t>
            </w:r>
          </w:p>
        </w:tc>
      </w:tr>
      <w:tr>
        <w:tc>
          <w:tcPr>
            <w:tcW w:type="dxa" w:w="3226"/>
            <w:tcMar>
              <w:top w:type="dxa" w:w="70"/>
              <w:left w:type="dxa" w:w="110"/>
              <w:bottom w:type="dxa" w:w="70"/>
              <w:right w:type="dxa" w:w="110"/>
            </w:tcMar>
            <w:vAlign w:val="top"/>
          </w:tcPr>
          <w:p>
            <w:r>
              <w:rPr>
                <w:b/>
                <w:bCs/>
                <w:color w:val="1A1A1A"/>
                <w:sz w:val="11"/>
                <w:szCs w:val="11"/>
              </w:rPr>
              <w:t xml:space="preserve">Sprint Exit Criteria met on first review</w:t>
            </w:r>
          </w:p>
        </w:tc>
        <w:tc>
          <w:tcPr>
            <w:tcW w:type="dxa" w:w="806"/>
            <w:tcMar>
              <w:top w:type="dxa" w:w="70"/>
              <w:left w:type="dxa" w:w="110"/>
              <w:bottom w:type="dxa" w:w="70"/>
              <w:right w:type="dxa" w:w="110"/>
            </w:tcMar>
            <w:vAlign w:val="top"/>
          </w:tcPr>
          <w:p>
            <w:r>
              <w:rPr>
                <w:b w:val="false"/>
                <w:bCs w:val="false"/>
                <w:color w:val="1A1A1A"/>
                <w:sz w:val="11"/>
                <w:szCs w:val="11"/>
              </w:rPr>
              <w:t xml:space="preserve">2</w:t>
            </w:r>
          </w:p>
        </w:tc>
        <w:tc>
          <w:tcPr>
            <w:tcW w:type="dxa" w:w="3024"/>
            <w:tcMar>
              <w:top w:type="dxa" w:w="70"/>
              <w:left w:type="dxa" w:w="110"/>
              <w:bottom w:type="dxa" w:w="70"/>
              <w:right w:type="dxa" w:w="110"/>
            </w:tcMar>
            <w:vAlign w:val="top"/>
          </w:tcPr>
          <w:p>
            <w:r>
              <w:rPr>
                <w:b w:val="false"/>
                <w:bCs w:val="false"/>
                <w:color w:val="1A1A1A"/>
                <w:sz w:val="11"/>
                <w:szCs w:val="11"/>
              </w:rPr>
              <w:t xml:space="preserve">Sprint Review record (Part 13, Section 13.9)</w:t>
            </w:r>
          </w:p>
        </w:tc>
        <w:tc>
          <w:tcPr>
            <w:tcW w:type="dxa" w:w="3024"/>
            <w:tcMar>
              <w:top w:type="dxa" w:w="70"/>
              <w:left w:type="dxa" w:w="110"/>
              <w:bottom w:type="dxa" w:w="70"/>
              <w:right w:type="dxa" w:w="110"/>
            </w:tcMar>
            <w:vAlign w:val="top"/>
          </w:tcPr>
          <w:p>
            <w:r>
              <w:rPr>
                <w:b w:val="false"/>
                <w:bCs w:val="false"/>
                <w:color w:val="1A1A1A"/>
                <w:sz w:val="11"/>
                <w:szCs w:val="11"/>
              </w:rPr>
              <w:t xml:space="preserve">≥ 90% of sprints</w:t>
            </w:r>
          </w:p>
        </w:tc>
      </w:tr>
      <w:tr>
        <w:tc>
          <w:tcPr>
            <w:tcW w:type="dxa" w:w="3226"/>
            <w:tcMar>
              <w:top w:type="dxa" w:w="70"/>
              <w:left w:type="dxa" w:w="110"/>
              <w:bottom w:type="dxa" w:w="70"/>
              <w:right w:type="dxa" w:w="110"/>
            </w:tcMar>
            <w:vAlign w:val="top"/>
          </w:tcPr>
          <w:p>
            <w:r>
              <w:rPr>
                <w:b/>
                <w:bCs/>
                <w:color w:val="1A1A1A"/>
                <w:sz w:val="11"/>
                <w:szCs w:val="11"/>
              </w:rPr>
              <w:t xml:space="preserve">Defect density (Severity 1/2 per Work Package)</w:t>
            </w:r>
          </w:p>
        </w:tc>
        <w:tc>
          <w:tcPr>
            <w:tcW w:type="dxa" w:w="806"/>
            <w:tcMar>
              <w:top w:type="dxa" w:w="70"/>
              <w:left w:type="dxa" w:w="110"/>
              <w:bottom w:type="dxa" w:w="70"/>
              <w:right w:type="dxa" w:w="110"/>
            </w:tcMar>
            <w:vAlign w:val="top"/>
          </w:tcPr>
          <w:p>
            <w:r>
              <w:rPr>
                <w:b w:val="false"/>
                <w:bCs w:val="false"/>
                <w:color w:val="1A1A1A"/>
                <w:sz w:val="11"/>
                <w:szCs w:val="11"/>
              </w:rPr>
              <w:t xml:space="preserve">3</w:t>
            </w:r>
          </w:p>
        </w:tc>
        <w:tc>
          <w:tcPr>
            <w:tcW w:type="dxa" w:w="3024"/>
            <w:tcMar>
              <w:top w:type="dxa" w:w="70"/>
              <w:left w:type="dxa" w:w="110"/>
              <w:bottom w:type="dxa" w:w="70"/>
              <w:right w:type="dxa" w:w="110"/>
            </w:tcMar>
            <w:vAlign w:val="top"/>
          </w:tcPr>
          <w:p>
            <w:r>
              <w:rPr>
                <w:b w:val="false"/>
                <w:bCs w:val="false"/>
                <w:color w:val="1A1A1A"/>
                <w:sz w:val="11"/>
                <w:szCs w:val="11"/>
              </w:rPr>
              <w:t xml:space="preserve">Defect log (Part 13, Section 13.8)</w:t>
            </w:r>
          </w:p>
        </w:tc>
        <w:tc>
          <w:tcPr>
            <w:tcW w:type="dxa" w:w="3024"/>
            <w:tcMar>
              <w:top w:type="dxa" w:w="70"/>
              <w:left w:type="dxa" w:w="110"/>
              <w:bottom w:type="dxa" w:w="70"/>
              <w:right w:type="dxa" w:w="110"/>
            </w:tcMar>
            <w:vAlign w:val="top"/>
          </w:tcPr>
          <w:p>
            <w:r>
              <w:rPr>
                <w:b w:val="false"/>
                <w:bCs w:val="false"/>
                <w:color w:val="1A1A1A"/>
                <w:sz w:val="11"/>
                <w:szCs w:val="11"/>
              </w:rPr>
              <w:t xml:space="preserve">Trending toward zero by Release Quality Gate</w:t>
            </w:r>
          </w:p>
        </w:tc>
      </w:tr>
      <w:tr>
        <w:tc>
          <w:tcPr>
            <w:tcW w:type="dxa" w:w="3226"/>
            <w:tcMar>
              <w:top w:type="dxa" w:w="70"/>
              <w:left w:type="dxa" w:w="110"/>
              <w:bottom w:type="dxa" w:w="70"/>
              <w:right w:type="dxa" w:w="110"/>
            </w:tcMar>
            <w:vAlign w:val="top"/>
          </w:tcPr>
          <w:p>
            <w:r>
              <w:rPr>
                <w:b/>
                <w:bCs/>
                <w:color w:val="1A1A1A"/>
                <w:sz w:val="11"/>
                <w:szCs w:val="11"/>
              </w:rPr>
              <w:t xml:space="preserve">Test coverage against TSAS Part 16 target</w:t>
            </w:r>
          </w:p>
        </w:tc>
        <w:tc>
          <w:tcPr>
            <w:tcW w:type="dxa" w:w="806"/>
            <w:tcMar>
              <w:top w:type="dxa" w:w="70"/>
              <w:left w:type="dxa" w:w="110"/>
              <w:bottom w:type="dxa" w:w="70"/>
              <w:right w:type="dxa" w:w="110"/>
            </w:tcMar>
            <w:vAlign w:val="top"/>
          </w:tcPr>
          <w:p>
            <w:r>
              <w:rPr>
                <w:b w:val="false"/>
                <w:bCs w:val="false"/>
                <w:color w:val="1A1A1A"/>
                <w:sz w:val="11"/>
                <w:szCs w:val="11"/>
              </w:rPr>
              <w:t xml:space="preserve">3</w:t>
            </w:r>
          </w:p>
        </w:tc>
        <w:tc>
          <w:tcPr>
            <w:tcW w:type="dxa" w:w="3024"/>
            <w:tcMar>
              <w:top w:type="dxa" w:w="70"/>
              <w:left w:type="dxa" w:w="110"/>
              <w:bottom w:type="dxa" w:w="70"/>
              <w:right w:type="dxa" w:w="110"/>
            </w:tcMar>
            <w:vAlign w:val="top"/>
          </w:tcPr>
          <w:p>
            <w:r>
              <w:rPr>
                <w:b w:val="false"/>
                <w:bCs w:val="false"/>
                <w:color w:val="1A1A1A"/>
                <w:sz w:val="11"/>
                <w:szCs w:val="11"/>
              </w:rPr>
              <w:t xml:space="preserve">WP-24 regression suite</w:t>
            </w:r>
          </w:p>
        </w:tc>
        <w:tc>
          <w:tcPr>
            <w:tcW w:type="dxa" w:w="3024"/>
            <w:tcMar>
              <w:top w:type="dxa" w:w="70"/>
              <w:left w:type="dxa" w:w="110"/>
              <w:bottom w:type="dxa" w:w="70"/>
              <w:right w:type="dxa" w:w="110"/>
            </w:tcMar>
            <w:vAlign w:val="top"/>
          </w:tcPr>
          <w:p>
            <w:r>
              <w:rPr>
                <w:b w:val="false"/>
                <w:bCs w:val="false"/>
                <w:color w:val="1A1A1A"/>
                <w:sz w:val="11"/>
                <w:szCs w:val="11"/>
              </w:rPr>
              <w:t xml:space="preserve">100% of the coverage target</w:t>
            </w:r>
          </w:p>
        </w:tc>
      </w:tr>
      <w:tr>
        <w:tc>
          <w:tcPr>
            <w:tcW w:type="dxa" w:w="3226"/>
            <w:tcMar>
              <w:top w:type="dxa" w:w="70"/>
              <w:left w:type="dxa" w:w="110"/>
              <w:bottom w:type="dxa" w:w="70"/>
              <w:right w:type="dxa" w:w="110"/>
            </w:tcMar>
            <w:vAlign w:val="top"/>
          </w:tcPr>
          <w:p>
            <w:r>
              <w:rPr>
                <w:b/>
                <w:bCs/>
                <w:color w:val="1A1A1A"/>
                <w:sz w:val="11"/>
                <w:szCs w:val="11"/>
              </w:rPr>
              <w:t xml:space="preserve">Traceability coverage (Appendix J, Section J.14 metrics)</w:t>
            </w:r>
          </w:p>
        </w:tc>
        <w:tc>
          <w:tcPr>
            <w:tcW w:type="dxa" w:w="806"/>
            <w:tcMar>
              <w:top w:type="dxa" w:w="70"/>
              <w:left w:type="dxa" w:w="110"/>
              <w:bottom w:type="dxa" w:w="70"/>
              <w:right w:type="dxa" w:w="110"/>
            </w:tcMar>
            <w:vAlign w:val="top"/>
          </w:tcPr>
          <w:p>
            <w:r>
              <w:rPr>
                <w:b w:val="false"/>
                <w:bCs w:val="false"/>
                <w:color w:val="1A1A1A"/>
                <w:sz w:val="11"/>
                <w:szCs w:val="11"/>
              </w:rPr>
              <w:t xml:space="preserve">4</w:t>
            </w:r>
          </w:p>
        </w:tc>
        <w:tc>
          <w:tcPr>
            <w:tcW w:type="dxa" w:w="3024"/>
            <w:tcMar>
              <w:top w:type="dxa" w:w="70"/>
              <w:left w:type="dxa" w:w="110"/>
              <w:bottom w:type="dxa" w:w="70"/>
              <w:right w:type="dxa" w:w="110"/>
            </w:tcMar>
            <w:vAlign w:val="top"/>
          </w:tcPr>
          <w:p>
            <w:r>
              <w:rPr>
                <w:b w:val="false"/>
                <w:bCs w:val="false"/>
                <w:color w:val="1A1A1A"/>
                <w:sz w:val="11"/>
                <w:szCs w:val="11"/>
              </w:rPr>
              <w:t xml:space="preserve">Enterprise Traceability Matrix (WP-25)</w:t>
            </w:r>
          </w:p>
        </w:tc>
        <w:tc>
          <w:tcPr>
            <w:tcW w:type="dxa" w:w="3024"/>
            <w:tcMar>
              <w:top w:type="dxa" w:w="70"/>
              <w:left w:type="dxa" w:w="110"/>
              <w:bottom w:type="dxa" w:w="70"/>
              <w:right w:type="dxa" w:w="110"/>
            </w:tcMar>
            <w:vAlign w:val="top"/>
          </w:tcPr>
          <w:p>
            <w:r>
              <w:rPr>
                <w:b w:val="false"/>
                <w:bCs w:val="false"/>
                <w:color w:val="1A1A1A"/>
                <w:sz w:val="11"/>
                <w:szCs w:val="11"/>
              </w:rPr>
              <w:t xml:space="preserve">100% across all ten Appendix J metrics</w:t>
            </w:r>
          </w:p>
        </w:tc>
      </w:tr>
      <w:tr>
        <w:tc>
          <w:tcPr>
            <w:tcW w:type="dxa" w:w="3226"/>
            <w:tcMar>
              <w:top w:type="dxa" w:w="70"/>
              <w:left w:type="dxa" w:w="110"/>
              <w:bottom w:type="dxa" w:w="70"/>
              <w:right w:type="dxa" w:w="110"/>
            </w:tcMar>
            <w:vAlign w:val="top"/>
          </w:tcPr>
          <w:p>
            <w:r>
              <w:rPr>
                <w:b/>
                <w:bCs/>
                <w:color w:val="1A1A1A"/>
                <w:sz w:val="11"/>
                <w:szCs w:val="11"/>
              </w:rPr>
              <w:t xml:space="preserve">Deliverables at Baseline/Published status</w:t>
            </w:r>
          </w:p>
        </w:tc>
        <w:tc>
          <w:tcPr>
            <w:tcW w:type="dxa" w:w="806"/>
            <w:tcMar>
              <w:top w:type="dxa" w:w="70"/>
              <w:left w:type="dxa" w:w="110"/>
              <w:bottom w:type="dxa" w:w="70"/>
              <w:right w:type="dxa" w:w="110"/>
            </w:tcMar>
            <w:vAlign w:val="top"/>
          </w:tcPr>
          <w:p>
            <w:r>
              <w:rPr>
                <w:b w:val="false"/>
                <w:bCs w:val="false"/>
                <w:color w:val="1A1A1A"/>
                <w:sz w:val="11"/>
                <w:szCs w:val="11"/>
              </w:rPr>
              <w:t xml:space="preserve">4</w:t>
            </w:r>
          </w:p>
        </w:tc>
        <w:tc>
          <w:tcPr>
            <w:tcW w:type="dxa" w:w="3024"/>
            <w:tcMar>
              <w:top w:type="dxa" w:w="70"/>
              <w:left w:type="dxa" w:w="110"/>
              <w:bottom w:type="dxa" w:w="70"/>
              <w:right w:type="dxa" w:w="110"/>
            </w:tcMar>
            <w:vAlign w:val="top"/>
          </w:tcPr>
          <w:p>
            <w:r>
              <w:rPr>
                <w:b w:val="false"/>
                <w:bCs w:val="false"/>
                <w:color w:val="1A1A1A"/>
                <w:sz w:val="11"/>
                <w:szCs w:val="11"/>
              </w:rPr>
              <w:t xml:space="preserve">Master Deliverables Register (Appendix O, Section O.4)</w:t>
            </w:r>
          </w:p>
        </w:tc>
        <w:tc>
          <w:tcPr>
            <w:tcW w:type="dxa" w:w="3024"/>
            <w:tcMar>
              <w:top w:type="dxa" w:w="70"/>
              <w:left w:type="dxa" w:w="110"/>
              <w:bottom w:type="dxa" w:w="70"/>
              <w:right w:type="dxa" w:w="110"/>
            </w:tcMar>
            <w:vAlign w:val="top"/>
          </w:tcPr>
          <w:p>
            <w:r>
              <w:rPr>
                <w:b w:val="false"/>
                <w:bCs w:val="false"/>
                <w:color w:val="1A1A1A"/>
                <w:sz w:val="11"/>
                <w:szCs w:val="11"/>
              </w:rPr>
              <w:t xml:space="preserve">100% at Programme Acceptance Gate</w:t>
            </w:r>
          </w:p>
        </w:tc>
      </w:tr>
    </w:tbl>
    <w:p>
      <w:pPr>
        <w:pStyle w:val="Heading1"/>
        <w:pBdr>
          <w:bottom w:val="single" w:color="DAD3C0" w:sz="4" w:space="4"/>
        </w:pBdr>
        <w:spacing w:after="140" w:before="360"/>
      </w:pPr>
      <w:r>
        <w:rPr>
          <w:b/>
          <w:bCs/>
          <w:color w:val="97771F"/>
          <w:sz w:val="26"/>
          <w:szCs w:val="26"/>
        </w:rPr>
        <w:t xml:space="preserve">14.8  </w:t>
      </w:r>
      <w:r>
        <w:rPr>
          <w:b/>
          <w:bCs/>
          <w:color w:val="33363C"/>
          <w:sz w:val="26"/>
          <w:szCs w:val="26"/>
        </w:rPr>
        <w:t xml:space="preserve">Non-Conformance and Waiver Process</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happens when an artifact fails its gate — the routing decision referenced in Section 14.1.</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a failed gate from becoming an undocumented, silent scope reduction.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Risk and Change Management process in Handbook Chapter 21 — a waiver is a formally logged risk acceptance, not a bypass.</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gate failure resolved through exactly one of three documented paths: fix, defer, or waive — never silently ignored.</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3024"/>
        <w:gridCol w:w="3024"/>
        <w:gridCol w:w="2822"/>
      </w:tblGrid>
      <w:tr>
        <w:trPr>
          <w:tblHeader/>
        </w:trPr>
        <w:tc>
          <w:tcPr>
            <w:tcW w:type="dxa" w:w="1210"/>
            <w:shd w:fill="33363C" w:val="clear"/>
            <w:tcMar>
              <w:top w:type="dxa" w:w="70"/>
              <w:left w:type="dxa" w:w="110"/>
              <w:bottom w:type="dxa" w:w="70"/>
              <w:right w:type="dxa" w:w="110"/>
            </w:tcMar>
            <w:vAlign w:val="top"/>
          </w:tcPr>
          <w:p>
            <w:r>
              <w:rPr>
                <w:b/>
                <w:bCs/>
                <w:color w:val="FFFFFF"/>
                <w:sz w:val="17"/>
                <w:szCs w:val="17"/>
              </w:rPr>
              <w:t xml:space="preserve">Path</w:t>
            </w:r>
          </w:p>
        </w:tc>
        <w:tc>
          <w:tcPr>
            <w:tcW w:type="dxa" w:w="3024"/>
            <w:shd w:fill="33363C" w:val="clear"/>
            <w:tcMar>
              <w:top w:type="dxa" w:w="70"/>
              <w:left w:type="dxa" w:w="110"/>
              <w:bottom w:type="dxa" w:w="70"/>
              <w:right w:type="dxa" w:w="110"/>
            </w:tcMar>
            <w:vAlign w:val="top"/>
          </w:tcPr>
          <w:p>
            <w:r>
              <w:rPr>
                <w:b/>
                <w:bCs/>
                <w:color w:val="FFFFFF"/>
                <w:sz w:val="17"/>
                <w:szCs w:val="17"/>
              </w:rPr>
              <w:t xml:space="preserve">When Used</w:t>
            </w:r>
          </w:p>
        </w:tc>
        <w:tc>
          <w:tcPr>
            <w:tcW w:type="dxa" w:w="3024"/>
            <w:shd w:fill="33363C" w:val="clear"/>
            <w:tcMar>
              <w:top w:type="dxa" w:w="70"/>
              <w:left w:type="dxa" w:w="110"/>
              <w:bottom w:type="dxa" w:w="70"/>
              <w:right w:type="dxa" w:w="110"/>
            </w:tcMar>
            <w:vAlign w:val="top"/>
          </w:tcPr>
          <w:p>
            <w:r>
              <w:rPr>
                <w:b/>
                <w:bCs/>
                <w:color w:val="FFFFFF"/>
                <w:sz w:val="17"/>
                <w:szCs w:val="17"/>
              </w:rPr>
              <w:t xml:space="preserve">Authority Required</w:t>
            </w:r>
          </w:p>
        </w:tc>
        <w:tc>
          <w:tcPr>
            <w:tcW w:type="dxa" w:w="2822"/>
            <w:shd w:fill="33363C" w:val="clear"/>
            <w:tcMar>
              <w:top w:type="dxa" w:w="70"/>
              <w:left w:type="dxa" w:w="110"/>
              <w:bottom w:type="dxa" w:w="70"/>
              <w:right w:type="dxa" w:w="110"/>
            </w:tcMar>
            <w:vAlign w:val="top"/>
          </w:tcPr>
          <w:p>
            <w:r>
              <w:rPr>
                <w:b/>
                <w:bCs/>
                <w:color w:val="FFFFFF"/>
                <w:sz w:val="17"/>
                <w:szCs w:val="17"/>
              </w:rPr>
              <w:t xml:space="preserve">Record</w:t>
            </w:r>
          </w:p>
        </w:tc>
      </w:tr>
      <w:tr>
        <w:tc>
          <w:tcPr>
            <w:tcW w:type="dxa" w:w="1210"/>
            <w:tcMar>
              <w:top w:type="dxa" w:w="70"/>
              <w:left w:type="dxa" w:w="110"/>
              <w:bottom w:type="dxa" w:w="70"/>
              <w:right w:type="dxa" w:w="110"/>
            </w:tcMar>
            <w:vAlign w:val="top"/>
          </w:tcPr>
          <w:p>
            <w:r>
              <w:rPr>
                <w:b/>
                <w:bCs/>
                <w:color w:val="1A1A1A"/>
                <w:sz w:val="11"/>
                <w:szCs w:val="11"/>
              </w:rPr>
              <w:t xml:space="preserve">Fix</w:t>
            </w:r>
          </w:p>
        </w:tc>
        <w:tc>
          <w:tcPr>
            <w:tcW w:type="dxa" w:w="3024"/>
            <w:tcMar>
              <w:top w:type="dxa" w:w="70"/>
              <w:left w:type="dxa" w:w="110"/>
              <w:bottom w:type="dxa" w:w="70"/>
              <w:right w:type="dxa" w:w="110"/>
            </w:tcMar>
            <w:vAlign w:val="top"/>
          </w:tcPr>
          <w:p>
            <w:r>
              <w:rPr>
                <w:b w:val="false"/>
                <w:bCs w:val="false"/>
                <w:color w:val="1A1A1A"/>
                <w:sz w:val="11"/>
                <w:szCs w:val="11"/>
              </w:rPr>
              <w:t xml:space="preserve">The non-conformance can be remediated within the current tier's timeline.</w:t>
            </w:r>
          </w:p>
        </w:tc>
        <w:tc>
          <w:tcPr>
            <w:tcW w:type="dxa" w:w="3024"/>
            <w:tcMar>
              <w:top w:type="dxa" w:w="70"/>
              <w:left w:type="dxa" w:w="110"/>
              <w:bottom w:type="dxa" w:w="70"/>
              <w:right w:type="dxa" w:w="110"/>
            </w:tcMar>
            <w:vAlign w:val="top"/>
          </w:tcPr>
          <w:p>
            <w:r>
              <w:rPr>
                <w:b w:val="false"/>
                <w:bCs w:val="false"/>
                <w:color w:val="1A1A1A"/>
                <w:sz w:val="11"/>
                <w:szCs w:val="11"/>
              </w:rPr>
              <w:t xml:space="preserve">None beyond normal review — this is the default path.</w:t>
            </w:r>
          </w:p>
        </w:tc>
        <w:tc>
          <w:tcPr>
            <w:tcW w:type="dxa" w:w="2822"/>
            <w:tcMar>
              <w:top w:type="dxa" w:w="70"/>
              <w:left w:type="dxa" w:w="110"/>
              <w:bottom w:type="dxa" w:w="70"/>
              <w:right w:type="dxa" w:w="110"/>
            </w:tcMar>
            <w:vAlign w:val="top"/>
          </w:tcPr>
          <w:p>
            <w:r>
              <w:rPr>
                <w:b w:val="false"/>
                <w:bCs w:val="false"/>
                <w:color w:val="1A1A1A"/>
                <w:sz w:val="11"/>
                <w:szCs w:val="11"/>
              </w:rPr>
              <w:t xml:space="preserve">Updated Pull Request, test result, or deliverable version.</w:t>
            </w:r>
          </w:p>
        </w:tc>
      </w:tr>
      <w:tr>
        <w:tc>
          <w:tcPr>
            <w:tcW w:type="dxa" w:w="1210"/>
            <w:tcMar>
              <w:top w:type="dxa" w:w="70"/>
              <w:left w:type="dxa" w:w="110"/>
              <w:bottom w:type="dxa" w:w="70"/>
              <w:right w:type="dxa" w:w="110"/>
            </w:tcMar>
            <w:vAlign w:val="top"/>
          </w:tcPr>
          <w:p>
            <w:r>
              <w:rPr>
                <w:b/>
                <w:bCs/>
                <w:color w:val="1A1A1A"/>
                <w:sz w:val="11"/>
                <w:szCs w:val="11"/>
              </w:rPr>
              <w:t xml:space="preserve">Defer</w:t>
            </w:r>
          </w:p>
        </w:tc>
        <w:tc>
          <w:tcPr>
            <w:tcW w:type="dxa" w:w="3024"/>
            <w:tcMar>
              <w:top w:type="dxa" w:w="70"/>
              <w:left w:type="dxa" w:w="110"/>
              <w:bottom w:type="dxa" w:w="70"/>
              <w:right w:type="dxa" w:w="110"/>
            </w:tcMar>
            <w:vAlign w:val="top"/>
          </w:tcPr>
          <w:p>
            <w:r>
              <w:rPr>
                <w:b w:val="false"/>
                <w:bCs w:val="false"/>
                <w:color w:val="1A1A1A"/>
                <w:sz w:val="11"/>
                <w:szCs w:val="11"/>
              </w:rPr>
              <w:t xml:space="preserve">The non-conformance is real but does not block the current gate's core purpose, and can be scheduled into a later sprint or Release.</w:t>
            </w:r>
          </w:p>
        </w:tc>
        <w:tc>
          <w:tcPr>
            <w:tcW w:type="dxa" w:w="3024"/>
            <w:tcMar>
              <w:top w:type="dxa" w:w="70"/>
              <w:left w:type="dxa" w:w="110"/>
              <w:bottom w:type="dxa" w:w="70"/>
              <w:right w:type="dxa" w:w="110"/>
            </w:tcMar>
            <w:vAlign w:val="top"/>
          </w:tcPr>
          <w:p>
            <w:r>
              <w:rPr>
                <w:b w:val="false"/>
                <w:bCs w:val="false"/>
                <w:color w:val="1A1A1A"/>
                <w:sz w:val="11"/>
                <w:szCs w:val="11"/>
              </w:rPr>
              <w:t xml:space="preserve">Technical Lead (Tier 1–2); QA Lead (Tier 3); Programme Manager (Tier 4).</w:t>
            </w:r>
          </w:p>
        </w:tc>
        <w:tc>
          <w:tcPr>
            <w:tcW w:type="dxa" w:w="2822"/>
            <w:tcMar>
              <w:top w:type="dxa" w:w="70"/>
              <w:left w:type="dxa" w:w="110"/>
              <w:bottom w:type="dxa" w:w="70"/>
              <w:right w:type="dxa" w:w="110"/>
            </w:tcMar>
            <w:vAlign w:val="top"/>
          </w:tcPr>
          <w:p>
            <w:r>
              <w:rPr>
                <w:b w:val="false"/>
                <w:bCs w:val="false"/>
                <w:color w:val="1A1A1A"/>
                <w:sz w:val="11"/>
                <w:szCs w:val="11"/>
              </w:rPr>
              <w:t xml:space="preserve">Change Request per Handbook Chapter 21, cross-referenced to the deferred item's new target sprint/Release.</w:t>
            </w:r>
          </w:p>
        </w:tc>
      </w:tr>
      <w:tr>
        <w:tc>
          <w:tcPr>
            <w:tcW w:type="dxa" w:w="1210"/>
            <w:tcMar>
              <w:top w:type="dxa" w:w="70"/>
              <w:left w:type="dxa" w:w="110"/>
              <w:bottom w:type="dxa" w:w="70"/>
              <w:right w:type="dxa" w:w="110"/>
            </w:tcMar>
            <w:vAlign w:val="top"/>
          </w:tcPr>
          <w:p>
            <w:r>
              <w:rPr>
                <w:b/>
                <w:bCs/>
                <w:color w:val="1A1A1A"/>
                <w:sz w:val="11"/>
                <w:szCs w:val="11"/>
              </w:rPr>
              <w:t xml:space="preserve">Waive</w:t>
            </w:r>
          </w:p>
        </w:tc>
        <w:tc>
          <w:tcPr>
            <w:tcW w:type="dxa" w:w="3024"/>
            <w:tcMar>
              <w:top w:type="dxa" w:w="70"/>
              <w:left w:type="dxa" w:w="110"/>
              <w:bottom w:type="dxa" w:w="70"/>
              <w:right w:type="dxa" w:w="110"/>
            </w:tcMar>
            <w:vAlign w:val="top"/>
          </w:tcPr>
          <w:p>
            <w:r>
              <w:rPr>
                <w:b w:val="false"/>
                <w:bCs w:val="false"/>
                <w:color w:val="1A1A1A"/>
                <w:sz w:val="11"/>
                <w:szCs w:val="11"/>
              </w:rPr>
              <w:t xml:space="preserve">The non-conformance is accepted as a residual risk rather than remediated at all.</w:t>
            </w:r>
          </w:p>
        </w:tc>
        <w:tc>
          <w:tcPr>
            <w:tcW w:type="dxa" w:w="3024"/>
            <w:tcMar>
              <w:top w:type="dxa" w:w="70"/>
              <w:left w:type="dxa" w:w="110"/>
              <w:bottom w:type="dxa" w:w="70"/>
              <w:right w:type="dxa" w:w="110"/>
            </w:tcMar>
            <w:vAlign w:val="top"/>
          </w:tcPr>
          <w:p>
            <w:r>
              <w:rPr>
                <w:b w:val="false"/>
                <w:bCs w:val="false"/>
                <w:color w:val="1A1A1A"/>
                <w:sz w:val="11"/>
                <w:szCs w:val="11"/>
              </w:rPr>
              <w:t xml:space="preserve">Named approver in the relevant tier's Approval Authority Matrix entry (Appendix O, Section O.6) — Security Architect for security waivers, Steering Committee for Tier 4 waivers.</w:t>
            </w:r>
          </w:p>
        </w:tc>
        <w:tc>
          <w:tcPr>
            <w:tcW w:type="dxa" w:w="2822"/>
            <w:tcMar>
              <w:top w:type="dxa" w:w="70"/>
              <w:left w:type="dxa" w:w="110"/>
              <w:bottom w:type="dxa" w:w="70"/>
              <w:right w:type="dxa" w:w="110"/>
            </w:tcMar>
            <w:vAlign w:val="top"/>
          </w:tcPr>
          <w:p>
            <w:r>
              <w:rPr>
                <w:b w:val="false"/>
                <w:bCs w:val="false"/>
                <w:color w:val="1A1A1A"/>
                <w:sz w:val="11"/>
                <w:szCs w:val="11"/>
              </w:rPr>
              <w:t xml:space="preserve">Risk register entry (Handbook Chapter 21) with explicit owner, rationale, and review date.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F0DD" w:sz="2"/>
              <w:left w:val="single" w:color="B8860B" w:sz="24"/>
              <w:bottom w:val="single" w:color="FBF0DD" w:sz="2"/>
              <w:right w:val="single" w:color="FBF0DD" w:sz="2"/>
            </w:tcBorders>
            <w:shd w:fill="FBF0DD" w:val="clear"/>
            <w:tcMar>
              <w:top w:type="dxa" w:w="120"/>
              <w:left w:type="dxa" w:w="180"/>
              <w:bottom w:type="dxa" w:w="120"/>
              <w:right w:type="dxa" w:w="180"/>
            </w:tcMar>
          </w:tcPr>
          <w:p>
            <w:pPr>
              <w:spacing w:after="60"/>
            </w:pPr>
            <w:r>
              <w:rPr>
                <w:b/>
                <w:bCs/>
                <w:color w:val="B8860B"/>
                <w:sz w:val="17"/>
                <w:szCs w:val="17"/>
              </w:rPr>
              <w:t xml:space="preserve">WARNING</w:t>
            </w:r>
          </w:p>
          <w:p>
            <w:pPr>
              <w:spacing w:after="0"/>
            </w:pPr>
            <w:r>
              <w:rPr>
                <w:sz w:val="18"/>
                <w:szCs w:val="18"/>
              </w:rPr>
              <w:t xml:space="preserve">A Severity 1 or Severity 2 defect (Part 13, Section 13.8) may be deferred only with written Security Architect or QA Lead approval, and may never be waived at Tier 3 or Tier 4 — this is a hard constraint from WP-24's own Acceptance Criteria (MEKB Part 8) and is not subject to override at a lower approval tier.</w:t>
            </w:r>
          </w:p>
        </w:tc>
      </w:tr>
    </w:tbl>
    <w:p>
      <w:pPr>
        <w:pStyle w:val="Heading1"/>
        <w:pBdr>
          <w:bottom w:val="single" w:color="DAD3C0" w:sz="4" w:space="4"/>
        </w:pBdr>
        <w:spacing w:after="140" w:before="360"/>
      </w:pPr>
      <w:r>
        <w:rPr>
          <w:b/>
          <w:bCs/>
          <w:color w:val="97771F"/>
          <w:sz w:val="26"/>
          <w:szCs w:val="26"/>
        </w:rPr>
        <w:t xml:space="preserve">14.9  </w:t>
      </w:r>
      <w:r>
        <w:rPr>
          <w:b/>
          <w:bCs/>
          <w:color w:val="33363C"/>
          <w:sz w:val="26"/>
          <w:szCs w:val="26"/>
        </w:rPr>
        <w:t xml:space="preserve">Summary and Bridge to Part 15</w:t>
      </w:r>
    </w:p>
    <w:p>
      <w:pPr>
        <w:spacing w:after="150" w:line="276"/>
        <w:jc w:val="both"/>
      </w:pPr>
      <w:r>
        <w:t xml:space="preserve">This Part consolidated every quality gate already established across the MEKB — Work Package Definition of Ready/Done, Sprint Exit Criteria, the WP-24 Release Readiness mechanism, and the Appendix O Deliverable Quality Gates — into a single Four-Tier Quality Gate Model, added the quality metrics that make gate status visible continuously, and defined the fix/defer/waive process for handling non-conformance at any tier.</w:t>
      </w:r>
    </w:p>
    <w:p>
      <w:pPr>
        <w:spacing w:after="150" w:line="276"/>
        <w:jc w:val="both"/>
      </w:pPr>
      <w:r>
        <w:t xml:space="preserve">Part 15 — Implementation Readiness Assessment — is the MEKB's final capstone: a structured, auditable go/no-go assessment confirming that Parts 1 through 14 are complete and that the programme is genuinely ready to begin Sprint 0.</w:t>
      </w:r>
    </w:p>
    <w:p>
      <w:pPr>
        <w:pStyle w:val="Heading2"/>
        <w:spacing w:after="110" w:before="260"/>
      </w:pPr>
      <w:r>
        <w:rPr>
          <w:b/>
          <w:bCs/>
          <w:color w:val="97771F"/>
          <w:sz w:val="21"/>
          <w:szCs w:val="21"/>
        </w:rPr>
        <w:t xml:space="preserve">14.9.1  </w:t>
      </w:r>
      <w:r>
        <w:rPr>
          <w:b/>
          <w:bCs/>
          <w:color w:val="33363C"/>
          <w:sz w:val="21"/>
          <w:szCs w:val="21"/>
        </w:rPr>
        <w:t xml:space="preserve">Key Takeaways</w:t>
      </w:r>
    </w:p>
    <w:p>
      <w:pPr>
        <w:pStyle w:val="ListParagraph"/>
        <w:numPr>
          <w:ilvl w:val="0"/>
          <w:numId w:val="1"/>
        </w:numPr>
        <w:spacing w:after="90" w:line="264"/>
      </w:pPr>
      <w:r>
        <w:t xml:space="preserve">Four gate tiers — Work Package, Sprint, Release, Programme — each with an already-defined authoritative criteria source; no new criteria are introduced.</w:t>
      </w:r>
    </w:p>
    <w:p>
      <w:pPr>
        <w:pStyle w:val="ListParagraph"/>
        <w:numPr>
          <w:ilvl w:val="0"/>
          <w:numId w:val="1"/>
        </w:numPr>
        <w:spacing w:after="90" w:line="264"/>
      </w:pPr>
      <w:r>
        <w:t xml:space="preserve">Every gate produces auditable evidence, not just a pass/fail flag.</w:t>
      </w:r>
    </w:p>
    <w:p>
      <w:pPr>
        <w:pStyle w:val="ListParagraph"/>
        <w:numPr>
          <w:ilvl w:val="0"/>
          <w:numId w:val="1"/>
        </w:numPr>
        <w:spacing w:after="90" w:line="264"/>
      </w:pPr>
      <w:r>
        <w:t xml:space="preserve">Quality metrics give continuous visibility between gate events, not just at the gate itself.</w:t>
      </w:r>
    </w:p>
    <w:p>
      <w:pPr>
        <w:pStyle w:val="ListParagraph"/>
        <w:numPr>
          <w:ilvl w:val="0"/>
          <w:numId w:val="1"/>
        </w:numPr>
        <w:spacing w:after="90" w:line="264"/>
      </w:pPr>
      <w:r>
        <w:t xml:space="preserve">Every non-conformance resolves through exactly one of three documented paths — fix, defer, or waive — with Severity 1/2 defects excluded from waiver at Tier 3 and Tier 4.</w:t>
      </w:r>
    </w:p>
    <w:p>
      <w:pPr>
        <w:pStyle w:val="Heading2"/>
        <w:spacing w:after="110" w:before="260"/>
      </w:pPr>
      <w:r>
        <w:rPr>
          <w:b/>
          <w:bCs/>
          <w:color w:val="97771F"/>
          <w:sz w:val="21"/>
          <w:szCs w:val="21"/>
        </w:rPr>
        <w:t xml:space="preserve">14.9.2  </w:t>
      </w:r>
      <w:r>
        <w:rPr>
          <w:b/>
          <w:bCs/>
          <w:color w:val="33363C"/>
          <w:sz w:val="21"/>
          <w:szCs w:val="21"/>
        </w:rPr>
        <w:t xml:space="preserve">Related Parts</w:t>
      </w:r>
    </w:p>
    <w:p>
      <w:pPr>
        <w:pStyle w:val="ListParagraph"/>
        <w:numPr>
          <w:ilvl w:val="0"/>
          <w:numId w:val="1"/>
        </w:numPr>
        <w:spacing w:after="90" w:line="264"/>
      </w:pPr>
      <w:r>
        <w:t xml:space="preserve">MEKB Part 8 — WP-24 (Quality Engineering &amp; Release Readiness), WP-25 (Documentation, ADR &amp; Traceability Closeout)</w:t>
      </w:r>
    </w:p>
    <w:p>
      <w:pPr>
        <w:pStyle w:val="ListParagraph"/>
        <w:numPr>
          <w:ilvl w:val="0"/>
          <w:numId w:val="1"/>
        </w:numPr>
        <w:spacing w:after="90" w:line="264"/>
      </w:pPr>
      <w:r>
        <w:t xml:space="preserve">MEKB Part 9 — Sprint Roadmap</w:t>
      </w:r>
    </w:p>
    <w:p>
      <w:pPr>
        <w:pStyle w:val="ListParagraph"/>
        <w:numPr>
          <w:ilvl w:val="0"/>
          <w:numId w:val="1"/>
        </w:numPr>
        <w:spacing w:after="90" w:line="264"/>
      </w:pPr>
      <w:r>
        <w:t xml:space="preserve">MEKB Part 13 — Engineering Execution Playbook</w:t>
      </w:r>
    </w:p>
    <w:p>
      <w:pPr>
        <w:pStyle w:val="ListParagraph"/>
        <w:numPr>
          <w:ilvl w:val="0"/>
          <w:numId w:val="1"/>
        </w:numPr>
        <w:spacing w:after="90" w:line="264"/>
      </w:pPr>
      <w:r>
        <w:t xml:space="preserve">MEKB Part 15 — Implementation Readiness Assessment</w:t>
      </w:r>
    </w:p>
    <w:p>
      <w:pPr>
        <w:pStyle w:val="ListParagraph"/>
        <w:numPr>
          <w:ilvl w:val="0"/>
          <w:numId w:val="1"/>
        </w:numPr>
        <w:spacing w:after="90" w:line="264"/>
      </w:pPr>
      <w:r>
        <w:t xml:space="preserve">Appendix O — Enterprise Deliverables Register &amp; Document Control Catalogue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33363C"/>
      <w:sz w:val="26"/>
      <w:szCs w:val="26"/>
    </w:rPr>
  </w:style>
  <w:style w:type="paragraph" w:styleId="Heading2">
    <w:name w:val="Heading 2"/>
    <w:basedOn w:val="Normal"/>
    <w:next w:val="Normal"/>
    <w:qFormat/>
    <w:pPr>
      <w:spacing w:after="110" w:before="240"/>
    </w:pPr>
    <w:rPr>
      <w:rFonts w:ascii="Calibri" w:cs="Calibri" w:eastAsia="Calibri" w:hAnsi="Calibri"/>
      <w:b/>
      <w:bCs/>
      <w:color w:val="33363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2026-07-20T14:27:12.527Z</dcterms:created>
  <dcterms:modified xsi:type="dcterms:W3CDTF">2026-07-20T14:27:12.528Z</dcterms:modified>
</cp:coreProperties>
</file>

<file path=docProps/custom.xml><?xml version="1.0" encoding="utf-8"?>
<Properties xmlns="http://schemas.openxmlformats.org/officeDocument/2006/custom-properties" xmlns:vt="http://schemas.openxmlformats.org/officeDocument/2006/docPropsVTypes"/>
</file>