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00"/>
        <w:jc w:val="center"/>
      </w:pPr>
      <w:r>
        <w:rPr>
          <w:b/>
          <w:bCs/>
          <w:caps/>
          <w:color w:val="97771F"/>
          <w:sz w:val="22"/>
          <w:szCs w:val="22"/>
        </w:rPr>
        <w:t xml:space="preserve">SAPZ MASTER ENGINEERING KNOWLEDGE BASE</w:t>
      </w:r>
    </w:p>
    <w:p>
      <w:pPr>
        <w:spacing w:after="260"/>
        <w:jc w:val="center"/>
      </w:pPr>
      <w:r>
        <w:rPr>
          <w:b/>
          <w:bCs/>
          <w:color w:val="1C1E21"/>
          <w:sz w:val="28"/>
          <w:szCs w:val="28"/>
        </w:rPr>
        <w:t xml:space="preserve">Part 15</w:t>
      </w:r>
    </w:p>
    <w:p>
      <w:pPr>
        <w:pBdr>
          <w:bottom w:val="single" w:color="33363C" w:sz="14" w:space="10"/>
        </w:pBdr>
        <w:spacing w:after="160"/>
        <w:jc w:val="center"/>
      </w:pPr>
      <w:r>
        <w:rPr>
          <w:b/>
          <w:bCs/>
          <w:color w:val="1C1E21"/>
          <w:sz w:val="40"/>
          <w:szCs w:val="40"/>
        </w:rPr>
        <w:t xml:space="preserve">Implementation Readiness Assessment</w:t>
      </w:r>
    </w:p>
    <w:p>
      <w:pPr>
        <w:spacing w:after="40" w:before="300"/>
        <w:jc w:val="center"/>
      </w:pPr>
      <w:r>
        <w:rPr>
          <w:color w:val="555555"/>
          <w:sz w:val="20"/>
          <w:szCs w:val="20"/>
        </w:rPr>
        <w:t xml:space="preserve">Enterprise System Management (ESM) Platform &amp;</w:t>
      </w:r>
    </w:p>
    <w:p>
      <w:pPr>
        <w:spacing w:after="40"/>
        <w:jc w:val="center"/>
      </w:pPr>
      <w:r>
        <w:rPr>
          <w:color w:val="555555"/>
          <w:sz w:val="20"/>
          <w:szCs w:val="20"/>
        </w:rPr>
        <w:t xml:space="preserve">Central Knowledge Repository (CKR)</w:t>
      </w:r>
    </w:p>
    <w:p>
      <w:pPr>
        <w:spacing w:after="40"/>
        <w:jc w:val="center"/>
      </w:pPr>
      <w:r>
        <w:rPr>
          <w:color w:val="555555"/>
          <w:sz w:val="20"/>
          <w:szCs w:val="20"/>
        </w:rPr>
        <w:t xml:space="preserve">Special Agro-Industrial Processing Zones (SAPZ) Programme</w:t>
      </w:r>
    </w:p>
    <w:p>
      <w:pPr>
        <w:spacing w:after="300"/>
        <w:jc w:val="center"/>
      </w:pPr>
      <w:r>
        <w:rPr>
          <w:color w:val="555555"/>
          <w:sz w:val="20"/>
          <w:szCs w:val="20"/>
        </w:rPr>
        <w:t xml:space="preserve">Federal Republic of Nigeria</w:t>
      </w:r>
    </w:p>
    <w:p>
      <w:pPr>
        <w:spacing w:before="600"/>
        <w:jc w:val="center"/>
      </w:pPr>
      <w:r>
        <w:rPr>
          <w:i/>
          <w:iCs/>
          <w:color w:val="888888"/>
          <w:sz w:val="17"/>
          <w:szCs w:val="17"/>
        </w:rPr>
        <w:t xml:space="preserve">Master Engineering Knowledge Base (MEKB) — Bridging Documentation and Implementation</w:t>
      </w:r>
    </w:p>
    <w:p>
      <w:r>
        <w:br w:type="page"/>
      </w:r>
    </w:p>
    <w:p>
      <w:pPr>
        <w:spacing w:after="40"/>
        <w:jc w:val="left"/>
      </w:pPr>
      <w:r>
        <w:rPr>
          <w:b/>
          <w:bCs/>
          <w:caps/>
          <w:color w:val="97771F"/>
          <w:sz w:val="22"/>
          <w:szCs w:val="22"/>
        </w:rPr>
        <w:t xml:space="preserve">PART 15</w:t>
      </w:r>
    </w:p>
    <w:p>
      <w:pPr>
        <w:pBdr>
          <w:bottom w:val="single" w:color="33363C" w:sz="12" w:space="8"/>
        </w:pBdr>
        <w:spacing w:after="200"/>
        <w:jc w:val="left"/>
      </w:pPr>
      <w:r>
        <w:rPr>
          <w:b/>
          <w:bCs/>
          <w:color w:val="1C1E21"/>
          <w:sz w:val="44"/>
          <w:szCs w:val="44"/>
        </w:rPr>
        <w:t xml:space="preserve">Implementation Readiness Assessment</w:t>
      </w:r>
    </w:p>
    <w:p>
      <w:pPr>
        <w:spacing w:after="90" w:before="180"/>
      </w:pPr>
      <w:r>
        <w:rPr>
          <w:b/>
          <w:bCs/>
          <w:color w:val="1C1E21"/>
          <w:sz w:val="19"/>
          <w:szCs w:val="19"/>
        </w:rPr>
        <w:t xml:space="preserve">Part Overview</w:t>
      </w:r>
    </w:p>
    <w:p>
      <w:pPr>
        <w:spacing w:after="150" w:line="276"/>
        <w:jc w:val="both"/>
      </w:pPr>
      <w:r>
        <w:t xml:space="preserve">This final Part is the MEKB's capstone: a structured, auditable go/no-go assessment of whether the programme is genuinely ready to begin Sprint 0. It audits Parts 1 through 14 for completeness and internal consistency, assesses tooling, environment, team, and governance readiness, consolidates the highest-impact risks entering implementation, and issues a formal readiness determination.</w:t>
      </w:r>
    </w:p>
    <w:p>
      <w:pPr>
        <w:spacing w:after="150" w:line="276"/>
        <w:jc w:val="both"/>
      </w:pPr>
      <w:r>
        <w:t xml:space="preserve">This assessment does not claim readiness the MEKB itself cannot verify. Documentation and engineering planning readiness — everything within Parts 1 through 14 — is assessed directly. Tooling, environment, and team readiness depend on real-world confirmation outside the MEKB's authorship; where that confirmation has not yet occurred, this Part says so explicitly rather than assuming it.</w:t>
      </w:r>
    </w:p>
    <w:p>
      <w:pPr>
        <w:pStyle w:val="Heading1"/>
        <w:pBdr>
          <w:bottom w:val="single" w:color="DAD3C0" w:sz="4" w:space="4"/>
        </w:pBdr>
        <w:spacing w:after="140" w:before="360"/>
      </w:pPr>
      <w:r>
        <w:rPr>
          <w:b/>
          <w:bCs/>
          <w:color w:val="97771F"/>
          <w:sz w:val="26"/>
          <w:szCs w:val="26"/>
        </w:rPr>
        <w:t xml:space="preserve">15.1  </w:t>
      </w:r>
      <w:r>
        <w:rPr>
          <w:b/>
          <w:bCs/>
          <w:color w:val="33363C"/>
          <w:sz w:val="26"/>
          <w:szCs w:val="26"/>
        </w:rPr>
        <w:t xml:space="preserve">Purpose and Assessment Methodology</w:t>
      </w:r>
    </w:p>
    <w:tbl>
      <w:tblPr>
        <w:tblW w:type="dxa" w:w="10080"/>
        <w:tblBorders>
          <w:top w:val="single" w:color="DAD3C0" w:sz="4"/>
          <w:left w:val="single" w:color="DAD3C0" w:sz="4"/>
          <w:bottom w:val="single" w:color="DAD3C0" w:sz="4"/>
          <w:right w:val="single" w:color="DAD3C0" w:sz="4"/>
          <w:insideH w:val="single" w:color="DAD3C0" w:sz="2"/>
          <w:insideV w:val="single" w:color="DAD3C0" w:sz="2"/>
        </w:tblBorders>
      </w:tblPr>
      <w:tblGrid>
        <w:gridCol w:w="2621"/>
        <w:gridCol w:w="7459"/>
      </w:tblGrid>
      <w:tr>
        <w:tc>
          <w:tcPr>
            <w:tcW w:type="dxa" w:w="2621"/>
            <w:shd w:fill="F3F0E8" w:val="clear"/>
            <w:tcMar>
              <w:top w:type="dxa" w:w="80"/>
              <w:left w:type="dxa" w:w="120"/>
              <w:bottom w:type="dxa" w:w="80"/>
              <w:right w:type="dxa" w:w="120"/>
            </w:tcMar>
            <w:vAlign w:val="top"/>
          </w:tcPr>
          <w:p>
            <w:r>
              <w:rPr>
                <w:b/>
                <w:bCs/>
                <w:color w:val="33363C"/>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how readiness is assessed and scored across the programme.</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the Steering Committee a single, evidence-based basis for authorizing Sprint 0 to begin.</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Assessment categories mirror the structure of the MEKB itself, so every finding traces to a specific Part.</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defensible, auditable Go / Conditional Go / No-Go determination, not a subjective impression of readiness.</w:t>
            </w:r>
          </w:p>
        </w:tc>
      </w:tr>
    </w:tbl>
    <w:p>
      <w:pPr>
        <w:spacing w:after="160"/>
      </w:pPr>
    </w:p>
    <w:p>
      <w:pPr>
        <w:spacing w:after="150" w:line="276"/>
        <w:jc w:val="both"/>
      </w:pPr>
      <w:r>
        <w:t xml:space="preserve">Readiness is assessed across five categories, each scored against explicit evidence rather than judgment: Documentation Readiness (Section 15.2), Engineering Planning Readiness (Section 15.3), Tooling &amp; Environment Readiness (Section 15.4), Team &amp; Governance Readiness (Section 15.5), and Risk Readiness (Section 15.6). Each category is rated Ready, Scoped — Pending Execution, or Not Ready, and the overall determination in Section 15.7 is derived from these five ratings, not assigned independently.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rPr>
          <w:tblHeader/>
        </w:trPr>
        <w:tc>
          <w:tcPr>
            <w:tcW w:type="dxa" w:w="2419"/>
            <w:shd w:fill="33363C" w:val="clear"/>
            <w:tcMar>
              <w:top w:type="dxa" w:w="70"/>
              <w:left w:type="dxa" w:w="110"/>
              <w:bottom w:type="dxa" w:w="70"/>
              <w:right w:type="dxa" w:w="110"/>
            </w:tcMar>
            <w:vAlign w:val="top"/>
          </w:tcPr>
          <w:p>
            <w:r>
              <w:rPr>
                <w:b/>
                <w:bCs/>
                <w:color w:val="FFFFFF"/>
                <w:sz w:val="17"/>
                <w:szCs w:val="17"/>
              </w:rPr>
              <w:t xml:space="preserve">Rating</w:t>
            </w:r>
          </w:p>
        </w:tc>
        <w:tc>
          <w:tcPr>
            <w:tcW w:type="dxa" w:w="7661"/>
            <w:shd w:fill="33363C" w:val="clear"/>
            <w:tcMar>
              <w:top w:type="dxa" w:w="70"/>
              <w:left w:type="dxa" w:w="110"/>
              <w:bottom w:type="dxa" w:w="70"/>
              <w:right w:type="dxa" w:w="110"/>
            </w:tcMar>
            <w:vAlign w:val="top"/>
          </w:tcPr>
          <w:p>
            <w:r>
              <w:rPr>
                <w:b/>
                <w:bCs/>
                <w:color w:val="FFFFFF"/>
                <w:sz w:val="17"/>
                <w:szCs w:val="17"/>
              </w:rPr>
              <w:t xml:space="preserve">Meaning</w:t>
            </w:r>
          </w:p>
        </w:tc>
      </w:tr>
      <w:tr>
        <w:tc>
          <w:tcPr>
            <w:tcW w:type="dxa" w:w="2419"/>
            <w:tcMar>
              <w:top w:type="dxa" w:w="70"/>
              <w:left w:type="dxa" w:w="110"/>
              <w:bottom w:type="dxa" w:w="70"/>
              <w:right w:type="dxa" w:w="110"/>
            </w:tcMar>
            <w:vAlign w:val="top"/>
          </w:tcPr>
          <w:p>
            <w:r>
              <w:rPr>
                <w:b/>
                <w:bCs/>
                <w:color w:val="1A1A1A"/>
                <w:sz w:val="13"/>
                <w:szCs w:val="13"/>
              </w:rPr>
              <w:t xml:space="preserve">Ready</w:t>
            </w:r>
          </w:p>
        </w:tc>
        <w:tc>
          <w:tcPr>
            <w:tcW w:type="dxa" w:w="7661"/>
            <w:tcMar>
              <w:top w:type="dxa" w:w="70"/>
              <w:left w:type="dxa" w:w="110"/>
              <w:bottom w:type="dxa" w:w="70"/>
              <w:right w:type="dxa" w:w="110"/>
            </w:tcMar>
            <w:vAlign w:val="top"/>
          </w:tcPr>
          <w:p>
            <w:r>
              <w:rPr>
                <w:b w:val="false"/>
                <w:bCs w:val="false"/>
                <w:color w:val="1A1A1A"/>
                <w:sz w:val="13"/>
                <w:szCs w:val="13"/>
              </w:rPr>
              <w:t xml:space="preserve">Fully complete, evidenced, and verifiable directly from the MEKB or the source document repository.</w:t>
            </w:r>
          </w:p>
        </w:tc>
      </w:tr>
      <w:tr>
        <w:tc>
          <w:tcPr>
            <w:tcW w:type="dxa" w:w="2419"/>
            <w:tcMar>
              <w:top w:type="dxa" w:w="70"/>
              <w:left w:type="dxa" w:w="110"/>
              <w:bottom w:type="dxa" w:w="70"/>
              <w:right w:type="dxa" w:w="110"/>
            </w:tcMar>
            <w:vAlign w:val="top"/>
          </w:tcPr>
          <w:p>
            <w:r>
              <w:rPr>
                <w:b/>
                <w:bCs/>
                <w:color w:val="1A1A1A"/>
                <w:sz w:val="13"/>
                <w:szCs w:val="13"/>
              </w:rPr>
              <w:t xml:space="preserve">Scoped — Pending Execution</w:t>
            </w:r>
          </w:p>
        </w:tc>
        <w:tc>
          <w:tcPr>
            <w:tcW w:type="dxa" w:w="7661"/>
            <w:tcMar>
              <w:top w:type="dxa" w:w="70"/>
              <w:left w:type="dxa" w:w="110"/>
              <w:bottom w:type="dxa" w:w="70"/>
              <w:right w:type="dxa" w:w="110"/>
            </w:tcMar>
            <w:vAlign w:val="top"/>
          </w:tcPr>
          <w:p>
            <w:r>
              <w:rPr>
                <w:b w:val="false"/>
                <w:bCs w:val="false"/>
                <w:color w:val="1A1A1A"/>
                <w:sz w:val="13"/>
                <w:szCs w:val="13"/>
              </w:rPr>
              <w:t xml:space="preserve">Fully defined and planned within the MEKB, but requires a real-world action (provisioning, staffing, confirmation) not yet completed as of this assessment.</w:t>
            </w:r>
          </w:p>
        </w:tc>
      </w:tr>
      <w:tr>
        <w:tc>
          <w:tcPr>
            <w:tcW w:type="dxa" w:w="2419"/>
            <w:tcMar>
              <w:top w:type="dxa" w:w="70"/>
              <w:left w:type="dxa" w:w="110"/>
              <w:bottom w:type="dxa" w:w="70"/>
              <w:right w:type="dxa" w:w="110"/>
            </w:tcMar>
            <w:vAlign w:val="top"/>
          </w:tcPr>
          <w:p>
            <w:r>
              <w:rPr>
                <w:b/>
                <w:bCs/>
                <w:color w:val="1A1A1A"/>
                <w:sz w:val="13"/>
                <w:szCs w:val="13"/>
              </w:rPr>
              <w:t xml:space="preserve">Not Ready</w:t>
            </w:r>
          </w:p>
        </w:tc>
        <w:tc>
          <w:tcPr>
            <w:tcW w:type="dxa" w:w="7661"/>
            <w:tcMar>
              <w:top w:type="dxa" w:w="70"/>
              <w:left w:type="dxa" w:w="110"/>
              <w:bottom w:type="dxa" w:w="70"/>
              <w:right w:type="dxa" w:w="110"/>
            </w:tcMar>
            <w:vAlign w:val="top"/>
          </w:tcPr>
          <w:p>
            <w:r>
              <w:rPr>
                <w:b w:val="false"/>
                <w:bCs w:val="false"/>
                <w:color w:val="1A1A1A"/>
                <w:sz w:val="13"/>
                <w:szCs w:val="13"/>
              </w:rPr>
              <w:t xml:space="preserve">Undefined, incomplete, or contradicted elsewhere in the governing documentation — blocks Sprint 0 until resolved.</w:t>
            </w:r>
          </w:p>
        </w:tc>
      </w:tr>
    </w:tbl>
    <w:p>
      <w:pPr>
        <w:pStyle w:val="Heading1"/>
        <w:pBdr>
          <w:bottom w:val="single" w:color="DAD3C0" w:sz="4" w:space="4"/>
        </w:pBdr>
        <w:spacing w:after="140" w:before="360"/>
      </w:pPr>
      <w:r>
        <w:rPr>
          <w:b/>
          <w:bCs/>
          <w:color w:val="97771F"/>
          <w:sz w:val="26"/>
          <w:szCs w:val="26"/>
        </w:rPr>
        <w:t xml:space="preserve">15.2  </w:t>
      </w:r>
      <w:r>
        <w:rPr>
          <w:b/>
          <w:bCs/>
          <w:color w:val="33363C"/>
          <w:sz w:val="26"/>
          <w:szCs w:val="26"/>
        </w:rPr>
        <w:t xml:space="preserve">Documentation Readiness</w:t>
      </w:r>
    </w:p>
    <w:tbl>
      <w:tblPr>
        <w:tblW w:type="dxa" w:w="10080"/>
        <w:tblBorders>
          <w:top w:val="single" w:color="DAD3C0" w:sz="4"/>
          <w:left w:val="single" w:color="DAD3C0" w:sz="4"/>
          <w:bottom w:val="single" w:color="DAD3C0" w:sz="4"/>
          <w:right w:val="single" w:color="DAD3C0" w:sz="4"/>
          <w:insideH w:val="single" w:color="DAD3C0" w:sz="2"/>
          <w:insideV w:val="single" w:color="DAD3C0" w:sz="2"/>
        </w:tblBorders>
      </w:tblPr>
      <w:tblGrid>
        <w:gridCol w:w="2621"/>
        <w:gridCol w:w="7459"/>
      </w:tblGrid>
      <w:tr>
        <w:tc>
          <w:tcPr>
            <w:tcW w:type="dxa" w:w="2621"/>
            <w:shd w:fill="F3F0E8" w:val="clear"/>
            <w:tcMar>
              <w:top w:type="dxa" w:w="80"/>
              <w:left w:type="dxa" w:w="120"/>
              <w:bottom w:type="dxa" w:w="80"/>
              <w:right w:type="dxa" w:w="120"/>
            </w:tcMar>
            <w:vAlign w:val="top"/>
          </w:tcPr>
          <w:p>
            <w:r>
              <w:rPr>
                <w:b/>
                <w:bCs/>
                <w:color w:val="33363C"/>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Confirm all eighteen governing document families are complete and baselined.</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No Work Package should begin implementation against a document that is still in draft.</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Directly verifies the Master Document Register established in Part 1, Section 1.2.</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Every governing document family confirmed at Baseline or Published status per Appendix O, Section O.11.</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5"/>
        <w:gridCol w:w="6451"/>
        <w:gridCol w:w="3024"/>
      </w:tblGrid>
      <w:tr>
        <w:trPr>
          <w:tblHeader/>
        </w:trPr>
        <w:tc>
          <w:tcPr>
            <w:tcW w:type="dxa" w:w="605"/>
            <w:shd w:fill="33363C" w:val="clear"/>
            <w:tcMar>
              <w:top w:type="dxa" w:w="70"/>
              <w:left w:type="dxa" w:w="110"/>
              <w:bottom w:type="dxa" w:w="70"/>
              <w:right w:type="dxa" w:w="110"/>
            </w:tcMar>
            <w:vAlign w:val="top"/>
          </w:tcPr>
          <w:p>
            <w:r>
              <w:rPr>
                <w:b/>
                <w:bCs/>
                <w:color w:val="FFFFFF"/>
                <w:sz w:val="17"/>
                <w:szCs w:val="17"/>
              </w:rPr>
              <w:t xml:space="preserve">#</w:t>
            </w:r>
          </w:p>
        </w:tc>
        <w:tc>
          <w:tcPr>
            <w:tcW w:type="dxa" w:w="6451"/>
            <w:shd w:fill="33363C" w:val="clear"/>
            <w:tcMar>
              <w:top w:type="dxa" w:w="70"/>
              <w:left w:type="dxa" w:w="110"/>
              <w:bottom w:type="dxa" w:w="70"/>
              <w:right w:type="dxa" w:w="110"/>
            </w:tcMar>
            <w:vAlign w:val="top"/>
          </w:tcPr>
          <w:p>
            <w:r>
              <w:rPr>
                <w:b/>
                <w:bCs/>
                <w:color w:val="FFFFFF"/>
                <w:sz w:val="17"/>
                <w:szCs w:val="17"/>
              </w:rPr>
              <w:t xml:space="preserve">Document Family</w:t>
            </w:r>
          </w:p>
        </w:tc>
        <w:tc>
          <w:tcPr>
            <w:tcW w:type="dxa" w:w="3024"/>
            <w:shd w:fill="33363C" w:val="clear"/>
            <w:tcMar>
              <w:top w:type="dxa" w:w="70"/>
              <w:left w:type="dxa" w:w="110"/>
              <w:bottom w:type="dxa" w:w="70"/>
              <w:right w:type="dxa" w:w="110"/>
            </w:tcMar>
            <w:vAlign w:val="top"/>
          </w:tcPr>
          <w:p>
            <w:r>
              <w:rPr>
                <w:b/>
                <w:bCs/>
                <w:color w:val="FFFFFF"/>
                <w:sz w:val="17"/>
                <w:szCs w:val="17"/>
              </w:rPr>
              <w:t xml:space="preserve">Status</w:t>
            </w:r>
          </w:p>
        </w:tc>
      </w:tr>
      <w:tr>
        <w:tc>
          <w:tcPr>
            <w:tcW w:type="dxa" w:w="605"/>
            <w:tcMar>
              <w:top w:type="dxa" w:w="70"/>
              <w:left w:type="dxa" w:w="110"/>
              <w:bottom w:type="dxa" w:w="70"/>
              <w:right w:type="dxa" w:w="110"/>
            </w:tcMar>
            <w:vAlign w:val="top"/>
          </w:tcPr>
          <w:p>
            <w:r>
              <w:rPr>
                <w:b/>
                <w:bCs/>
                <w:color w:val="1A1A1A"/>
                <w:sz w:val="12"/>
                <w:szCs w:val="12"/>
              </w:rPr>
              <w:t xml:space="preserve">1</w:t>
            </w:r>
          </w:p>
        </w:tc>
        <w:tc>
          <w:tcPr>
            <w:tcW w:type="dxa" w:w="6451"/>
            <w:tcMar>
              <w:top w:type="dxa" w:w="70"/>
              <w:left w:type="dxa" w:w="110"/>
              <w:bottom w:type="dxa" w:w="70"/>
              <w:right w:type="dxa" w:w="110"/>
            </w:tcMar>
            <w:vAlign w:val="top"/>
          </w:tcPr>
          <w:p>
            <w:r>
              <w:rPr>
                <w:b w:val="false"/>
                <w:bCs w:val="false"/>
                <w:color w:val="1A1A1A"/>
                <w:sz w:val="12"/>
                <w:szCs w:val="12"/>
              </w:rPr>
              <w:t xml:space="preserve">Procurement Intelligence Report</w:t>
            </w:r>
          </w:p>
        </w:tc>
        <w:tc>
          <w:tcPr>
            <w:tcW w:type="dxa" w:w="3024"/>
            <w:tcMar>
              <w:top w:type="dxa" w:w="70"/>
              <w:left w:type="dxa" w:w="110"/>
              <w:bottom w:type="dxa" w:w="70"/>
              <w:right w:type="dxa" w:w="110"/>
            </w:tcMar>
            <w:vAlign w:val="top"/>
          </w:tcPr>
          <w:p>
            <w:r>
              <w:rPr>
                <w:b w:val="false"/>
                <w:bCs w:val="false"/>
                <w:color w:val="1A1A1A"/>
                <w:sz w:val="12"/>
                <w:szCs w:val="12"/>
              </w:rPr>
              <w:t xml:space="preserve">Ready</w:t>
            </w:r>
          </w:p>
        </w:tc>
      </w:tr>
      <w:tr>
        <w:tc>
          <w:tcPr>
            <w:tcW w:type="dxa" w:w="605"/>
            <w:tcMar>
              <w:top w:type="dxa" w:w="70"/>
              <w:left w:type="dxa" w:w="110"/>
              <w:bottom w:type="dxa" w:w="70"/>
              <w:right w:type="dxa" w:w="110"/>
            </w:tcMar>
            <w:vAlign w:val="top"/>
          </w:tcPr>
          <w:p>
            <w:r>
              <w:rPr>
                <w:b/>
                <w:bCs/>
                <w:color w:val="1A1A1A"/>
                <w:sz w:val="12"/>
                <w:szCs w:val="12"/>
              </w:rPr>
              <w:t xml:space="preserve">2</w:t>
            </w:r>
          </w:p>
        </w:tc>
        <w:tc>
          <w:tcPr>
            <w:tcW w:type="dxa" w:w="6451"/>
            <w:tcMar>
              <w:top w:type="dxa" w:w="70"/>
              <w:left w:type="dxa" w:w="110"/>
              <w:bottom w:type="dxa" w:w="70"/>
              <w:right w:type="dxa" w:w="110"/>
            </w:tcMar>
            <w:vAlign w:val="top"/>
          </w:tcPr>
          <w:p>
            <w:r>
              <w:rPr>
                <w:b w:val="false"/>
                <w:bCs w:val="false"/>
                <w:color w:val="1A1A1A"/>
                <w:sz w:val="12"/>
                <w:szCs w:val="12"/>
              </w:rPr>
              <w:t xml:space="preserve">Requirements Traceability Matrix</w:t>
            </w:r>
          </w:p>
        </w:tc>
        <w:tc>
          <w:tcPr>
            <w:tcW w:type="dxa" w:w="3024"/>
            <w:tcMar>
              <w:top w:type="dxa" w:w="70"/>
              <w:left w:type="dxa" w:w="110"/>
              <w:bottom w:type="dxa" w:w="70"/>
              <w:right w:type="dxa" w:w="110"/>
            </w:tcMar>
            <w:vAlign w:val="top"/>
          </w:tcPr>
          <w:p>
            <w:r>
              <w:rPr>
                <w:b w:val="false"/>
                <w:bCs w:val="false"/>
                <w:color w:val="1A1A1A"/>
                <w:sz w:val="12"/>
                <w:szCs w:val="12"/>
              </w:rPr>
              <w:t xml:space="preserve">Ready</w:t>
            </w:r>
          </w:p>
        </w:tc>
      </w:tr>
      <w:tr>
        <w:tc>
          <w:tcPr>
            <w:tcW w:type="dxa" w:w="605"/>
            <w:tcMar>
              <w:top w:type="dxa" w:w="70"/>
              <w:left w:type="dxa" w:w="110"/>
              <w:bottom w:type="dxa" w:w="70"/>
              <w:right w:type="dxa" w:w="110"/>
            </w:tcMar>
            <w:vAlign w:val="top"/>
          </w:tcPr>
          <w:p>
            <w:r>
              <w:rPr>
                <w:b/>
                <w:bCs/>
                <w:color w:val="1A1A1A"/>
                <w:sz w:val="12"/>
                <w:szCs w:val="12"/>
              </w:rPr>
              <w:t xml:space="preserve">3</w:t>
            </w:r>
          </w:p>
        </w:tc>
        <w:tc>
          <w:tcPr>
            <w:tcW w:type="dxa" w:w="6451"/>
            <w:tcMar>
              <w:top w:type="dxa" w:w="70"/>
              <w:left w:type="dxa" w:w="110"/>
              <w:bottom w:type="dxa" w:w="70"/>
              <w:right w:type="dxa" w:w="110"/>
            </w:tcMar>
            <w:vAlign w:val="top"/>
          </w:tcPr>
          <w:p>
            <w:r>
              <w:rPr>
                <w:b w:val="false"/>
                <w:bCs w:val="false"/>
                <w:color w:val="1A1A1A"/>
                <w:sz w:val="12"/>
                <w:szCs w:val="12"/>
              </w:rPr>
              <w:t xml:space="preserve">Enterprise Solution Architecture</w:t>
            </w:r>
          </w:p>
        </w:tc>
        <w:tc>
          <w:tcPr>
            <w:tcW w:type="dxa" w:w="3024"/>
            <w:tcMar>
              <w:top w:type="dxa" w:w="70"/>
              <w:left w:type="dxa" w:w="110"/>
              <w:bottom w:type="dxa" w:w="70"/>
              <w:right w:type="dxa" w:w="110"/>
            </w:tcMar>
            <w:vAlign w:val="top"/>
          </w:tcPr>
          <w:p>
            <w:r>
              <w:rPr>
                <w:b w:val="false"/>
                <w:bCs w:val="false"/>
                <w:color w:val="1A1A1A"/>
                <w:sz w:val="12"/>
                <w:szCs w:val="12"/>
              </w:rPr>
              <w:t xml:space="preserve">Ready</w:t>
            </w:r>
          </w:p>
        </w:tc>
      </w:tr>
      <w:tr>
        <w:tc>
          <w:tcPr>
            <w:tcW w:type="dxa" w:w="605"/>
            <w:tcMar>
              <w:top w:type="dxa" w:w="70"/>
              <w:left w:type="dxa" w:w="110"/>
              <w:bottom w:type="dxa" w:w="70"/>
              <w:right w:type="dxa" w:w="110"/>
            </w:tcMar>
            <w:vAlign w:val="top"/>
          </w:tcPr>
          <w:p>
            <w:r>
              <w:rPr>
                <w:b/>
                <w:bCs/>
                <w:color w:val="1A1A1A"/>
                <w:sz w:val="12"/>
                <w:szCs w:val="12"/>
              </w:rPr>
              <w:t xml:space="preserve">4</w:t>
            </w:r>
          </w:p>
        </w:tc>
        <w:tc>
          <w:tcPr>
            <w:tcW w:type="dxa" w:w="6451"/>
            <w:tcMar>
              <w:top w:type="dxa" w:w="70"/>
              <w:left w:type="dxa" w:w="110"/>
              <w:bottom w:type="dxa" w:w="70"/>
              <w:right w:type="dxa" w:w="110"/>
            </w:tcMar>
            <w:vAlign w:val="top"/>
          </w:tcPr>
          <w:p>
            <w:r>
              <w:rPr>
                <w:b w:val="false"/>
                <w:bCs w:val="false"/>
                <w:color w:val="1A1A1A"/>
                <w:sz w:val="12"/>
                <w:szCs w:val="12"/>
              </w:rPr>
              <w:t xml:space="preserve">Business Architecture</w:t>
            </w:r>
          </w:p>
        </w:tc>
        <w:tc>
          <w:tcPr>
            <w:tcW w:type="dxa" w:w="3024"/>
            <w:tcMar>
              <w:top w:type="dxa" w:w="70"/>
              <w:left w:type="dxa" w:w="110"/>
              <w:bottom w:type="dxa" w:w="70"/>
              <w:right w:type="dxa" w:w="110"/>
            </w:tcMar>
            <w:vAlign w:val="top"/>
          </w:tcPr>
          <w:p>
            <w:r>
              <w:rPr>
                <w:b w:val="false"/>
                <w:bCs w:val="false"/>
                <w:color w:val="1A1A1A"/>
                <w:sz w:val="12"/>
                <w:szCs w:val="12"/>
              </w:rPr>
              <w:t xml:space="preserve">Ready</w:t>
            </w:r>
          </w:p>
        </w:tc>
      </w:tr>
      <w:tr>
        <w:tc>
          <w:tcPr>
            <w:tcW w:type="dxa" w:w="605"/>
            <w:tcMar>
              <w:top w:type="dxa" w:w="70"/>
              <w:left w:type="dxa" w:w="110"/>
              <w:bottom w:type="dxa" w:w="70"/>
              <w:right w:type="dxa" w:w="110"/>
            </w:tcMar>
            <w:vAlign w:val="top"/>
          </w:tcPr>
          <w:p>
            <w:r>
              <w:rPr>
                <w:b/>
                <w:bCs/>
                <w:color w:val="1A1A1A"/>
                <w:sz w:val="12"/>
                <w:szCs w:val="12"/>
              </w:rPr>
              <w:t xml:space="preserve">5</w:t>
            </w:r>
          </w:p>
        </w:tc>
        <w:tc>
          <w:tcPr>
            <w:tcW w:type="dxa" w:w="6451"/>
            <w:tcMar>
              <w:top w:type="dxa" w:w="70"/>
              <w:left w:type="dxa" w:w="110"/>
              <w:bottom w:type="dxa" w:w="70"/>
              <w:right w:type="dxa" w:w="110"/>
            </w:tcMar>
            <w:vAlign w:val="top"/>
          </w:tcPr>
          <w:p>
            <w:r>
              <w:rPr>
                <w:b w:val="false"/>
                <w:bCs w:val="false"/>
                <w:color w:val="1A1A1A"/>
                <w:sz w:val="12"/>
                <w:szCs w:val="12"/>
              </w:rPr>
              <w:t xml:space="preserve">Product Definition Document (PDD)</w:t>
            </w:r>
          </w:p>
        </w:tc>
        <w:tc>
          <w:tcPr>
            <w:tcW w:type="dxa" w:w="3024"/>
            <w:tcMar>
              <w:top w:type="dxa" w:w="70"/>
              <w:left w:type="dxa" w:w="110"/>
              <w:bottom w:type="dxa" w:w="70"/>
              <w:right w:type="dxa" w:w="110"/>
            </w:tcMar>
            <w:vAlign w:val="top"/>
          </w:tcPr>
          <w:p>
            <w:r>
              <w:rPr>
                <w:b w:val="false"/>
                <w:bCs w:val="false"/>
                <w:color w:val="1A1A1A"/>
                <w:sz w:val="12"/>
                <w:szCs w:val="12"/>
              </w:rPr>
              <w:t xml:space="preserve">Ready</w:t>
            </w:r>
          </w:p>
        </w:tc>
      </w:tr>
      <w:tr>
        <w:tc>
          <w:tcPr>
            <w:tcW w:type="dxa" w:w="605"/>
            <w:tcMar>
              <w:top w:type="dxa" w:w="70"/>
              <w:left w:type="dxa" w:w="110"/>
              <w:bottom w:type="dxa" w:w="70"/>
              <w:right w:type="dxa" w:w="110"/>
            </w:tcMar>
            <w:vAlign w:val="top"/>
          </w:tcPr>
          <w:p>
            <w:r>
              <w:rPr>
                <w:b/>
                <w:bCs/>
                <w:color w:val="1A1A1A"/>
                <w:sz w:val="12"/>
                <w:szCs w:val="12"/>
              </w:rPr>
              <w:t xml:space="preserve">6</w:t>
            </w:r>
          </w:p>
        </w:tc>
        <w:tc>
          <w:tcPr>
            <w:tcW w:type="dxa" w:w="6451"/>
            <w:tcMar>
              <w:top w:type="dxa" w:w="70"/>
              <w:left w:type="dxa" w:w="110"/>
              <w:bottom w:type="dxa" w:w="70"/>
              <w:right w:type="dxa" w:w="110"/>
            </w:tcMar>
            <w:vAlign w:val="top"/>
          </w:tcPr>
          <w:p>
            <w:r>
              <w:rPr>
                <w:b w:val="false"/>
                <w:bCs w:val="false"/>
                <w:color w:val="1A1A1A"/>
                <w:sz w:val="12"/>
                <w:szCs w:val="12"/>
              </w:rPr>
              <w:t xml:space="preserve">Software Requirements Specification (SRS)</w:t>
            </w:r>
          </w:p>
        </w:tc>
        <w:tc>
          <w:tcPr>
            <w:tcW w:type="dxa" w:w="3024"/>
            <w:tcMar>
              <w:top w:type="dxa" w:w="70"/>
              <w:left w:type="dxa" w:w="110"/>
              <w:bottom w:type="dxa" w:w="70"/>
              <w:right w:type="dxa" w:w="110"/>
            </w:tcMar>
            <w:vAlign w:val="top"/>
          </w:tcPr>
          <w:p>
            <w:r>
              <w:rPr>
                <w:b w:val="false"/>
                <w:bCs w:val="false"/>
                <w:color w:val="1A1A1A"/>
                <w:sz w:val="12"/>
                <w:szCs w:val="12"/>
              </w:rPr>
              <w:t xml:space="preserve">Ready</w:t>
            </w:r>
          </w:p>
        </w:tc>
      </w:tr>
      <w:tr>
        <w:tc>
          <w:tcPr>
            <w:tcW w:type="dxa" w:w="605"/>
            <w:tcMar>
              <w:top w:type="dxa" w:w="70"/>
              <w:left w:type="dxa" w:w="110"/>
              <w:bottom w:type="dxa" w:w="70"/>
              <w:right w:type="dxa" w:w="110"/>
            </w:tcMar>
            <w:vAlign w:val="top"/>
          </w:tcPr>
          <w:p>
            <w:r>
              <w:rPr>
                <w:b/>
                <w:bCs/>
                <w:color w:val="1A1A1A"/>
                <w:sz w:val="12"/>
                <w:szCs w:val="12"/>
              </w:rPr>
              <w:t xml:space="preserve">7</w:t>
            </w:r>
          </w:p>
        </w:tc>
        <w:tc>
          <w:tcPr>
            <w:tcW w:type="dxa" w:w="6451"/>
            <w:tcMar>
              <w:top w:type="dxa" w:w="70"/>
              <w:left w:type="dxa" w:w="110"/>
              <w:bottom w:type="dxa" w:w="70"/>
              <w:right w:type="dxa" w:w="110"/>
            </w:tcMar>
            <w:vAlign w:val="top"/>
          </w:tcPr>
          <w:p>
            <w:r>
              <w:rPr>
                <w:b w:val="false"/>
                <w:bCs w:val="false"/>
                <w:color w:val="1A1A1A"/>
                <w:sz w:val="12"/>
                <w:szCs w:val="12"/>
              </w:rPr>
              <w:t xml:space="preserve">Business Requirements Document (BRD)</w:t>
            </w:r>
          </w:p>
        </w:tc>
        <w:tc>
          <w:tcPr>
            <w:tcW w:type="dxa" w:w="3024"/>
            <w:tcMar>
              <w:top w:type="dxa" w:w="70"/>
              <w:left w:type="dxa" w:w="110"/>
              <w:bottom w:type="dxa" w:w="70"/>
              <w:right w:type="dxa" w:w="110"/>
            </w:tcMar>
            <w:vAlign w:val="top"/>
          </w:tcPr>
          <w:p>
            <w:r>
              <w:rPr>
                <w:b w:val="false"/>
                <w:bCs w:val="false"/>
                <w:color w:val="1A1A1A"/>
                <w:sz w:val="12"/>
                <w:szCs w:val="12"/>
              </w:rPr>
              <w:t xml:space="preserve">Ready (embedded in PDD/SRS Part 01)</w:t>
            </w:r>
          </w:p>
        </w:tc>
      </w:tr>
      <w:tr>
        <w:tc>
          <w:tcPr>
            <w:tcW w:type="dxa" w:w="605"/>
            <w:tcMar>
              <w:top w:type="dxa" w:w="70"/>
              <w:left w:type="dxa" w:w="110"/>
              <w:bottom w:type="dxa" w:w="70"/>
              <w:right w:type="dxa" w:w="110"/>
            </w:tcMar>
            <w:vAlign w:val="top"/>
          </w:tcPr>
          <w:p>
            <w:r>
              <w:rPr>
                <w:b/>
                <w:bCs/>
                <w:color w:val="1A1A1A"/>
                <w:sz w:val="12"/>
                <w:szCs w:val="12"/>
              </w:rPr>
              <w:t xml:space="preserve">8</w:t>
            </w:r>
          </w:p>
        </w:tc>
        <w:tc>
          <w:tcPr>
            <w:tcW w:type="dxa" w:w="6451"/>
            <w:tcMar>
              <w:top w:type="dxa" w:w="70"/>
              <w:left w:type="dxa" w:w="110"/>
              <w:bottom w:type="dxa" w:w="70"/>
              <w:right w:type="dxa" w:w="110"/>
            </w:tcMar>
            <w:vAlign w:val="top"/>
          </w:tcPr>
          <w:p>
            <w:r>
              <w:rPr>
                <w:b w:val="false"/>
                <w:bCs w:val="false"/>
                <w:color w:val="1A1A1A"/>
                <w:sz w:val="12"/>
                <w:szCs w:val="12"/>
              </w:rPr>
              <w:t xml:space="preserve">Data Dictionary</w:t>
            </w:r>
          </w:p>
        </w:tc>
        <w:tc>
          <w:tcPr>
            <w:tcW w:type="dxa" w:w="3024"/>
            <w:tcMar>
              <w:top w:type="dxa" w:w="70"/>
              <w:left w:type="dxa" w:w="110"/>
              <w:bottom w:type="dxa" w:w="70"/>
              <w:right w:type="dxa" w:w="110"/>
            </w:tcMar>
            <w:vAlign w:val="top"/>
          </w:tcPr>
          <w:p>
            <w:r>
              <w:rPr>
                <w:b w:val="false"/>
                <w:bCs w:val="false"/>
                <w:color w:val="1A1A1A"/>
                <w:sz w:val="12"/>
                <w:szCs w:val="12"/>
              </w:rPr>
              <w:t xml:space="preserve">Ready</w:t>
            </w:r>
          </w:p>
        </w:tc>
      </w:tr>
      <w:tr>
        <w:tc>
          <w:tcPr>
            <w:tcW w:type="dxa" w:w="605"/>
            <w:tcMar>
              <w:top w:type="dxa" w:w="70"/>
              <w:left w:type="dxa" w:w="110"/>
              <w:bottom w:type="dxa" w:w="70"/>
              <w:right w:type="dxa" w:w="110"/>
            </w:tcMar>
            <w:vAlign w:val="top"/>
          </w:tcPr>
          <w:p>
            <w:r>
              <w:rPr>
                <w:b/>
                <w:bCs/>
                <w:color w:val="1A1A1A"/>
                <w:sz w:val="12"/>
                <w:szCs w:val="12"/>
              </w:rPr>
              <w:t xml:space="preserve">9</w:t>
            </w:r>
          </w:p>
        </w:tc>
        <w:tc>
          <w:tcPr>
            <w:tcW w:type="dxa" w:w="6451"/>
            <w:tcMar>
              <w:top w:type="dxa" w:w="70"/>
              <w:left w:type="dxa" w:w="110"/>
              <w:bottom w:type="dxa" w:w="70"/>
              <w:right w:type="dxa" w:w="110"/>
            </w:tcMar>
            <w:vAlign w:val="top"/>
          </w:tcPr>
          <w:p>
            <w:r>
              <w:rPr>
                <w:b w:val="false"/>
                <w:bCs w:val="false"/>
                <w:color w:val="1A1A1A"/>
                <w:sz w:val="12"/>
                <w:szCs w:val="12"/>
              </w:rPr>
              <w:t xml:space="preserve">Database Design (DDS)</w:t>
            </w:r>
          </w:p>
        </w:tc>
        <w:tc>
          <w:tcPr>
            <w:tcW w:type="dxa" w:w="3024"/>
            <w:tcMar>
              <w:top w:type="dxa" w:w="70"/>
              <w:left w:type="dxa" w:w="110"/>
              <w:bottom w:type="dxa" w:w="70"/>
              <w:right w:type="dxa" w:w="110"/>
            </w:tcMar>
            <w:vAlign w:val="top"/>
          </w:tcPr>
          <w:p>
            <w:r>
              <w:rPr>
                <w:b w:val="false"/>
                <w:bCs w:val="false"/>
                <w:color w:val="1A1A1A"/>
                <w:sz w:val="12"/>
                <w:szCs w:val="12"/>
              </w:rPr>
              <w:t xml:space="preserve">Ready</w:t>
            </w:r>
          </w:p>
        </w:tc>
      </w:tr>
      <w:tr>
        <w:tc>
          <w:tcPr>
            <w:tcW w:type="dxa" w:w="605"/>
            <w:tcMar>
              <w:top w:type="dxa" w:w="70"/>
              <w:left w:type="dxa" w:w="110"/>
              <w:bottom w:type="dxa" w:w="70"/>
              <w:right w:type="dxa" w:w="110"/>
            </w:tcMar>
            <w:vAlign w:val="top"/>
          </w:tcPr>
          <w:p>
            <w:r>
              <w:rPr>
                <w:b/>
                <w:bCs/>
                <w:color w:val="1A1A1A"/>
                <w:sz w:val="12"/>
                <w:szCs w:val="12"/>
              </w:rPr>
              <w:t xml:space="preserve">10</w:t>
            </w:r>
          </w:p>
        </w:tc>
        <w:tc>
          <w:tcPr>
            <w:tcW w:type="dxa" w:w="6451"/>
            <w:tcMar>
              <w:top w:type="dxa" w:w="70"/>
              <w:left w:type="dxa" w:w="110"/>
              <w:bottom w:type="dxa" w:w="70"/>
              <w:right w:type="dxa" w:w="110"/>
            </w:tcMar>
            <w:vAlign w:val="top"/>
          </w:tcPr>
          <w:p>
            <w:r>
              <w:rPr>
                <w:b w:val="false"/>
                <w:bCs w:val="false"/>
                <w:color w:val="1A1A1A"/>
                <w:sz w:val="12"/>
                <w:szCs w:val="12"/>
              </w:rPr>
              <w:t xml:space="preserve">API &amp; Integration Specification (AIDS)</w:t>
            </w:r>
          </w:p>
        </w:tc>
        <w:tc>
          <w:tcPr>
            <w:tcW w:type="dxa" w:w="3024"/>
            <w:tcMar>
              <w:top w:type="dxa" w:w="70"/>
              <w:left w:type="dxa" w:w="110"/>
              <w:bottom w:type="dxa" w:w="70"/>
              <w:right w:type="dxa" w:w="110"/>
            </w:tcMar>
            <w:vAlign w:val="top"/>
          </w:tcPr>
          <w:p>
            <w:r>
              <w:rPr>
                <w:b w:val="false"/>
                <w:bCs w:val="false"/>
                <w:color w:val="1A1A1A"/>
                <w:sz w:val="12"/>
                <w:szCs w:val="12"/>
              </w:rPr>
              <w:t xml:space="preserve">Ready</w:t>
            </w:r>
          </w:p>
        </w:tc>
      </w:tr>
      <w:tr>
        <w:tc>
          <w:tcPr>
            <w:tcW w:type="dxa" w:w="605"/>
            <w:tcMar>
              <w:top w:type="dxa" w:w="70"/>
              <w:left w:type="dxa" w:w="110"/>
              <w:bottom w:type="dxa" w:w="70"/>
              <w:right w:type="dxa" w:w="110"/>
            </w:tcMar>
            <w:vAlign w:val="top"/>
          </w:tcPr>
          <w:p>
            <w:r>
              <w:rPr>
                <w:b/>
                <w:bCs/>
                <w:color w:val="1A1A1A"/>
                <w:sz w:val="12"/>
                <w:szCs w:val="12"/>
              </w:rPr>
              <w:t xml:space="preserve">11</w:t>
            </w:r>
          </w:p>
        </w:tc>
        <w:tc>
          <w:tcPr>
            <w:tcW w:type="dxa" w:w="6451"/>
            <w:tcMar>
              <w:top w:type="dxa" w:w="70"/>
              <w:left w:type="dxa" w:w="110"/>
              <w:bottom w:type="dxa" w:w="70"/>
              <w:right w:type="dxa" w:w="110"/>
            </w:tcMar>
            <w:vAlign w:val="top"/>
          </w:tcPr>
          <w:p>
            <w:r>
              <w:rPr>
                <w:b w:val="false"/>
                <w:bCs w:val="false"/>
                <w:color w:val="1A1A1A"/>
                <w:sz w:val="12"/>
                <w:szCs w:val="12"/>
              </w:rPr>
              <w:t xml:space="preserve">Test Strategy (TSAS)</w:t>
            </w:r>
          </w:p>
        </w:tc>
        <w:tc>
          <w:tcPr>
            <w:tcW w:type="dxa" w:w="3024"/>
            <w:tcMar>
              <w:top w:type="dxa" w:w="70"/>
              <w:left w:type="dxa" w:w="110"/>
              <w:bottom w:type="dxa" w:w="70"/>
              <w:right w:type="dxa" w:w="110"/>
            </w:tcMar>
            <w:vAlign w:val="top"/>
          </w:tcPr>
          <w:p>
            <w:r>
              <w:rPr>
                <w:b w:val="false"/>
                <w:bCs w:val="false"/>
                <w:color w:val="1A1A1A"/>
                <w:sz w:val="12"/>
                <w:szCs w:val="12"/>
              </w:rPr>
              <w:t xml:space="preserve">Ready</w:t>
            </w:r>
          </w:p>
        </w:tc>
      </w:tr>
      <w:tr>
        <w:tc>
          <w:tcPr>
            <w:tcW w:type="dxa" w:w="605"/>
            <w:tcMar>
              <w:top w:type="dxa" w:w="70"/>
              <w:left w:type="dxa" w:w="110"/>
              <w:bottom w:type="dxa" w:w="70"/>
              <w:right w:type="dxa" w:w="110"/>
            </w:tcMar>
            <w:vAlign w:val="top"/>
          </w:tcPr>
          <w:p>
            <w:r>
              <w:rPr>
                <w:b/>
                <w:bCs/>
                <w:color w:val="1A1A1A"/>
                <w:sz w:val="12"/>
                <w:szCs w:val="12"/>
              </w:rPr>
              <w:t xml:space="preserve">12</w:t>
            </w:r>
          </w:p>
        </w:tc>
        <w:tc>
          <w:tcPr>
            <w:tcW w:type="dxa" w:w="6451"/>
            <w:tcMar>
              <w:top w:type="dxa" w:w="70"/>
              <w:left w:type="dxa" w:w="110"/>
              <w:bottom w:type="dxa" w:w="70"/>
              <w:right w:type="dxa" w:w="110"/>
            </w:tcMar>
            <w:vAlign w:val="top"/>
          </w:tcPr>
          <w:p>
            <w:r>
              <w:rPr>
                <w:b w:val="false"/>
                <w:bCs w:val="false"/>
                <w:color w:val="1A1A1A"/>
                <w:sz w:val="12"/>
                <w:szCs w:val="12"/>
              </w:rPr>
              <w:t xml:space="preserve">Security Architecture</w:t>
            </w:r>
          </w:p>
        </w:tc>
        <w:tc>
          <w:tcPr>
            <w:tcW w:type="dxa" w:w="3024"/>
            <w:tcMar>
              <w:top w:type="dxa" w:w="70"/>
              <w:left w:type="dxa" w:w="110"/>
              <w:bottom w:type="dxa" w:w="70"/>
              <w:right w:type="dxa" w:w="110"/>
            </w:tcMar>
            <w:vAlign w:val="top"/>
          </w:tcPr>
          <w:p>
            <w:r>
              <w:rPr>
                <w:b w:val="false"/>
                <w:bCs w:val="false"/>
                <w:color w:val="1A1A1A"/>
                <w:sz w:val="12"/>
                <w:szCs w:val="12"/>
              </w:rPr>
              <w:t xml:space="preserve">Ready</w:t>
            </w:r>
          </w:p>
        </w:tc>
      </w:tr>
      <w:tr>
        <w:tc>
          <w:tcPr>
            <w:tcW w:type="dxa" w:w="605"/>
            <w:tcMar>
              <w:top w:type="dxa" w:w="70"/>
              <w:left w:type="dxa" w:w="110"/>
              <w:bottom w:type="dxa" w:w="70"/>
              <w:right w:type="dxa" w:w="110"/>
            </w:tcMar>
            <w:vAlign w:val="top"/>
          </w:tcPr>
          <w:p>
            <w:r>
              <w:rPr>
                <w:b/>
                <w:bCs/>
                <w:color w:val="1A1A1A"/>
                <w:sz w:val="12"/>
                <w:szCs w:val="12"/>
              </w:rPr>
              <w:t xml:space="preserve">13</w:t>
            </w:r>
          </w:p>
        </w:tc>
        <w:tc>
          <w:tcPr>
            <w:tcW w:type="dxa" w:w="6451"/>
            <w:tcMar>
              <w:top w:type="dxa" w:w="70"/>
              <w:left w:type="dxa" w:w="110"/>
              <w:bottom w:type="dxa" w:w="70"/>
              <w:right w:type="dxa" w:w="110"/>
            </w:tcMar>
            <w:vAlign w:val="top"/>
          </w:tcPr>
          <w:p>
            <w:r>
              <w:rPr>
                <w:b w:val="false"/>
                <w:bCs w:val="false"/>
                <w:color w:val="1A1A1A"/>
                <w:sz w:val="12"/>
                <w:szCs w:val="12"/>
              </w:rPr>
              <w:t xml:space="preserve">AI &amp; Knowledge Management Strategy</w:t>
            </w:r>
          </w:p>
        </w:tc>
        <w:tc>
          <w:tcPr>
            <w:tcW w:type="dxa" w:w="3024"/>
            <w:tcMar>
              <w:top w:type="dxa" w:w="70"/>
              <w:left w:type="dxa" w:w="110"/>
              <w:bottom w:type="dxa" w:w="70"/>
              <w:right w:type="dxa" w:w="110"/>
            </w:tcMar>
            <w:vAlign w:val="top"/>
          </w:tcPr>
          <w:p>
            <w:r>
              <w:rPr>
                <w:b w:val="false"/>
                <w:bCs w:val="false"/>
                <w:color w:val="1A1A1A"/>
                <w:sz w:val="12"/>
                <w:szCs w:val="12"/>
              </w:rPr>
              <w:t xml:space="preserve">Ready</w:t>
            </w:r>
          </w:p>
        </w:tc>
      </w:tr>
      <w:tr>
        <w:tc>
          <w:tcPr>
            <w:tcW w:type="dxa" w:w="605"/>
            <w:tcMar>
              <w:top w:type="dxa" w:w="70"/>
              <w:left w:type="dxa" w:w="110"/>
              <w:bottom w:type="dxa" w:w="70"/>
              <w:right w:type="dxa" w:w="110"/>
            </w:tcMar>
            <w:vAlign w:val="top"/>
          </w:tcPr>
          <w:p>
            <w:r>
              <w:rPr>
                <w:b/>
                <w:bCs/>
                <w:color w:val="1A1A1A"/>
                <w:sz w:val="12"/>
                <w:szCs w:val="12"/>
              </w:rPr>
              <w:t xml:space="preserve">14</w:t>
            </w:r>
          </w:p>
        </w:tc>
        <w:tc>
          <w:tcPr>
            <w:tcW w:type="dxa" w:w="6451"/>
            <w:tcMar>
              <w:top w:type="dxa" w:w="70"/>
              <w:left w:type="dxa" w:w="110"/>
              <w:bottom w:type="dxa" w:w="70"/>
              <w:right w:type="dxa" w:w="110"/>
            </w:tcMar>
            <w:vAlign w:val="top"/>
          </w:tcPr>
          <w:p>
            <w:r>
              <w:rPr>
                <w:b w:val="false"/>
                <w:bCs w:val="false"/>
                <w:color w:val="1A1A1A"/>
                <w:sz w:val="12"/>
                <w:szCs w:val="12"/>
              </w:rPr>
              <w:t xml:space="preserve">Implementation &amp; Delivery Plan (PDIB)</w:t>
            </w:r>
          </w:p>
        </w:tc>
        <w:tc>
          <w:tcPr>
            <w:tcW w:type="dxa" w:w="3024"/>
            <w:tcMar>
              <w:top w:type="dxa" w:w="70"/>
              <w:left w:type="dxa" w:w="110"/>
              <w:bottom w:type="dxa" w:w="70"/>
              <w:right w:type="dxa" w:w="110"/>
            </w:tcMar>
            <w:vAlign w:val="top"/>
          </w:tcPr>
          <w:p>
            <w:r>
              <w:rPr>
                <w:b w:val="false"/>
                <w:bCs w:val="false"/>
                <w:color w:val="1A1A1A"/>
                <w:sz w:val="12"/>
                <w:szCs w:val="12"/>
              </w:rPr>
              <w:t xml:space="preserve">Ready</w:t>
            </w:r>
          </w:p>
        </w:tc>
      </w:tr>
      <w:tr>
        <w:tc>
          <w:tcPr>
            <w:tcW w:type="dxa" w:w="605"/>
            <w:tcMar>
              <w:top w:type="dxa" w:w="70"/>
              <w:left w:type="dxa" w:w="110"/>
              <w:bottom w:type="dxa" w:w="70"/>
              <w:right w:type="dxa" w:w="110"/>
            </w:tcMar>
            <w:vAlign w:val="top"/>
          </w:tcPr>
          <w:p>
            <w:r>
              <w:rPr>
                <w:b/>
                <w:bCs/>
                <w:color w:val="1A1A1A"/>
                <w:sz w:val="12"/>
                <w:szCs w:val="12"/>
              </w:rPr>
              <w:t xml:space="preserve">15</w:t>
            </w:r>
          </w:p>
        </w:tc>
        <w:tc>
          <w:tcPr>
            <w:tcW w:type="dxa" w:w="6451"/>
            <w:tcMar>
              <w:top w:type="dxa" w:w="70"/>
              <w:left w:type="dxa" w:w="110"/>
              <w:bottom w:type="dxa" w:w="70"/>
              <w:right w:type="dxa" w:w="110"/>
            </w:tcMar>
            <w:vAlign w:val="top"/>
          </w:tcPr>
          <w:p>
            <w:r>
              <w:rPr>
                <w:b w:val="false"/>
                <w:bCs w:val="false"/>
                <w:color w:val="1A1A1A"/>
                <w:sz w:val="12"/>
                <w:szCs w:val="12"/>
              </w:rPr>
              <w:t xml:space="preserve">Solution Demonstration Script (SDS)</w:t>
            </w:r>
          </w:p>
        </w:tc>
        <w:tc>
          <w:tcPr>
            <w:tcW w:type="dxa" w:w="3024"/>
            <w:tcMar>
              <w:top w:type="dxa" w:w="70"/>
              <w:left w:type="dxa" w:w="110"/>
              <w:bottom w:type="dxa" w:w="70"/>
              <w:right w:type="dxa" w:w="110"/>
            </w:tcMar>
            <w:vAlign w:val="top"/>
          </w:tcPr>
          <w:p>
            <w:r>
              <w:rPr>
                <w:b w:val="false"/>
                <w:bCs w:val="false"/>
                <w:color w:val="1A1A1A"/>
                <w:sz w:val="12"/>
                <w:szCs w:val="12"/>
              </w:rPr>
              <w:t xml:space="preserve">Ready</w:t>
            </w:r>
          </w:p>
        </w:tc>
      </w:tr>
      <w:tr>
        <w:tc>
          <w:tcPr>
            <w:tcW w:type="dxa" w:w="605"/>
            <w:tcMar>
              <w:top w:type="dxa" w:w="70"/>
              <w:left w:type="dxa" w:w="110"/>
              <w:bottom w:type="dxa" w:w="70"/>
              <w:right w:type="dxa" w:w="110"/>
            </w:tcMar>
            <w:vAlign w:val="top"/>
          </w:tcPr>
          <w:p>
            <w:r>
              <w:rPr>
                <w:b/>
                <w:bCs/>
                <w:color w:val="1A1A1A"/>
                <w:sz w:val="12"/>
                <w:szCs w:val="12"/>
              </w:rPr>
              <w:t xml:space="preserve">16</w:t>
            </w:r>
          </w:p>
        </w:tc>
        <w:tc>
          <w:tcPr>
            <w:tcW w:type="dxa" w:w="6451"/>
            <w:tcMar>
              <w:top w:type="dxa" w:w="70"/>
              <w:left w:type="dxa" w:w="110"/>
              <w:bottom w:type="dxa" w:w="70"/>
              <w:right w:type="dxa" w:w="110"/>
            </w:tcMar>
            <w:vAlign w:val="top"/>
          </w:tcPr>
          <w:p>
            <w:r>
              <w:rPr>
                <w:b w:val="false"/>
                <w:bCs w:val="false"/>
                <w:color w:val="1A1A1A"/>
                <w:sz w:val="12"/>
                <w:szCs w:val="12"/>
              </w:rPr>
              <w:t xml:space="preserve">Enterprise Engineering Handbook (Vol. I)</w:t>
            </w:r>
          </w:p>
        </w:tc>
        <w:tc>
          <w:tcPr>
            <w:tcW w:type="dxa" w:w="3024"/>
            <w:tcMar>
              <w:top w:type="dxa" w:w="70"/>
              <w:left w:type="dxa" w:w="110"/>
              <w:bottom w:type="dxa" w:w="70"/>
              <w:right w:type="dxa" w:w="110"/>
            </w:tcMar>
            <w:vAlign w:val="top"/>
          </w:tcPr>
          <w:p>
            <w:r>
              <w:rPr>
                <w:b w:val="false"/>
                <w:bCs w:val="false"/>
                <w:color w:val="1A1A1A"/>
                <w:sz w:val="12"/>
                <w:szCs w:val="12"/>
              </w:rPr>
              <w:t xml:space="preserve">Ready</w:t>
            </w:r>
          </w:p>
        </w:tc>
      </w:tr>
      <w:tr>
        <w:tc>
          <w:tcPr>
            <w:tcW w:type="dxa" w:w="605"/>
            <w:tcMar>
              <w:top w:type="dxa" w:w="70"/>
              <w:left w:type="dxa" w:w="110"/>
              <w:bottom w:type="dxa" w:w="70"/>
              <w:right w:type="dxa" w:w="110"/>
            </w:tcMar>
            <w:vAlign w:val="top"/>
          </w:tcPr>
          <w:p>
            <w:r>
              <w:rPr>
                <w:b/>
                <w:bCs/>
                <w:color w:val="1A1A1A"/>
                <w:sz w:val="12"/>
                <w:szCs w:val="12"/>
              </w:rPr>
              <w:t xml:space="preserve">17</w:t>
            </w:r>
          </w:p>
        </w:tc>
        <w:tc>
          <w:tcPr>
            <w:tcW w:type="dxa" w:w="6451"/>
            <w:tcMar>
              <w:top w:type="dxa" w:w="70"/>
              <w:left w:type="dxa" w:w="110"/>
              <w:bottom w:type="dxa" w:w="70"/>
              <w:right w:type="dxa" w:w="110"/>
            </w:tcMar>
            <w:vAlign w:val="top"/>
          </w:tcPr>
          <w:p>
            <w:r>
              <w:rPr>
                <w:b w:val="false"/>
                <w:bCs w:val="false"/>
                <w:color w:val="1A1A1A"/>
                <w:sz w:val="12"/>
                <w:szCs w:val="12"/>
              </w:rPr>
              <w:t xml:space="preserve">Enterprise Engineering Reference Manual (Vol. II)</w:t>
            </w:r>
          </w:p>
        </w:tc>
        <w:tc>
          <w:tcPr>
            <w:tcW w:type="dxa" w:w="3024"/>
            <w:tcMar>
              <w:top w:type="dxa" w:w="70"/>
              <w:left w:type="dxa" w:w="110"/>
              <w:bottom w:type="dxa" w:w="70"/>
              <w:right w:type="dxa" w:w="110"/>
            </w:tcMar>
            <w:vAlign w:val="top"/>
          </w:tcPr>
          <w:p>
            <w:r>
              <w:rPr>
                <w:b w:val="false"/>
                <w:bCs w:val="false"/>
                <w:color w:val="1A1A1A"/>
                <w:sz w:val="12"/>
                <w:szCs w:val="12"/>
              </w:rPr>
              <w:t xml:space="preserve">Ready</w:t>
            </w:r>
          </w:p>
        </w:tc>
      </w:tr>
      <w:tr>
        <w:tc>
          <w:tcPr>
            <w:tcW w:type="dxa" w:w="605"/>
            <w:tcMar>
              <w:top w:type="dxa" w:w="70"/>
              <w:left w:type="dxa" w:w="110"/>
              <w:bottom w:type="dxa" w:w="70"/>
              <w:right w:type="dxa" w:w="110"/>
            </w:tcMar>
            <w:vAlign w:val="top"/>
          </w:tcPr>
          <w:p>
            <w:r>
              <w:rPr>
                <w:b/>
                <w:bCs/>
                <w:color w:val="1A1A1A"/>
                <w:sz w:val="12"/>
                <w:szCs w:val="12"/>
              </w:rPr>
              <w:t xml:space="preserve">18</w:t>
            </w:r>
          </w:p>
        </w:tc>
        <w:tc>
          <w:tcPr>
            <w:tcW w:type="dxa" w:w="6451"/>
            <w:tcMar>
              <w:top w:type="dxa" w:w="70"/>
              <w:left w:type="dxa" w:w="110"/>
              <w:bottom w:type="dxa" w:w="70"/>
              <w:right w:type="dxa" w:w="110"/>
            </w:tcMar>
            <w:vAlign w:val="top"/>
          </w:tcPr>
          <w:p>
            <w:r>
              <w:rPr>
                <w:b w:val="false"/>
                <w:bCs w:val="false"/>
                <w:color w:val="1A1A1A"/>
                <w:sz w:val="12"/>
                <w:szCs w:val="12"/>
              </w:rPr>
              <w:t xml:space="preserve">Appendices A–O</w:t>
            </w:r>
          </w:p>
        </w:tc>
        <w:tc>
          <w:tcPr>
            <w:tcW w:type="dxa" w:w="3024"/>
            <w:tcMar>
              <w:top w:type="dxa" w:w="70"/>
              <w:left w:type="dxa" w:w="110"/>
              <w:bottom w:type="dxa" w:w="70"/>
              <w:right w:type="dxa" w:w="110"/>
            </w:tcMar>
            <w:vAlign w:val="top"/>
          </w:tcPr>
          <w:p>
            <w:r>
              <w:rPr>
                <w:b w:val="false"/>
                <w:bCs w:val="false"/>
                <w:color w:val="1A1A1A"/>
                <w:sz w:val="12"/>
                <w:szCs w:val="12"/>
              </w:rPr>
              <w:t xml:space="preserve">Ready</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3F0E8" w:sz="2"/>
              <w:left w:val="single" w:color="97771F" w:sz="24"/>
              <w:bottom w:val="single" w:color="F3F0E8" w:sz="2"/>
              <w:right w:val="single" w:color="F3F0E8" w:sz="2"/>
            </w:tcBorders>
            <w:shd w:fill="F3F0E8" w:val="clear"/>
            <w:tcMar>
              <w:top w:type="dxa" w:w="120"/>
              <w:left w:type="dxa" w:w="180"/>
              <w:bottom w:type="dxa" w:w="120"/>
              <w:right w:type="dxa" w:w="180"/>
            </w:tcMar>
          </w:tcPr>
          <w:p>
            <w:pPr>
              <w:spacing w:after="60"/>
            </w:pPr>
            <w:r>
              <w:rPr>
                <w:b/>
                <w:bCs/>
                <w:color w:val="97771F"/>
                <w:sz w:val="17"/>
                <w:szCs w:val="17"/>
              </w:rPr>
              <w:t xml:space="preserve">NOTE</w:t>
            </w:r>
          </w:p>
          <w:p>
            <w:pPr>
              <w:spacing w:after="0"/>
            </w:pPr>
            <w:r>
              <w:rPr>
                <w:sz w:val="18"/>
                <w:szCs w:val="18"/>
              </w:rPr>
              <w:t xml:space="preserve">Documentation Readiness rating: Ready — 18 of 18 governing document families confirmed, consistent with the Master Document Register in Part 1, Section 1.2.</w:t>
            </w:r>
          </w:p>
        </w:tc>
      </w:tr>
    </w:tbl>
    <w:p>
      <w:pPr>
        <w:pStyle w:val="Heading1"/>
        <w:pBdr>
          <w:bottom w:val="single" w:color="DAD3C0" w:sz="4" w:space="4"/>
        </w:pBdr>
        <w:spacing w:after="140" w:before="360"/>
      </w:pPr>
      <w:r>
        <w:rPr>
          <w:b/>
          <w:bCs/>
          <w:color w:val="97771F"/>
          <w:sz w:val="26"/>
          <w:szCs w:val="26"/>
        </w:rPr>
        <w:t xml:space="preserve">15.3  </w:t>
      </w:r>
      <w:r>
        <w:rPr>
          <w:b/>
          <w:bCs/>
          <w:color w:val="33363C"/>
          <w:sz w:val="26"/>
          <w:szCs w:val="26"/>
        </w:rPr>
        <w:t xml:space="preserve">Engineering Planning Readiness</w:t>
      </w:r>
    </w:p>
    <w:tbl>
      <w:tblPr>
        <w:tblW w:type="dxa" w:w="10080"/>
        <w:tblBorders>
          <w:top w:val="single" w:color="DAD3C0" w:sz="4"/>
          <w:left w:val="single" w:color="DAD3C0" w:sz="4"/>
          <w:bottom w:val="single" w:color="DAD3C0" w:sz="4"/>
          <w:right w:val="single" w:color="DAD3C0" w:sz="4"/>
          <w:insideH w:val="single" w:color="DAD3C0" w:sz="2"/>
          <w:insideV w:val="single" w:color="DAD3C0" w:sz="2"/>
        </w:tblBorders>
      </w:tblPr>
      <w:tblGrid>
        <w:gridCol w:w="2621"/>
        <w:gridCol w:w="7459"/>
      </w:tblGrid>
      <w:tr>
        <w:tc>
          <w:tcPr>
            <w:tcW w:type="dxa" w:w="2621"/>
            <w:shd w:fill="F3F0E8" w:val="clear"/>
            <w:tcMar>
              <w:top w:type="dxa" w:w="80"/>
              <w:left w:type="dxa" w:w="120"/>
              <w:bottom w:type="dxa" w:w="80"/>
              <w:right w:type="dxa" w:w="120"/>
            </w:tcMar>
            <w:vAlign w:val="top"/>
          </w:tcPr>
          <w:p>
            <w:r>
              <w:rPr>
                <w:b/>
                <w:bCs/>
                <w:color w:val="33363C"/>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Confirm the MEKB itself — Parts 1 through 14 — is internally complete and consistent.</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The direct precondition for issuing the first Work Package to Antigravity.</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Each row is verified against the actual Part it names, not assumed complete by virtue of this document existing.</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All fourteen prior Parts confirmed complete, internally cross-referenced, and free of open contradictions.</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2822"/>
        <w:gridCol w:w="1411"/>
        <w:gridCol w:w="4838"/>
      </w:tblGrid>
      <w:tr>
        <w:trPr>
          <w:tblHeader/>
        </w:trPr>
        <w:tc>
          <w:tcPr>
            <w:tcW w:type="dxa" w:w="1008"/>
            <w:shd w:fill="33363C" w:val="clear"/>
            <w:tcMar>
              <w:top w:type="dxa" w:w="70"/>
              <w:left w:type="dxa" w:w="110"/>
              <w:bottom w:type="dxa" w:w="70"/>
              <w:right w:type="dxa" w:w="110"/>
            </w:tcMar>
            <w:vAlign w:val="top"/>
          </w:tcPr>
          <w:p>
            <w:r>
              <w:rPr>
                <w:b/>
                <w:bCs/>
                <w:color w:val="FFFFFF"/>
                <w:sz w:val="17"/>
                <w:szCs w:val="17"/>
              </w:rPr>
              <w:t xml:space="preserve">Part</w:t>
            </w:r>
          </w:p>
        </w:tc>
        <w:tc>
          <w:tcPr>
            <w:tcW w:type="dxa" w:w="2822"/>
            <w:shd w:fill="33363C" w:val="clear"/>
            <w:tcMar>
              <w:top w:type="dxa" w:w="70"/>
              <w:left w:type="dxa" w:w="110"/>
              <w:bottom w:type="dxa" w:w="70"/>
              <w:right w:type="dxa" w:w="110"/>
            </w:tcMar>
            <w:vAlign w:val="top"/>
          </w:tcPr>
          <w:p>
            <w:r>
              <w:rPr>
                <w:b/>
                <w:bCs/>
                <w:color w:val="FFFFFF"/>
                <w:sz w:val="17"/>
                <w:szCs w:val="17"/>
              </w:rPr>
              <w:t xml:space="preserve">Deliverable</w:t>
            </w:r>
          </w:p>
        </w:tc>
        <w:tc>
          <w:tcPr>
            <w:tcW w:type="dxa" w:w="1411"/>
            <w:shd w:fill="33363C" w:val="clear"/>
            <w:tcMar>
              <w:top w:type="dxa" w:w="70"/>
              <w:left w:type="dxa" w:w="110"/>
              <w:bottom w:type="dxa" w:w="70"/>
              <w:right w:type="dxa" w:w="110"/>
            </w:tcMar>
            <w:vAlign w:val="top"/>
          </w:tcPr>
          <w:p>
            <w:r>
              <w:rPr>
                <w:b/>
                <w:bCs/>
                <w:color w:val="FFFFFF"/>
                <w:sz w:val="17"/>
                <w:szCs w:val="17"/>
              </w:rPr>
              <w:t xml:space="preserve">Status</w:t>
            </w:r>
          </w:p>
        </w:tc>
        <w:tc>
          <w:tcPr>
            <w:tcW w:type="dxa" w:w="4838"/>
            <w:shd w:fill="33363C" w:val="clear"/>
            <w:tcMar>
              <w:top w:type="dxa" w:w="70"/>
              <w:left w:type="dxa" w:w="110"/>
              <w:bottom w:type="dxa" w:w="70"/>
              <w:right w:type="dxa" w:w="110"/>
            </w:tcMar>
            <w:vAlign w:val="top"/>
          </w:tcPr>
          <w:p>
            <w:r>
              <w:rPr>
                <w:b/>
                <w:bCs/>
                <w:color w:val="FFFFFF"/>
                <w:sz w:val="17"/>
                <w:szCs w:val="17"/>
              </w:rPr>
              <w:t xml:space="preserve">Evidence</w:t>
            </w:r>
          </w:p>
        </w:tc>
      </w:tr>
      <w:tr>
        <w:tc>
          <w:tcPr>
            <w:tcW w:type="dxa" w:w="1008"/>
            <w:tcMar>
              <w:top w:type="dxa" w:w="70"/>
              <w:left w:type="dxa" w:w="110"/>
              <w:bottom w:type="dxa" w:w="70"/>
              <w:right w:type="dxa" w:w="110"/>
            </w:tcMar>
            <w:vAlign w:val="top"/>
          </w:tcPr>
          <w:p>
            <w:r>
              <w:rPr>
                <w:b/>
                <w:bCs/>
                <w:color w:val="1A1A1A"/>
                <w:sz w:val="11"/>
                <w:szCs w:val="11"/>
              </w:rPr>
              <w:t xml:space="preserve">1</w:t>
            </w:r>
          </w:p>
        </w:tc>
        <w:tc>
          <w:tcPr>
            <w:tcW w:type="dxa" w:w="2822"/>
            <w:tcMar>
              <w:top w:type="dxa" w:w="70"/>
              <w:left w:type="dxa" w:w="110"/>
              <w:bottom w:type="dxa" w:w="70"/>
              <w:right w:type="dxa" w:w="110"/>
            </w:tcMar>
            <w:vAlign w:val="top"/>
          </w:tcPr>
          <w:p>
            <w:r>
              <w:rPr>
                <w:b w:val="false"/>
                <w:bCs w:val="false"/>
                <w:color w:val="1A1A1A"/>
                <w:sz w:val="11"/>
                <w:szCs w:val="11"/>
              </w:rPr>
              <w:t xml:space="preserve">Engineering Knowledge Map</w:t>
            </w:r>
          </w:p>
        </w:tc>
        <w:tc>
          <w:tcPr>
            <w:tcW w:type="dxa" w:w="1411"/>
            <w:tcMar>
              <w:top w:type="dxa" w:w="70"/>
              <w:left w:type="dxa" w:w="110"/>
              <w:bottom w:type="dxa" w:w="70"/>
              <w:right w:type="dxa" w:w="110"/>
            </w:tcMar>
            <w:vAlign w:val="top"/>
          </w:tcPr>
          <w:p>
            <w:r>
              <w:rPr>
                <w:b w:val="false"/>
                <w:bCs w:val="false"/>
                <w:color w:val="1A1A1A"/>
                <w:sz w:val="11"/>
                <w:szCs w:val="11"/>
              </w:rPr>
              <w:t xml:space="preserve">Ready</w:t>
            </w:r>
          </w:p>
        </w:tc>
        <w:tc>
          <w:tcPr>
            <w:tcW w:type="dxa" w:w="4838"/>
            <w:tcMar>
              <w:top w:type="dxa" w:w="70"/>
              <w:left w:type="dxa" w:w="110"/>
              <w:bottom w:type="dxa" w:w="70"/>
              <w:right w:type="dxa" w:w="110"/>
            </w:tcMar>
            <w:vAlign w:val="top"/>
          </w:tcPr>
          <w:p>
            <w:r>
              <w:rPr>
                <w:b w:val="false"/>
                <w:bCs w:val="false"/>
                <w:color w:val="1A1A1A"/>
                <w:sz w:val="11"/>
                <w:szCs w:val="11"/>
              </w:rPr>
              <w:t xml:space="preserve">18-document register, traceability backbone, and authority order established.</w:t>
            </w:r>
          </w:p>
        </w:tc>
      </w:tr>
      <w:tr>
        <w:tc>
          <w:tcPr>
            <w:tcW w:type="dxa" w:w="1008"/>
            <w:tcMar>
              <w:top w:type="dxa" w:w="70"/>
              <w:left w:type="dxa" w:w="110"/>
              <w:bottom w:type="dxa" w:w="70"/>
              <w:right w:type="dxa" w:w="110"/>
            </w:tcMar>
            <w:vAlign w:val="top"/>
          </w:tcPr>
          <w:p>
            <w:r>
              <w:rPr>
                <w:b/>
                <w:bCs/>
                <w:color w:val="1A1A1A"/>
                <w:sz w:val="11"/>
                <w:szCs w:val="11"/>
              </w:rPr>
              <w:t xml:space="preserve">2</w:t>
            </w:r>
          </w:p>
        </w:tc>
        <w:tc>
          <w:tcPr>
            <w:tcW w:type="dxa" w:w="2822"/>
            <w:tcMar>
              <w:top w:type="dxa" w:w="70"/>
              <w:left w:type="dxa" w:w="110"/>
              <w:bottom w:type="dxa" w:w="70"/>
              <w:right w:type="dxa" w:w="110"/>
            </w:tcMar>
            <w:vAlign w:val="top"/>
          </w:tcPr>
          <w:p>
            <w:r>
              <w:rPr>
                <w:b w:val="false"/>
                <w:bCs w:val="false"/>
                <w:color w:val="1A1A1A"/>
                <w:sz w:val="11"/>
                <w:szCs w:val="11"/>
              </w:rPr>
              <w:t xml:space="preserve">Engineering Domains</w:t>
            </w:r>
          </w:p>
        </w:tc>
        <w:tc>
          <w:tcPr>
            <w:tcW w:type="dxa" w:w="1411"/>
            <w:tcMar>
              <w:top w:type="dxa" w:w="70"/>
              <w:left w:type="dxa" w:w="110"/>
              <w:bottom w:type="dxa" w:w="70"/>
              <w:right w:type="dxa" w:w="110"/>
            </w:tcMar>
            <w:vAlign w:val="top"/>
          </w:tcPr>
          <w:p>
            <w:r>
              <w:rPr>
                <w:b w:val="false"/>
                <w:bCs w:val="false"/>
                <w:color w:val="1A1A1A"/>
                <w:sz w:val="11"/>
                <w:szCs w:val="11"/>
              </w:rPr>
              <w:t xml:space="preserve">Ready</w:t>
            </w:r>
          </w:p>
        </w:tc>
        <w:tc>
          <w:tcPr>
            <w:tcW w:type="dxa" w:w="4838"/>
            <w:tcMar>
              <w:top w:type="dxa" w:w="70"/>
              <w:left w:type="dxa" w:w="110"/>
              <w:bottom w:type="dxa" w:w="70"/>
              <w:right w:type="dxa" w:w="110"/>
            </w:tcMar>
            <w:vAlign w:val="top"/>
          </w:tcPr>
          <w:p>
            <w:r>
              <w:rPr>
                <w:b w:val="false"/>
                <w:bCs w:val="false"/>
                <w:color w:val="1A1A1A"/>
                <w:sz w:val="11"/>
                <w:szCs w:val="11"/>
              </w:rPr>
              <w:t xml:space="preserve">9 domains fully profiled with dependencies and responsible roles.</w:t>
            </w:r>
          </w:p>
        </w:tc>
      </w:tr>
      <w:tr>
        <w:tc>
          <w:tcPr>
            <w:tcW w:type="dxa" w:w="1008"/>
            <w:tcMar>
              <w:top w:type="dxa" w:w="70"/>
              <w:left w:type="dxa" w:w="110"/>
              <w:bottom w:type="dxa" w:w="70"/>
              <w:right w:type="dxa" w:w="110"/>
            </w:tcMar>
            <w:vAlign w:val="top"/>
          </w:tcPr>
          <w:p>
            <w:r>
              <w:rPr>
                <w:b/>
                <w:bCs/>
                <w:color w:val="1A1A1A"/>
                <w:sz w:val="11"/>
                <w:szCs w:val="11"/>
              </w:rPr>
              <w:t xml:space="preserve">3</w:t>
            </w:r>
          </w:p>
        </w:tc>
        <w:tc>
          <w:tcPr>
            <w:tcW w:type="dxa" w:w="2822"/>
            <w:tcMar>
              <w:top w:type="dxa" w:w="70"/>
              <w:left w:type="dxa" w:w="110"/>
              <w:bottom w:type="dxa" w:w="70"/>
              <w:right w:type="dxa" w:w="110"/>
            </w:tcMar>
            <w:vAlign w:val="top"/>
          </w:tcPr>
          <w:p>
            <w:r>
              <w:rPr>
                <w:b w:val="false"/>
                <w:bCs w:val="false"/>
                <w:color w:val="1A1A1A"/>
                <w:sz w:val="11"/>
                <w:szCs w:val="11"/>
              </w:rPr>
              <w:t xml:space="preserve">Module Decomposition</w:t>
            </w:r>
          </w:p>
        </w:tc>
        <w:tc>
          <w:tcPr>
            <w:tcW w:type="dxa" w:w="1411"/>
            <w:tcMar>
              <w:top w:type="dxa" w:w="70"/>
              <w:left w:type="dxa" w:w="110"/>
              <w:bottom w:type="dxa" w:w="70"/>
              <w:right w:type="dxa" w:w="110"/>
            </w:tcMar>
            <w:vAlign w:val="top"/>
          </w:tcPr>
          <w:p>
            <w:r>
              <w:rPr>
                <w:b w:val="false"/>
                <w:bCs w:val="false"/>
                <w:color w:val="1A1A1A"/>
                <w:sz w:val="11"/>
                <w:szCs w:val="11"/>
              </w:rPr>
              <w:t xml:space="preserve">Ready</w:t>
            </w:r>
          </w:p>
        </w:tc>
        <w:tc>
          <w:tcPr>
            <w:tcW w:type="dxa" w:w="4838"/>
            <w:tcMar>
              <w:top w:type="dxa" w:w="70"/>
              <w:left w:type="dxa" w:w="110"/>
              <w:bottom w:type="dxa" w:w="70"/>
              <w:right w:type="dxa" w:w="110"/>
            </w:tcMar>
            <w:vAlign w:val="top"/>
          </w:tcPr>
          <w:p>
            <w:r>
              <w:rPr>
                <w:b w:val="false"/>
                <w:bCs w:val="false"/>
                <w:color w:val="1A1A1A"/>
                <w:sz w:val="11"/>
                <w:szCs w:val="11"/>
              </w:rPr>
              <w:t xml:space="preserve">20 modules profiled; module-to-domain cross-reference complete.</w:t>
            </w:r>
          </w:p>
        </w:tc>
      </w:tr>
      <w:tr>
        <w:tc>
          <w:tcPr>
            <w:tcW w:type="dxa" w:w="1008"/>
            <w:tcMar>
              <w:top w:type="dxa" w:w="70"/>
              <w:left w:type="dxa" w:w="110"/>
              <w:bottom w:type="dxa" w:w="70"/>
              <w:right w:type="dxa" w:w="110"/>
            </w:tcMar>
            <w:vAlign w:val="top"/>
          </w:tcPr>
          <w:p>
            <w:r>
              <w:rPr>
                <w:b/>
                <w:bCs/>
                <w:color w:val="1A1A1A"/>
                <w:sz w:val="11"/>
                <w:szCs w:val="11"/>
              </w:rPr>
              <w:t xml:space="preserve">4</w:t>
            </w:r>
          </w:p>
        </w:tc>
        <w:tc>
          <w:tcPr>
            <w:tcW w:type="dxa" w:w="2822"/>
            <w:tcMar>
              <w:top w:type="dxa" w:w="70"/>
              <w:left w:type="dxa" w:w="110"/>
              <w:bottom w:type="dxa" w:w="70"/>
              <w:right w:type="dxa" w:w="110"/>
            </w:tcMar>
            <w:vAlign w:val="top"/>
          </w:tcPr>
          <w:p>
            <w:r>
              <w:rPr>
                <w:b w:val="false"/>
                <w:bCs w:val="false"/>
                <w:color w:val="1A1A1A"/>
                <w:sz w:val="11"/>
                <w:szCs w:val="11"/>
              </w:rPr>
              <w:t xml:space="preserve">Engineering Work Breakdown Structure</w:t>
            </w:r>
          </w:p>
        </w:tc>
        <w:tc>
          <w:tcPr>
            <w:tcW w:type="dxa" w:w="1411"/>
            <w:tcMar>
              <w:top w:type="dxa" w:w="70"/>
              <w:left w:type="dxa" w:w="110"/>
              <w:bottom w:type="dxa" w:w="70"/>
              <w:right w:type="dxa" w:w="110"/>
            </w:tcMar>
            <w:vAlign w:val="top"/>
          </w:tcPr>
          <w:p>
            <w:r>
              <w:rPr>
                <w:b w:val="false"/>
                <w:bCs w:val="false"/>
                <w:color w:val="1A1A1A"/>
                <w:sz w:val="11"/>
                <w:szCs w:val="11"/>
              </w:rPr>
              <w:t xml:space="preserve">Ready</w:t>
            </w:r>
          </w:p>
        </w:tc>
        <w:tc>
          <w:tcPr>
            <w:tcW w:type="dxa" w:w="4838"/>
            <w:tcMar>
              <w:top w:type="dxa" w:w="70"/>
              <w:left w:type="dxa" w:w="110"/>
              <w:bottom w:type="dxa" w:w="70"/>
              <w:right w:type="dxa" w:w="110"/>
            </w:tcMar>
            <w:vAlign w:val="top"/>
          </w:tcPr>
          <w:p>
            <w:r>
              <w:rPr>
                <w:b w:val="false"/>
                <w:bCs w:val="false"/>
                <w:color w:val="1A1A1A"/>
                <w:sz w:val="11"/>
                <w:szCs w:val="11"/>
              </w:rPr>
              <w:t xml:space="preserve">6-level WBS fixed; 25 Work Packages allocated and numbered.</w:t>
            </w:r>
          </w:p>
        </w:tc>
      </w:tr>
      <w:tr>
        <w:tc>
          <w:tcPr>
            <w:tcW w:type="dxa" w:w="1008"/>
            <w:tcMar>
              <w:top w:type="dxa" w:w="70"/>
              <w:left w:type="dxa" w:w="110"/>
              <w:bottom w:type="dxa" w:w="70"/>
              <w:right w:type="dxa" w:w="110"/>
            </w:tcMar>
            <w:vAlign w:val="top"/>
          </w:tcPr>
          <w:p>
            <w:r>
              <w:rPr>
                <w:b/>
                <w:bCs/>
                <w:color w:val="1A1A1A"/>
                <w:sz w:val="11"/>
                <w:szCs w:val="11"/>
              </w:rPr>
              <w:t xml:space="preserve">5–8</w:t>
            </w:r>
          </w:p>
        </w:tc>
        <w:tc>
          <w:tcPr>
            <w:tcW w:type="dxa" w:w="2822"/>
            <w:tcMar>
              <w:top w:type="dxa" w:w="70"/>
              <w:left w:type="dxa" w:w="110"/>
              <w:bottom w:type="dxa" w:w="70"/>
              <w:right w:type="dxa" w:w="110"/>
            </w:tcMar>
            <w:vAlign w:val="top"/>
          </w:tcPr>
          <w:p>
            <w:r>
              <w:rPr>
                <w:b w:val="false"/>
                <w:bCs w:val="false"/>
                <w:color w:val="1A1A1A"/>
                <w:sz w:val="11"/>
                <w:szCs w:val="11"/>
              </w:rPr>
              <w:t xml:space="preserve">Engineering Work Packages 01–25</w:t>
            </w:r>
          </w:p>
        </w:tc>
        <w:tc>
          <w:tcPr>
            <w:tcW w:type="dxa" w:w="1411"/>
            <w:tcMar>
              <w:top w:type="dxa" w:w="70"/>
              <w:left w:type="dxa" w:w="110"/>
              <w:bottom w:type="dxa" w:w="70"/>
              <w:right w:type="dxa" w:w="110"/>
            </w:tcMar>
            <w:vAlign w:val="top"/>
          </w:tcPr>
          <w:p>
            <w:r>
              <w:rPr>
                <w:b w:val="false"/>
                <w:bCs w:val="false"/>
                <w:color w:val="1A1A1A"/>
                <w:sz w:val="11"/>
                <w:szCs w:val="11"/>
              </w:rPr>
              <w:t xml:space="preserve">Ready</w:t>
            </w:r>
          </w:p>
        </w:tc>
        <w:tc>
          <w:tcPr>
            <w:tcW w:type="dxa" w:w="4838"/>
            <w:tcMar>
              <w:top w:type="dxa" w:w="70"/>
              <w:left w:type="dxa" w:w="110"/>
              <w:bottom w:type="dxa" w:w="70"/>
              <w:right w:type="dxa" w:w="110"/>
            </w:tcMar>
            <w:vAlign w:val="top"/>
          </w:tcPr>
          <w:p>
            <w:r>
              <w:rPr>
                <w:b w:val="false"/>
                <w:bCs w:val="false"/>
                <w:color w:val="1A1A1A"/>
                <w:sz w:val="11"/>
                <w:szCs w:val="11"/>
              </w:rPr>
              <w:t xml:space="preserve">All 25 Work Packages fully specified — objective through Definition of Done.</w:t>
            </w:r>
          </w:p>
        </w:tc>
      </w:tr>
      <w:tr>
        <w:tc>
          <w:tcPr>
            <w:tcW w:type="dxa" w:w="1008"/>
            <w:tcMar>
              <w:top w:type="dxa" w:w="70"/>
              <w:left w:type="dxa" w:w="110"/>
              <w:bottom w:type="dxa" w:w="70"/>
              <w:right w:type="dxa" w:w="110"/>
            </w:tcMar>
            <w:vAlign w:val="top"/>
          </w:tcPr>
          <w:p>
            <w:r>
              <w:rPr>
                <w:b/>
                <w:bCs/>
                <w:color w:val="1A1A1A"/>
                <w:sz w:val="11"/>
                <w:szCs w:val="11"/>
              </w:rPr>
              <w:t xml:space="preserve">9</w:t>
            </w:r>
          </w:p>
        </w:tc>
        <w:tc>
          <w:tcPr>
            <w:tcW w:type="dxa" w:w="2822"/>
            <w:tcMar>
              <w:top w:type="dxa" w:w="70"/>
              <w:left w:type="dxa" w:w="110"/>
              <w:bottom w:type="dxa" w:w="70"/>
              <w:right w:type="dxa" w:w="110"/>
            </w:tcMar>
            <w:vAlign w:val="top"/>
          </w:tcPr>
          <w:p>
            <w:r>
              <w:rPr>
                <w:b w:val="false"/>
                <w:bCs w:val="false"/>
                <w:color w:val="1A1A1A"/>
                <w:sz w:val="11"/>
                <w:szCs w:val="11"/>
              </w:rPr>
              <w:t xml:space="preserve">Sprint Roadmap</w:t>
            </w:r>
          </w:p>
        </w:tc>
        <w:tc>
          <w:tcPr>
            <w:tcW w:type="dxa" w:w="1411"/>
            <w:tcMar>
              <w:top w:type="dxa" w:w="70"/>
              <w:left w:type="dxa" w:w="110"/>
              <w:bottom w:type="dxa" w:w="70"/>
              <w:right w:type="dxa" w:w="110"/>
            </w:tcMar>
            <w:vAlign w:val="top"/>
          </w:tcPr>
          <w:p>
            <w:r>
              <w:rPr>
                <w:b w:val="false"/>
                <w:bCs w:val="false"/>
                <w:color w:val="1A1A1A"/>
                <w:sz w:val="11"/>
                <w:szCs w:val="11"/>
              </w:rPr>
              <w:t xml:space="preserve">Ready</w:t>
            </w:r>
          </w:p>
        </w:tc>
        <w:tc>
          <w:tcPr>
            <w:tcW w:type="dxa" w:w="4838"/>
            <w:tcMar>
              <w:top w:type="dxa" w:w="70"/>
              <w:left w:type="dxa" w:w="110"/>
              <w:bottom w:type="dxa" w:w="70"/>
              <w:right w:type="dxa" w:w="110"/>
            </w:tcMar>
            <w:vAlign w:val="top"/>
          </w:tcPr>
          <w:p>
            <w:r>
              <w:rPr>
                <w:b w:val="false"/>
                <w:bCs w:val="false"/>
                <w:color w:val="1A1A1A"/>
                <w:sz w:val="11"/>
                <w:szCs w:val="11"/>
              </w:rPr>
              <w:t xml:space="preserve">20-sprint roadmap across 5 Releases; milestones mapped to Appendix O.</w:t>
            </w:r>
          </w:p>
        </w:tc>
      </w:tr>
      <w:tr>
        <w:tc>
          <w:tcPr>
            <w:tcW w:type="dxa" w:w="1008"/>
            <w:tcMar>
              <w:top w:type="dxa" w:w="70"/>
              <w:left w:type="dxa" w:w="110"/>
              <w:bottom w:type="dxa" w:w="70"/>
              <w:right w:type="dxa" w:w="110"/>
            </w:tcMar>
            <w:vAlign w:val="top"/>
          </w:tcPr>
          <w:p>
            <w:r>
              <w:rPr>
                <w:b/>
                <w:bCs/>
                <w:color w:val="1A1A1A"/>
                <w:sz w:val="11"/>
                <w:szCs w:val="11"/>
              </w:rPr>
              <w:t xml:space="preserve">10</w:t>
            </w:r>
          </w:p>
        </w:tc>
        <w:tc>
          <w:tcPr>
            <w:tcW w:type="dxa" w:w="2822"/>
            <w:tcMar>
              <w:top w:type="dxa" w:w="70"/>
              <w:left w:type="dxa" w:w="110"/>
              <w:bottom w:type="dxa" w:w="70"/>
              <w:right w:type="dxa" w:w="110"/>
            </w:tcMar>
            <w:vAlign w:val="top"/>
          </w:tcPr>
          <w:p>
            <w:r>
              <w:rPr>
                <w:b w:val="false"/>
                <w:bCs w:val="false"/>
                <w:color w:val="1A1A1A"/>
                <w:sz w:val="11"/>
                <w:szCs w:val="11"/>
              </w:rPr>
              <w:t xml:space="preserve">Master Product Backlog</w:t>
            </w:r>
          </w:p>
        </w:tc>
        <w:tc>
          <w:tcPr>
            <w:tcW w:type="dxa" w:w="1411"/>
            <w:tcMar>
              <w:top w:type="dxa" w:w="70"/>
              <w:left w:type="dxa" w:w="110"/>
              <w:bottom w:type="dxa" w:w="70"/>
              <w:right w:type="dxa" w:w="110"/>
            </w:tcMar>
            <w:vAlign w:val="top"/>
          </w:tcPr>
          <w:p>
            <w:r>
              <w:rPr>
                <w:b w:val="false"/>
                <w:bCs w:val="false"/>
                <w:color w:val="1A1A1A"/>
                <w:sz w:val="11"/>
                <w:szCs w:val="11"/>
              </w:rPr>
              <w:t xml:space="preserve">Ready</w:t>
            </w:r>
          </w:p>
        </w:tc>
        <w:tc>
          <w:tcPr>
            <w:tcW w:type="dxa" w:w="4838"/>
            <w:tcMar>
              <w:top w:type="dxa" w:w="70"/>
              <w:left w:type="dxa" w:w="110"/>
              <w:bottom w:type="dxa" w:w="70"/>
              <w:right w:type="dxa" w:w="110"/>
            </w:tcMar>
            <w:vAlign w:val="top"/>
          </w:tcPr>
          <w:p>
            <w:r>
              <w:rPr>
                <w:b w:val="false"/>
                <w:bCs w:val="false"/>
                <w:color w:val="1A1A1A"/>
                <w:sz w:val="11"/>
                <w:szCs w:val="11"/>
              </w:rPr>
              <w:t xml:space="preserve">75 user stories, 357 story points, 5 Epics, priorities assigned.</w:t>
            </w:r>
          </w:p>
        </w:tc>
      </w:tr>
      <w:tr>
        <w:tc>
          <w:tcPr>
            <w:tcW w:type="dxa" w:w="1008"/>
            <w:tcMar>
              <w:top w:type="dxa" w:w="70"/>
              <w:left w:type="dxa" w:w="110"/>
              <w:bottom w:type="dxa" w:w="70"/>
              <w:right w:type="dxa" w:w="110"/>
            </w:tcMar>
            <w:vAlign w:val="top"/>
          </w:tcPr>
          <w:p>
            <w:r>
              <w:rPr>
                <w:b/>
                <w:bCs/>
                <w:color w:val="1A1A1A"/>
                <w:sz w:val="11"/>
                <w:szCs w:val="11"/>
              </w:rPr>
              <w:t xml:space="preserve">11</w:t>
            </w:r>
          </w:p>
        </w:tc>
        <w:tc>
          <w:tcPr>
            <w:tcW w:type="dxa" w:w="2822"/>
            <w:tcMar>
              <w:top w:type="dxa" w:w="70"/>
              <w:left w:type="dxa" w:w="110"/>
              <w:bottom w:type="dxa" w:w="70"/>
              <w:right w:type="dxa" w:w="110"/>
            </w:tcMar>
            <w:vAlign w:val="top"/>
          </w:tcPr>
          <w:p>
            <w:r>
              <w:rPr>
                <w:b w:val="false"/>
                <w:bCs w:val="false"/>
                <w:color w:val="1A1A1A"/>
                <w:sz w:val="11"/>
                <w:szCs w:val="11"/>
              </w:rPr>
              <w:t xml:space="preserve">Work Package Dependency Matrix</w:t>
            </w:r>
          </w:p>
        </w:tc>
        <w:tc>
          <w:tcPr>
            <w:tcW w:type="dxa" w:w="1411"/>
            <w:tcMar>
              <w:top w:type="dxa" w:w="70"/>
              <w:left w:type="dxa" w:w="110"/>
              <w:bottom w:type="dxa" w:w="70"/>
              <w:right w:type="dxa" w:w="110"/>
            </w:tcMar>
            <w:vAlign w:val="top"/>
          </w:tcPr>
          <w:p>
            <w:r>
              <w:rPr>
                <w:b w:val="false"/>
                <w:bCs w:val="false"/>
                <w:color w:val="1A1A1A"/>
                <w:sz w:val="11"/>
                <w:szCs w:val="11"/>
              </w:rPr>
              <w:t xml:space="preserve">Ready</w:t>
            </w:r>
          </w:p>
        </w:tc>
        <w:tc>
          <w:tcPr>
            <w:tcW w:type="dxa" w:w="4838"/>
            <w:tcMar>
              <w:top w:type="dxa" w:w="70"/>
              <w:left w:type="dxa" w:w="110"/>
              <w:bottom w:type="dxa" w:w="70"/>
              <w:right w:type="dxa" w:w="110"/>
            </w:tcMar>
            <w:vAlign w:val="top"/>
          </w:tcPr>
          <w:p>
            <w:r>
              <w:rPr>
                <w:b w:val="false"/>
                <w:bCs w:val="false"/>
                <w:color w:val="1A1A1A"/>
                <w:sz w:val="11"/>
                <w:szCs w:val="11"/>
              </w:rPr>
              <w:t xml:space="preserve">Full dependency matrix and critical path identified.</w:t>
            </w:r>
          </w:p>
        </w:tc>
      </w:tr>
      <w:tr>
        <w:tc>
          <w:tcPr>
            <w:tcW w:type="dxa" w:w="1008"/>
            <w:tcMar>
              <w:top w:type="dxa" w:w="70"/>
              <w:left w:type="dxa" w:w="110"/>
              <w:bottom w:type="dxa" w:w="70"/>
              <w:right w:type="dxa" w:w="110"/>
            </w:tcMar>
            <w:vAlign w:val="top"/>
          </w:tcPr>
          <w:p>
            <w:r>
              <w:rPr>
                <w:b/>
                <w:bCs/>
                <w:color w:val="1A1A1A"/>
                <w:sz w:val="11"/>
                <w:szCs w:val="11"/>
              </w:rPr>
              <w:t xml:space="preserve">12</w:t>
            </w:r>
          </w:p>
        </w:tc>
        <w:tc>
          <w:tcPr>
            <w:tcW w:type="dxa" w:w="2822"/>
            <w:tcMar>
              <w:top w:type="dxa" w:w="70"/>
              <w:left w:type="dxa" w:w="110"/>
              <w:bottom w:type="dxa" w:w="70"/>
              <w:right w:type="dxa" w:w="110"/>
            </w:tcMar>
            <w:vAlign w:val="top"/>
          </w:tcPr>
          <w:p>
            <w:r>
              <w:rPr>
                <w:b w:val="false"/>
                <w:bCs w:val="false"/>
                <w:color w:val="1A1A1A"/>
                <w:sz w:val="11"/>
                <w:szCs w:val="11"/>
              </w:rPr>
              <w:t xml:space="preserve">Master Prompt Library</w:t>
            </w:r>
          </w:p>
        </w:tc>
        <w:tc>
          <w:tcPr>
            <w:tcW w:type="dxa" w:w="1411"/>
            <w:tcMar>
              <w:top w:type="dxa" w:w="70"/>
              <w:left w:type="dxa" w:w="110"/>
              <w:bottom w:type="dxa" w:w="70"/>
              <w:right w:type="dxa" w:w="110"/>
            </w:tcMar>
            <w:vAlign w:val="top"/>
          </w:tcPr>
          <w:p>
            <w:r>
              <w:rPr>
                <w:b w:val="false"/>
                <w:bCs w:val="false"/>
                <w:color w:val="1A1A1A"/>
                <w:sz w:val="11"/>
                <w:szCs w:val="11"/>
              </w:rPr>
              <w:t xml:space="preserve">Ready</w:t>
            </w:r>
          </w:p>
        </w:tc>
        <w:tc>
          <w:tcPr>
            <w:tcW w:type="dxa" w:w="4838"/>
            <w:tcMar>
              <w:top w:type="dxa" w:w="70"/>
              <w:left w:type="dxa" w:w="110"/>
              <w:bottom w:type="dxa" w:w="70"/>
              <w:right w:type="dxa" w:w="110"/>
            </w:tcMar>
            <w:vAlign w:val="top"/>
          </w:tcPr>
          <w:p>
            <w:r>
              <w:rPr>
                <w:b w:val="false"/>
                <w:bCs w:val="false"/>
                <w:color w:val="1A1A1A"/>
                <w:sz w:val="11"/>
                <w:szCs w:val="11"/>
              </w:rPr>
              <w:t xml:space="preserve">Master execution prompt with 3 worked examples.</w:t>
            </w:r>
          </w:p>
        </w:tc>
      </w:tr>
      <w:tr>
        <w:tc>
          <w:tcPr>
            <w:tcW w:type="dxa" w:w="1008"/>
            <w:tcMar>
              <w:top w:type="dxa" w:w="70"/>
              <w:left w:type="dxa" w:w="110"/>
              <w:bottom w:type="dxa" w:w="70"/>
              <w:right w:type="dxa" w:w="110"/>
            </w:tcMar>
            <w:vAlign w:val="top"/>
          </w:tcPr>
          <w:p>
            <w:r>
              <w:rPr>
                <w:b/>
                <w:bCs/>
                <w:color w:val="1A1A1A"/>
                <w:sz w:val="11"/>
                <w:szCs w:val="11"/>
              </w:rPr>
              <w:t xml:space="preserve">13</w:t>
            </w:r>
          </w:p>
        </w:tc>
        <w:tc>
          <w:tcPr>
            <w:tcW w:type="dxa" w:w="2822"/>
            <w:tcMar>
              <w:top w:type="dxa" w:w="70"/>
              <w:left w:type="dxa" w:w="110"/>
              <w:bottom w:type="dxa" w:w="70"/>
              <w:right w:type="dxa" w:w="110"/>
            </w:tcMar>
            <w:vAlign w:val="top"/>
          </w:tcPr>
          <w:p>
            <w:r>
              <w:rPr>
                <w:b w:val="false"/>
                <w:bCs w:val="false"/>
                <w:color w:val="1A1A1A"/>
                <w:sz w:val="11"/>
                <w:szCs w:val="11"/>
              </w:rPr>
              <w:t xml:space="preserve">Engineering Execution Playbook</w:t>
            </w:r>
          </w:p>
        </w:tc>
        <w:tc>
          <w:tcPr>
            <w:tcW w:type="dxa" w:w="1411"/>
            <w:tcMar>
              <w:top w:type="dxa" w:w="70"/>
              <w:left w:type="dxa" w:w="110"/>
              <w:bottom w:type="dxa" w:w="70"/>
              <w:right w:type="dxa" w:w="110"/>
            </w:tcMar>
            <w:vAlign w:val="top"/>
          </w:tcPr>
          <w:p>
            <w:r>
              <w:rPr>
                <w:b w:val="false"/>
                <w:bCs w:val="false"/>
                <w:color w:val="1A1A1A"/>
                <w:sz w:val="11"/>
                <w:szCs w:val="11"/>
              </w:rPr>
              <w:t xml:space="preserve">Ready</w:t>
            </w:r>
          </w:p>
        </w:tc>
        <w:tc>
          <w:tcPr>
            <w:tcW w:type="dxa" w:w="4838"/>
            <w:tcMar>
              <w:top w:type="dxa" w:w="70"/>
              <w:left w:type="dxa" w:w="110"/>
              <w:bottom w:type="dxa" w:w="70"/>
              <w:right w:type="dxa" w:w="110"/>
            </w:tcMar>
            <w:vAlign w:val="top"/>
          </w:tcPr>
          <w:p>
            <w:r>
              <w:rPr>
                <w:b w:val="false"/>
                <w:bCs w:val="false"/>
                <w:color w:val="1A1A1A"/>
                <w:sz w:val="11"/>
                <w:szCs w:val="11"/>
              </w:rPr>
              <w:t xml:space="preserve">Daily cycle, WP lifecycle, branching, escalation, and ceremonies defined.</w:t>
            </w:r>
          </w:p>
        </w:tc>
      </w:tr>
      <w:tr>
        <w:tc>
          <w:tcPr>
            <w:tcW w:type="dxa" w:w="1008"/>
            <w:tcMar>
              <w:top w:type="dxa" w:w="70"/>
              <w:left w:type="dxa" w:w="110"/>
              <w:bottom w:type="dxa" w:w="70"/>
              <w:right w:type="dxa" w:w="110"/>
            </w:tcMar>
            <w:vAlign w:val="top"/>
          </w:tcPr>
          <w:p>
            <w:r>
              <w:rPr>
                <w:b/>
                <w:bCs/>
                <w:color w:val="1A1A1A"/>
                <w:sz w:val="11"/>
                <w:szCs w:val="11"/>
              </w:rPr>
              <w:t xml:space="preserve">14</w:t>
            </w:r>
          </w:p>
        </w:tc>
        <w:tc>
          <w:tcPr>
            <w:tcW w:type="dxa" w:w="2822"/>
            <w:tcMar>
              <w:top w:type="dxa" w:w="70"/>
              <w:left w:type="dxa" w:w="110"/>
              <w:bottom w:type="dxa" w:w="70"/>
              <w:right w:type="dxa" w:w="110"/>
            </w:tcMar>
            <w:vAlign w:val="top"/>
          </w:tcPr>
          <w:p>
            <w:r>
              <w:rPr>
                <w:b w:val="false"/>
                <w:bCs w:val="false"/>
                <w:color w:val="1A1A1A"/>
                <w:sz w:val="11"/>
                <w:szCs w:val="11"/>
              </w:rPr>
              <w:t xml:space="preserve">Quality Gates &amp; Acceptance Framework</w:t>
            </w:r>
          </w:p>
        </w:tc>
        <w:tc>
          <w:tcPr>
            <w:tcW w:type="dxa" w:w="1411"/>
            <w:tcMar>
              <w:top w:type="dxa" w:w="70"/>
              <w:left w:type="dxa" w:w="110"/>
              <w:bottom w:type="dxa" w:w="70"/>
              <w:right w:type="dxa" w:w="110"/>
            </w:tcMar>
            <w:vAlign w:val="top"/>
          </w:tcPr>
          <w:p>
            <w:r>
              <w:rPr>
                <w:b w:val="false"/>
                <w:bCs w:val="false"/>
                <w:color w:val="1A1A1A"/>
                <w:sz w:val="11"/>
                <w:szCs w:val="11"/>
              </w:rPr>
              <w:t xml:space="preserve">Ready</w:t>
            </w:r>
          </w:p>
        </w:tc>
        <w:tc>
          <w:tcPr>
            <w:tcW w:type="dxa" w:w="4838"/>
            <w:tcMar>
              <w:top w:type="dxa" w:w="70"/>
              <w:left w:type="dxa" w:w="110"/>
              <w:bottom w:type="dxa" w:w="70"/>
              <w:right w:type="dxa" w:w="110"/>
            </w:tcMar>
            <w:vAlign w:val="top"/>
          </w:tcPr>
          <w:p>
            <w:r>
              <w:rPr>
                <w:b w:val="false"/>
                <w:bCs w:val="false"/>
                <w:color w:val="1A1A1A"/>
                <w:sz w:val="11"/>
                <w:szCs w:val="11"/>
              </w:rPr>
              <w:t xml:space="preserve">Four-tier gate model consolidating all prior gates.</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3F0E8" w:sz="2"/>
              <w:left w:val="single" w:color="97771F" w:sz="24"/>
              <w:bottom w:val="single" w:color="F3F0E8" w:sz="2"/>
              <w:right w:val="single" w:color="F3F0E8" w:sz="2"/>
            </w:tcBorders>
            <w:shd w:fill="F3F0E8" w:val="clear"/>
            <w:tcMar>
              <w:top w:type="dxa" w:w="120"/>
              <w:left w:type="dxa" w:w="180"/>
              <w:bottom w:type="dxa" w:w="120"/>
              <w:right w:type="dxa" w:w="180"/>
            </w:tcMar>
          </w:tcPr>
          <w:p>
            <w:pPr>
              <w:spacing w:after="60"/>
            </w:pPr>
            <w:r>
              <w:rPr>
                <w:b/>
                <w:bCs/>
                <w:color w:val="97771F"/>
                <w:sz w:val="17"/>
                <w:szCs w:val="17"/>
              </w:rPr>
              <w:t xml:space="preserve">NOTE</w:t>
            </w:r>
          </w:p>
          <w:p>
            <w:pPr>
              <w:spacing w:after="0"/>
            </w:pPr>
            <w:r>
              <w:rPr>
                <w:sz w:val="18"/>
                <w:szCs w:val="18"/>
              </w:rPr>
              <w:t xml:space="preserve">Engineering Planning Readiness rating: Ready — 14 of 14 prior Parts confirmed complete and cross-referenced without contradiction.</w:t>
            </w:r>
          </w:p>
        </w:tc>
      </w:tr>
    </w:tbl>
    <w:p>
      <w:pPr>
        <w:pStyle w:val="Heading1"/>
        <w:pBdr>
          <w:bottom w:val="single" w:color="DAD3C0" w:sz="4" w:space="4"/>
        </w:pBdr>
        <w:spacing w:after="140" w:before="360"/>
      </w:pPr>
      <w:r>
        <w:rPr>
          <w:b/>
          <w:bCs/>
          <w:color w:val="97771F"/>
          <w:sz w:val="26"/>
          <w:szCs w:val="26"/>
        </w:rPr>
        <w:t xml:space="preserve">15.4  </w:t>
      </w:r>
      <w:r>
        <w:rPr>
          <w:b/>
          <w:bCs/>
          <w:color w:val="33363C"/>
          <w:sz w:val="26"/>
          <w:szCs w:val="26"/>
        </w:rPr>
        <w:t xml:space="preserve">Tooling &amp; Environment Readiness</w:t>
      </w:r>
    </w:p>
    <w:tbl>
      <w:tblPr>
        <w:tblW w:type="dxa" w:w="10080"/>
        <w:tblBorders>
          <w:top w:val="single" w:color="DAD3C0" w:sz="4"/>
          <w:left w:val="single" w:color="DAD3C0" w:sz="4"/>
          <w:bottom w:val="single" w:color="DAD3C0" w:sz="4"/>
          <w:right w:val="single" w:color="DAD3C0" w:sz="4"/>
          <w:insideH w:val="single" w:color="DAD3C0" w:sz="2"/>
          <w:insideV w:val="single" w:color="DAD3C0" w:sz="2"/>
        </w:tblBorders>
      </w:tblPr>
      <w:tblGrid>
        <w:gridCol w:w="2621"/>
        <w:gridCol w:w="7459"/>
      </w:tblGrid>
      <w:tr>
        <w:tc>
          <w:tcPr>
            <w:tcW w:type="dxa" w:w="2621"/>
            <w:shd w:fill="F3F0E8" w:val="clear"/>
            <w:tcMar>
              <w:top w:type="dxa" w:w="80"/>
              <w:left w:type="dxa" w:w="120"/>
              <w:bottom w:type="dxa" w:w="80"/>
              <w:right w:type="dxa" w:w="120"/>
            </w:tcMar>
            <w:vAlign w:val="top"/>
          </w:tcPr>
          <w:p>
            <w:r>
              <w:rPr>
                <w:b/>
                <w:bCs/>
                <w:color w:val="33363C"/>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Confirm what infrastructure must exist, in reality, before Sprint 1 can begin.</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Distinguishes 'planned' from 'provisioned' — a gap that causes real schedule risk if not tracked honestly.</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WP-01, WP-02, and WP-03 fully specify what must be built; none of the three has been executed as of this assessment.</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An explicit, owned action list — not a false assumption that infrastructure already exists.</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34"/>
        <w:gridCol w:w="2822"/>
        <w:gridCol w:w="3024"/>
      </w:tblGrid>
      <w:tr>
        <w:trPr>
          <w:tblHeader/>
        </w:trPr>
        <w:tc>
          <w:tcPr>
            <w:tcW w:type="dxa" w:w="4234"/>
            <w:shd w:fill="33363C" w:val="clear"/>
            <w:tcMar>
              <w:top w:type="dxa" w:w="70"/>
              <w:left w:type="dxa" w:w="110"/>
              <w:bottom w:type="dxa" w:w="70"/>
              <w:right w:type="dxa" w:w="110"/>
            </w:tcMar>
            <w:vAlign w:val="top"/>
          </w:tcPr>
          <w:p>
            <w:r>
              <w:rPr>
                <w:b/>
                <w:bCs/>
                <w:color w:val="FFFFFF"/>
                <w:sz w:val="17"/>
                <w:szCs w:val="17"/>
              </w:rPr>
              <w:t xml:space="preserve">Item</w:t>
            </w:r>
          </w:p>
        </w:tc>
        <w:tc>
          <w:tcPr>
            <w:tcW w:type="dxa" w:w="2822"/>
            <w:shd w:fill="33363C" w:val="clear"/>
            <w:tcMar>
              <w:top w:type="dxa" w:w="70"/>
              <w:left w:type="dxa" w:w="110"/>
              <w:bottom w:type="dxa" w:w="70"/>
              <w:right w:type="dxa" w:w="110"/>
            </w:tcMar>
            <w:vAlign w:val="top"/>
          </w:tcPr>
          <w:p>
            <w:r>
              <w:rPr>
                <w:b/>
                <w:bCs/>
                <w:color w:val="FFFFFF"/>
                <w:sz w:val="17"/>
                <w:szCs w:val="17"/>
              </w:rPr>
              <w:t xml:space="preserve">Status</w:t>
            </w:r>
          </w:p>
        </w:tc>
        <w:tc>
          <w:tcPr>
            <w:tcW w:type="dxa" w:w="3024"/>
            <w:shd w:fill="33363C" w:val="clear"/>
            <w:tcMar>
              <w:top w:type="dxa" w:w="70"/>
              <w:left w:type="dxa" w:w="110"/>
              <w:bottom w:type="dxa" w:w="70"/>
              <w:right w:type="dxa" w:w="110"/>
            </w:tcMar>
            <w:vAlign w:val="top"/>
          </w:tcPr>
          <w:p>
            <w:r>
              <w:rPr>
                <w:b/>
                <w:bCs/>
                <w:color w:val="FFFFFF"/>
                <w:sz w:val="17"/>
                <w:szCs w:val="17"/>
              </w:rPr>
              <w:t xml:space="preserve">Closed Out By</w:t>
            </w:r>
          </w:p>
        </w:tc>
      </w:tr>
      <w:tr>
        <w:tc>
          <w:tcPr>
            <w:tcW w:type="dxa" w:w="4234"/>
            <w:tcMar>
              <w:top w:type="dxa" w:w="70"/>
              <w:left w:type="dxa" w:w="110"/>
              <w:bottom w:type="dxa" w:w="70"/>
              <w:right w:type="dxa" w:w="110"/>
            </w:tcMar>
            <w:vAlign w:val="top"/>
          </w:tcPr>
          <w:p>
            <w:r>
              <w:rPr>
                <w:b/>
                <w:bCs/>
                <w:color w:val="1A1A1A"/>
                <w:sz w:val="12"/>
                <w:szCs w:val="12"/>
              </w:rPr>
              <w:t xml:space="preserve">Source control repository provisioned</w:t>
            </w:r>
          </w:p>
        </w:tc>
        <w:tc>
          <w:tcPr>
            <w:tcW w:type="dxa" w:w="2822"/>
            <w:tcMar>
              <w:top w:type="dxa" w:w="70"/>
              <w:left w:type="dxa" w:w="110"/>
              <w:bottom w:type="dxa" w:w="70"/>
              <w:right w:type="dxa" w:w="110"/>
            </w:tcMar>
            <w:vAlign w:val="top"/>
          </w:tcPr>
          <w:p>
            <w:r>
              <w:rPr>
                <w:b w:val="false"/>
                <w:bCs w:val="false"/>
                <w:color w:val="1A1A1A"/>
                <w:sz w:val="12"/>
                <w:szCs w:val="12"/>
              </w:rPr>
              <w:t xml:space="preserve">Scoped — Pending Execution</w:t>
            </w:r>
          </w:p>
        </w:tc>
        <w:tc>
          <w:tcPr>
            <w:tcW w:type="dxa" w:w="3024"/>
            <w:tcMar>
              <w:top w:type="dxa" w:w="70"/>
              <w:left w:type="dxa" w:w="110"/>
              <w:bottom w:type="dxa" w:w="70"/>
              <w:right w:type="dxa" w:w="110"/>
            </w:tcMar>
            <w:vAlign w:val="top"/>
          </w:tcPr>
          <w:p>
            <w:r>
              <w:rPr>
                <w:b w:val="false"/>
                <w:bCs w:val="false"/>
                <w:color w:val="1A1A1A"/>
                <w:sz w:val="12"/>
                <w:szCs w:val="12"/>
              </w:rPr>
              <w:t xml:space="preserve">Sprint 0 (Part 9)</w:t>
            </w:r>
          </w:p>
        </w:tc>
      </w:tr>
      <w:tr>
        <w:tc>
          <w:tcPr>
            <w:tcW w:type="dxa" w:w="4234"/>
            <w:tcMar>
              <w:top w:type="dxa" w:w="70"/>
              <w:left w:type="dxa" w:w="110"/>
              <w:bottom w:type="dxa" w:w="70"/>
              <w:right w:type="dxa" w:w="110"/>
            </w:tcMar>
            <w:vAlign w:val="top"/>
          </w:tcPr>
          <w:p>
            <w:r>
              <w:rPr>
                <w:b/>
                <w:bCs/>
                <w:color w:val="1A1A1A"/>
                <w:sz w:val="12"/>
                <w:szCs w:val="12"/>
              </w:rPr>
              <w:t xml:space="preserve">CI/CD pipeline platform selected and accessible</w:t>
            </w:r>
          </w:p>
        </w:tc>
        <w:tc>
          <w:tcPr>
            <w:tcW w:type="dxa" w:w="2822"/>
            <w:tcMar>
              <w:top w:type="dxa" w:w="70"/>
              <w:left w:type="dxa" w:w="110"/>
              <w:bottom w:type="dxa" w:w="70"/>
              <w:right w:type="dxa" w:w="110"/>
            </w:tcMar>
            <w:vAlign w:val="top"/>
          </w:tcPr>
          <w:p>
            <w:r>
              <w:rPr>
                <w:b w:val="false"/>
                <w:bCs w:val="false"/>
                <w:color w:val="1A1A1A"/>
                <w:sz w:val="12"/>
                <w:szCs w:val="12"/>
              </w:rPr>
              <w:t xml:space="preserve">Scoped — Pending Execution</w:t>
            </w:r>
          </w:p>
        </w:tc>
        <w:tc>
          <w:tcPr>
            <w:tcW w:type="dxa" w:w="3024"/>
            <w:tcMar>
              <w:top w:type="dxa" w:w="70"/>
              <w:left w:type="dxa" w:w="110"/>
              <w:bottom w:type="dxa" w:w="70"/>
              <w:right w:type="dxa" w:w="110"/>
            </w:tcMar>
            <w:vAlign w:val="top"/>
          </w:tcPr>
          <w:p>
            <w:r>
              <w:rPr>
                <w:b w:val="false"/>
                <w:bCs w:val="false"/>
                <w:color w:val="1A1A1A"/>
                <w:sz w:val="12"/>
                <w:szCs w:val="12"/>
              </w:rPr>
              <w:t xml:space="preserve">Sprint 0 exit criteria; WP-03 (Sprint 2)</w:t>
            </w:r>
          </w:p>
        </w:tc>
      </w:tr>
      <w:tr>
        <w:tc>
          <w:tcPr>
            <w:tcW w:type="dxa" w:w="4234"/>
            <w:tcMar>
              <w:top w:type="dxa" w:w="70"/>
              <w:left w:type="dxa" w:w="110"/>
              <w:bottom w:type="dxa" w:w="70"/>
              <w:right w:type="dxa" w:w="110"/>
            </w:tcMar>
            <w:vAlign w:val="top"/>
          </w:tcPr>
          <w:p>
            <w:r>
              <w:rPr>
                <w:b/>
                <w:bCs/>
                <w:color w:val="1A1A1A"/>
                <w:sz w:val="12"/>
                <w:szCs w:val="12"/>
              </w:rPr>
              <w:t xml:space="preserve">Development, staging, and production environments provisioned</w:t>
            </w:r>
          </w:p>
        </w:tc>
        <w:tc>
          <w:tcPr>
            <w:tcW w:type="dxa" w:w="2822"/>
            <w:tcMar>
              <w:top w:type="dxa" w:w="70"/>
              <w:left w:type="dxa" w:w="110"/>
              <w:bottom w:type="dxa" w:w="70"/>
              <w:right w:type="dxa" w:w="110"/>
            </w:tcMar>
            <w:vAlign w:val="top"/>
          </w:tcPr>
          <w:p>
            <w:r>
              <w:rPr>
                <w:b w:val="false"/>
                <w:bCs w:val="false"/>
                <w:color w:val="1A1A1A"/>
                <w:sz w:val="12"/>
                <w:szCs w:val="12"/>
              </w:rPr>
              <w:t xml:space="preserve">Scoped — Pending Execution</w:t>
            </w:r>
          </w:p>
        </w:tc>
        <w:tc>
          <w:tcPr>
            <w:tcW w:type="dxa" w:w="3024"/>
            <w:tcMar>
              <w:top w:type="dxa" w:w="70"/>
              <w:left w:type="dxa" w:w="110"/>
              <w:bottom w:type="dxa" w:w="70"/>
              <w:right w:type="dxa" w:w="110"/>
            </w:tcMar>
            <w:vAlign w:val="top"/>
          </w:tcPr>
          <w:p>
            <w:r>
              <w:rPr>
                <w:b w:val="false"/>
                <w:bCs w:val="false"/>
                <w:color w:val="1A1A1A"/>
                <w:sz w:val="12"/>
                <w:szCs w:val="12"/>
              </w:rPr>
              <w:t xml:space="preserve">WP-03 (Sprint 2); PDIB Part 13</w:t>
            </w:r>
          </w:p>
        </w:tc>
      </w:tr>
      <w:tr>
        <w:tc>
          <w:tcPr>
            <w:tcW w:type="dxa" w:w="4234"/>
            <w:tcMar>
              <w:top w:type="dxa" w:w="70"/>
              <w:left w:type="dxa" w:w="110"/>
              <w:bottom w:type="dxa" w:w="70"/>
              <w:right w:type="dxa" w:w="110"/>
            </w:tcMar>
            <w:vAlign w:val="top"/>
          </w:tcPr>
          <w:p>
            <w:r>
              <w:rPr>
                <w:b/>
                <w:bCs/>
                <w:color w:val="1A1A1A"/>
                <w:sz w:val="12"/>
                <w:szCs w:val="12"/>
              </w:rPr>
              <w:t xml:space="preserve">Secrets vault available</w:t>
            </w:r>
          </w:p>
        </w:tc>
        <w:tc>
          <w:tcPr>
            <w:tcW w:type="dxa" w:w="2822"/>
            <w:tcMar>
              <w:top w:type="dxa" w:w="70"/>
              <w:left w:type="dxa" w:w="110"/>
              <w:bottom w:type="dxa" w:w="70"/>
              <w:right w:type="dxa" w:w="110"/>
            </w:tcMar>
            <w:vAlign w:val="top"/>
          </w:tcPr>
          <w:p>
            <w:r>
              <w:rPr>
                <w:b w:val="false"/>
                <w:bCs w:val="false"/>
                <w:color w:val="1A1A1A"/>
                <w:sz w:val="12"/>
                <w:szCs w:val="12"/>
              </w:rPr>
              <w:t xml:space="preserve">Scoped — Pending Execution</w:t>
            </w:r>
          </w:p>
        </w:tc>
        <w:tc>
          <w:tcPr>
            <w:tcW w:type="dxa" w:w="3024"/>
            <w:tcMar>
              <w:top w:type="dxa" w:w="70"/>
              <w:left w:type="dxa" w:w="110"/>
              <w:bottom w:type="dxa" w:w="70"/>
              <w:right w:type="dxa" w:w="110"/>
            </w:tcMar>
            <w:vAlign w:val="top"/>
          </w:tcPr>
          <w:p>
            <w:r>
              <w:rPr>
                <w:b w:val="false"/>
                <w:bCs w:val="false"/>
                <w:color w:val="1A1A1A"/>
                <w:sz w:val="12"/>
                <w:szCs w:val="12"/>
              </w:rPr>
              <w:t xml:space="preserve">WP-03 (Sprint 2)</w:t>
            </w:r>
          </w:p>
        </w:tc>
      </w:tr>
      <w:tr>
        <w:tc>
          <w:tcPr>
            <w:tcW w:type="dxa" w:w="4234"/>
            <w:tcMar>
              <w:top w:type="dxa" w:w="70"/>
              <w:left w:type="dxa" w:w="110"/>
              <w:bottom w:type="dxa" w:w="70"/>
              <w:right w:type="dxa" w:w="110"/>
            </w:tcMar>
            <w:vAlign w:val="top"/>
          </w:tcPr>
          <w:p>
            <w:r>
              <w:rPr>
                <w:b/>
                <w:bCs/>
                <w:color w:val="1A1A1A"/>
                <w:sz w:val="12"/>
                <w:szCs w:val="12"/>
              </w:rPr>
              <w:t xml:space="preserve">Database platform selected and accessible</w:t>
            </w:r>
          </w:p>
        </w:tc>
        <w:tc>
          <w:tcPr>
            <w:tcW w:type="dxa" w:w="2822"/>
            <w:tcMar>
              <w:top w:type="dxa" w:w="70"/>
              <w:left w:type="dxa" w:w="110"/>
              <w:bottom w:type="dxa" w:w="70"/>
              <w:right w:type="dxa" w:w="110"/>
            </w:tcMar>
            <w:vAlign w:val="top"/>
          </w:tcPr>
          <w:p>
            <w:r>
              <w:rPr>
                <w:b w:val="false"/>
                <w:bCs w:val="false"/>
                <w:color w:val="1A1A1A"/>
                <w:sz w:val="12"/>
                <w:szCs w:val="12"/>
              </w:rPr>
              <w:t xml:space="preserve">Scoped — Pending Execution</w:t>
            </w:r>
          </w:p>
        </w:tc>
        <w:tc>
          <w:tcPr>
            <w:tcW w:type="dxa" w:w="3024"/>
            <w:tcMar>
              <w:top w:type="dxa" w:w="70"/>
              <w:left w:type="dxa" w:w="110"/>
              <w:bottom w:type="dxa" w:w="70"/>
              <w:right w:type="dxa" w:w="110"/>
            </w:tcMar>
            <w:vAlign w:val="top"/>
          </w:tcPr>
          <w:p>
            <w:r>
              <w:rPr>
                <w:b w:val="false"/>
                <w:bCs w:val="false"/>
                <w:color w:val="1A1A1A"/>
                <w:sz w:val="12"/>
                <w:szCs w:val="12"/>
              </w:rPr>
              <w:t xml:space="preserve">Sprint 0 exit criteria; WP-01 (Sprint 1)</w:t>
            </w:r>
          </w:p>
        </w:tc>
      </w:tr>
      <w:tr>
        <w:tc>
          <w:tcPr>
            <w:tcW w:type="dxa" w:w="4234"/>
            <w:tcMar>
              <w:top w:type="dxa" w:w="70"/>
              <w:left w:type="dxa" w:w="110"/>
              <w:bottom w:type="dxa" w:w="70"/>
              <w:right w:type="dxa" w:w="110"/>
            </w:tcMar>
            <w:vAlign w:val="top"/>
          </w:tcPr>
          <w:p>
            <w:r>
              <w:rPr>
                <w:b/>
                <w:bCs/>
                <w:color w:val="1A1A1A"/>
                <w:sz w:val="12"/>
                <w:szCs w:val="12"/>
              </w:rPr>
              <w:t xml:space="preserve">Antigravity access and permissions configured</w:t>
            </w:r>
          </w:p>
        </w:tc>
        <w:tc>
          <w:tcPr>
            <w:tcW w:type="dxa" w:w="2822"/>
            <w:tcMar>
              <w:top w:type="dxa" w:w="70"/>
              <w:left w:type="dxa" w:w="110"/>
              <w:bottom w:type="dxa" w:w="70"/>
              <w:right w:type="dxa" w:w="110"/>
            </w:tcMar>
            <w:vAlign w:val="top"/>
          </w:tcPr>
          <w:p>
            <w:r>
              <w:rPr>
                <w:b w:val="false"/>
                <w:bCs w:val="false"/>
                <w:color w:val="1A1A1A"/>
                <w:sz w:val="12"/>
                <w:szCs w:val="12"/>
              </w:rPr>
              <w:t xml:space="preserve">Scoped — Pending Execution</w:t>
            </w:r>
          </w:p>
        </w:tc>
        <w:tc>
          <w:tcPr>
            <w:tcW w:type="dxa" w:w="3024"/>
            <w:tcMar>
              <w:top w:type="dxa" w:w="70"/>
              <w:left w:type="dxa" w:w="110"/>
              <w:bottom w:type="dxa" w:w="70"/>
              <w:right w:type="dxa" w:w="110"/>
            </w:tcMar>
            <w:vAlign w:val="top"/>
          </w:tcPr>
          <w:p>
            <w:r>
              <w:rPr>
                <w:b w:val="false"/>
                <w:bCs w:val="false"/>
                <w:color w:val="1A1A1A"/>
                <w:sz w:val="12"/>
                <w:szCs w:val="12"/>
              </w:rPr>
              <w:t xml:space="preserve">Sprint 0 exit criteria (Part 9, Sprint 0)</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BF0DD" w:sz="2"/>
              <w:left w:val="single" w:color="B8860B" w:sz="24"/>
              <w:bottom w:val="single" w:color="FBF0DD" w:sz="2"/>
              <w:right w:val="single" w:color="FBF0DD" w:sz="2"/>
            </w:tcBorders>
            <w:shd w:fill="FBF0DD" w:val="clear"/>
            <w:tcMar>
              <w:top w:type="dxa" w:w="120"/>
              <w:left w:type="dxa" w:w="180"/>
              <w:bottom w:type="dxa" w:w="120"/>
              <w:right w:type="dxa" w:w="180"/>
            </w:tcMar>
          </w:tcPr>
          <w:p>
            <w:pPr>
              <w:spacing w:after="60"/>
            </w:pPr>
            <w:r>
              <w:rPr>
                <w:b/>
                <w:bCs/>
                <w:color w:val="B8860B"/>
                <w:sz w:val="17"/>
                <w:szCs w:val="17"/>
              </w:rPr>
              <w:t xml:space="preserve">IMPORTANT</w:t>
            </w:r>
          </w:p>
          <w:p>
            <w:pPr>
              <w:spacing w:after="0"/>
            </w:pPr>
            <w:r>
              <w:rPr>
                <w:sz w:val="18"/>
                <w:szCs w:val="18"/>
              </w:rPr>
              <w:t xml:space="preserve">Tooling &amp; Environment Readiness rating: Scoped — Pending Execution. This is not a gap in the MEKB — it is the correctly-scoped purpose of Sprint 0 (Part 9), whose own Exit Criteria already require these items resolved before Sprint 1 begins. This assessment confirms Sprint 0 is properly scoped to close this category, not that the category is already closed.</w:t>
            </w:r>
          </w:p>
        </w:tc>
      </w:tr>
    </w:tbl>
    <w:p>
      <w:pPr>
        <w:pStyle w:val="Heading1"/>
        <w:pBdr>
          <w:bottom w:val="single" w:color="DAD3C0" w:sz="4" w:space="4"/>
        </w:pBdr>
        <w:spacing w:after="140" w:before="360"/>
      </w:pPr>
      <w:r>
        <w:rPr>
          <w:b/>
          <w:bCs/>
          <w:color w:val="97771F"/>
          <w:sz w:val="26"/>
          <w:szCs w:val="26"/>
        </w:rPr>
        <w:t xml:space="preserve">15.5  </w:t>
      </w:r>
      <w:r>
        <w:rPr>
          <w:b/>
          <w:bCs/>
          <w:color w:val="33363C"/>
          <w:sz w:val="26"/>
          <w:szCs w:val="26"/>
        </w:rPr>
        <w:t xml:space="preserve">Team &amp; Governance Readiness</w:t>
      </w:r>
    </w:p>
    <w:tbl>
      <w:tblPr>
        <w:tblW w:type="dxa" w:w="10080"/>
        <w:tblBorders>
          <w:top w:val="single" w:color="DAD3C0" w:sz="4"/>
          <w:left w:val="single" w:color="DAD3C0" w:sz="4"/>
          <w:bottom w:val="single" w:color="DAD3C0" w:sz="4"/>
          <w:right w:val="single" w:color="DAD3C0" w:sz="4"/>
          <w:insideH w:val="single" w:color="DAD3C0" w:sz="2"/>
          <w:insideV w:val="single" w:color="DAD3C0" w:sz="2"/>
        </w:tblBorders>
      </w:tblPr>
      <w:tblGrid>
        <w:gridCol w:w="2621"/>
        <w:gridCol w:w="7459"/>
      </w:tblGrid>
      <w:tr>
        <w:tc>
          <w:tcPr>
            <w:tcW w:type="dxa" w:w="2621"/>
            <w:shd w:fill="F3F0E8" w:val="clear"/>
            <w:tcMar>
              <w:top w:type="dxa" w:w="80"/>
              <w:left w:type="dxa" w:w="120"/>
              <w:bottom w:type="dxa" w:w="80"/>
              <w:right w:type="dxa" w:w="120"/>
            </w:tcMar>
            <w:vAlign w:val="top"/>
          </w:tcPr>
          <w:p>
            <w:r>
              <w:rPr>
                <w:b/>
                <w:bCs/>
                <w:color w:val="33363C"/>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Confirm the human roles and approval authorities this MEKB depends on are actually staffed and empowered.</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A Work Package cannot reach Definition of Done without its named signatory being an actual, available person.</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Roles and authorities are fully defined in Part 2 (Responsible Roles) and Appendix O (Approval Authority Matrix); this section confirms staffing, not definition.</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Every role referenced across the 25 Work Packages' Definition of Done fields confirmed staffed before Sprint 1.</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435"/>
        <w:gridCol w:w="2621"/>
        <w:gridCol w:w="3024"/>
      </w:tblGrid>
      <w:tr>
        <w:trPr>
          <w:tblHeader/>
        </w:trPr>
        <w:tc>
          <w:tcPr>
            <w:tcW w:type="dxa" w:w="4435"/>
            <w:shd w:fill="33363C" w:val="clear"/>
            <w:tcMar>
              <w:top w:type="dxa" w:w="70"/>
              <w:left w:type="dxa" w:w="110"/>
              <w:bottom w:type="dxa" w:w="70"/>
              <w:right w:type="dxa" w:w="110"/>
            </w:tcMar>
            <w:vAlign w:val="top"/>
          </w:tcPr>
          <w:p>
            <w:r>
              <w:rPr>
                <w:b/>
                <w:bCs/>
                <w:color w:val="FFFFFF"/>
                <w:sz w:val="17"/>
                <w:szCs w:val="17"/>
              </w:rPr>
              <w:t xml:space="preserve">Item</w:t>
            </w:r>
          </w:p>
        </w:tc>
        <w:tc>
          <w:tcPr>
            <w:tcW w:type="dxa" w:w="2621"/>
            <w:shd w:fill="33363C" w:val="clear"/>
            <w:tcMar>
              <w:top w:type="dxa" w:w="70"/>
              <w:left w:type="dxa" w:w="110"/>
              <w:bottom w:type="dxa" w:w="70"/>
              <w:right w:type="dxa" w:w="110"/>
            </w:tcMar>
            <w:vAlign w:val="top"/>
          </w:tcPr>
          <w:p>
            <w:r>
              <w:rPr>
                <w:b/>
                <w:bCs/>
                <w:color w:val="FFFFFF"/>
                <w:sz w:val="17"/>
                <w:szCs w:val="17"/>
              </w:rPr>
              <w:t xml:space="preserve">Status</w:t>
            </w:r>
          </w:p>
        </w:tc>
        <w:tc>
          <w:tcPr>
            <w:tcW w:type="dxa" w:w="3024"/>
            <w:shd w:fill="33363C" w:val="clear"/>
            <w:tcMar>
              <w:top w:type="dxa" w:w="70"/>
              <w:left w:type="dxa" w:w="110"/>
              <w:bottom w:type="dxa" w:w="70"/>
              <w:right w:type="dxa" w:w="110"/>
            </w:tcMar>
            <w:vAlign w:val="top"/>
          </w:tcPr>
          <w:p>
            <w:r>
              <w:rPr>
                <w:b/>
                <w:bCs/>
                <w:color w:val="FFFFFF"/>
                <w:sz w:val="17"/>
                <w:szCs w:val="17"/>
              </w:rPr>
              <w:t xml:space="preserve">Source of Definition</w:t>
            </w:r>
          </w:p>
        </w:tc>
      </w:tr>
      <w:tr>
        <w:tc>
          <w:tcPr>
            <w:tcW w:type="dxa" w:w="4435"/>
            <w:tcMar>
              <w:top w:type="dxa" w:w="70"/>
              <w:left w:type="dxa" w:w="110"/>
              <w:bottom w:type="dxa" w:w="70"/>
              <w:right w:type="dxa" w:w="110"/>
            </w:tcMar>
            <w:vAlign w:val="top"/>
          </w:tcPr>
          <w:p>
            <w:r>
              <w:rPr>
                <w:b/>
                <w:bCs/>
                <w:color w:val="1A1A1A"/>
                <w:sz w:val="12"/>
                <w:szCs w:val="12"/>
              </w:rPr>
              <w:t xml:space="preserve">Technical Lead, Solution Architect, Data Architect roles staffed</w:t>
            </w:r>
          </w:p>
        </w:tc>
        <w:tc>
          <w:tcPr>
            <w:tcW w:type="dxa" w:w="2621"/>
            <w:tcMar>
              <w:top w:type="dxa" w:w="70"/>
              <w:left w:type="dxa" w:w="110"/>
              <w:bottom w:type="dxa" w:w="70"/>
              <w:right w:type="dxa" w:w="110"/>
            </w:tcMar>
            <w:vAlign w:val="top"/>
          </w:tcPr>
          <w:p>
            <w:r>
              <w:rPr>
                <w:b w:val="false"/>
                <w:bCs w:val="false"/>
                <w:color w:val="1A1A1A"/>
                <w:sz w:val="12"/>
                <w:szCs w:val="12"/>
              </w:rPr>
              <w:t xml:space="preserve">Scoped — Pending Confirmation</w:t>
            </w:r>
          </w:p>
        </w:tc>
        <w:tc>
          <w:tcPr>
            <w:tcW w:type="dxa" w:w="3024"/>
            <w:tcMar>
              <w:top w:type="dxa" w:w="70"/>
              <w:left w:type="dxa" w:w="110"/>
              <w:bottom w:type="dxa" w:w="70"/>
              <w:right w:type="dxa" w:w="110"/>
            </w:tcMar>
            <w:vAlign w:val="top"/>
          </w:tcPr>
          <w:p>
            <w:r>
              <w:rPr>
                <w:b w:val="false"/>
                <w:bCs w:val="false"/>
                <w:color w:val="1A1A1A"/>
                <w:sz w:val="12"/>
                <w:szCs w:val="12"/>
              </w:rPr>
              <w:t xml:space="preserve">Part 2, Section 2.1–2.3; PDIB Part 8 (Resource Plan)</w:t>
            </w:r>
          </w:p>
        </w:tc>
      </w:tr>
      <w:tr>
        <w:tc>
          <w:tcPr>
            <w:tcW w:type="dxa" w:w="4435"/>
            <w:tcMar>
              <w:top w:type="dxa" w:w="70"/>
              <w:left w:type="dxa" w:w="110"/>
              <w:bottom w:type="dxa" w:w="70"/>
              <w:right w:type="dxa" w:w="110"/>
            </w:tcMar>
            <w:vAlign w:val="top"/>
          </w:tcPr>
          <w:p>
            <w:r>
              <w:rPr>
                <w:b/>
                <w:bCs/>
                <w:color w:val="1A1A1A"/>
                <w:sz w:val="12"/>
                <w:szCs w:val="12"/>
              </w:rPr>
              <w:t xml:space="preserve">Security Architect and DevSecOps Lead roles staffed</w:t>
            </w:r>
          </w:p>
        </w:tc>
        <w:tc>
          <w:tcPr>
            <w:tcW w:type="dxa" w:w="2621"/>
            <w:tcMar>
              <w:top w:type="dxa" w:w="70"/>
              <w:left w:type="dxa" w:w="110"/>
              <w:bottom w:type="dxa" w:w="70"/>
              <w:right w:type="dxa" w:w="110"/>
            </w:tcMar>
            <w:vAlign w:val="top"/>
          </w:tcPr>
          <w:p>
            <w:r>
              <w:rPr>
                <w:b w:val="false"/>
                <w:bCs w:val="false"/>
                <w:color w:val="1A1A1A"/>
                <w:sz w:val="12"/>
                <w:szCs w:val="12"/>
              </w:rPr>
              <w:t xml:space="preserve">Scoped — Pending Confirmation</w:t>
            </w:r>
          </w:p>
        </w:tc>
        <w:tc>
          <w:tcPr>
            <w:tcW w:type="dxa" w:w="3024"/>
            <w:tcMar>
              <w:top w:type="dxa" w:w="70"/>
              <w:left w:type="dxa" w:w="110"/>
              <w:bottom w:type="dxa" w:w="70"/>
              <w:right w:type="dxa" w:w="110"/>
            </w:tcMar>
            <w:vAlign w:val="top"/>
          </w:tcPr>
          <w:p>
            <w:r>
              <w:rPr>
                <w:b w:val="false"/>
                <w:bCs w:val="false"/>
                <w:color w:val="1A1A1A"/>
                <w:sz w:val="12"/>
                <w:szCs w:val="12"/>
              </w:rPr>
              <w:t xml:space="preserve">Part 2, Sections 2.5, 2.7</w:t>
            </w:r>
          </w:p>
        </w:tc>
      </w:tr>
      <w:tr>
        <w:tc>
          <w:tcPr>
            <w:tcW w:type="dxa" w:w="4435"/>
            <w:tcMar>
              <w:top w:type="dxa" w:w="70"/>
              <w:left w:type="dxa" w:w="110"/>
              <w:bottom w:type="dxa" w:w="70"/>
              <w:right w:type="dxa" w:w="110"/>
            </w:tcMar>
            <w:vAlign w:val="top"/>
          </w:tcPr>
          <w:p>
            <w:r>
              <w:rPr>
                <w:b/>
                <w:bCs/>
                <w:color w:val="1A1A1A"/>
                <w:sz w:val="12"/>
                <w:szCs w:val="12"/>
              </w:rPr>
              <w:t xml:space="preserve">QA Lead and AI/KM Lead roles staffed</w:t>
            </w:r>
          </w:p>
        </w:tc>
        <w:tc>
          <w:tcPr>
            <w:tcW w:type="dxa" w:w="2621"/>
            <w:tcMar>
              <w:top w:type="dxa" w:w="70"/>
              <w:left w:type="dxa" w:w="110"/>
              <w:bottom w:type="dxa" w:w="70"/>
              <w:right w:type="dxa" w:w="110"/>
            </w:tcMar>
            <w:vAlign w:val="top"/>
          </w:tcPr>
          <w:p>
            <w:r>
              <w:rPr>
                <w:b w:val="false"/>
                <w:bCs w:val="false"/>
                <w:color w:val="1A1A1A"/>
                <w:sz w:val="12"/>
                <w:szCs w:val="12"/>
              </w:rPr>
              <w:t xml:space="preserve">Scoped — Pending Confirmation</w:t>
            </w:r>
          </w:p>
        </w:tc>
        <w:tc>
          <w:tcPr>
            <w:tcW w:type="dxa" w:w="3024"/>
            <w:tcMar>
              <w:top w:type="dxa" w:w="70"/>
              <w:left w:type="dxa" w:w="110"/>
              <w:bottom w:type="dxa" w:w="70"/>
              <w:right w:type="dxa" w:w="110"/>
            </w:tcMar>
            <w:vAlign w:val="top"/>
          </w:tcPr>
          <w:p>
            <w:r>
              <w:rPr>
                <w:b w:val="false"/>
                <w:bCs w:val="false"/>
                <w:color w:val="1A1A1A"/>
                <w:sz w:val="12"/>
                <w:szCs w:val="12"/>
              </w:rPr>
              <w:t xml:space="preserve">Part 2, Sections 2.6, 2.8</w:t>
            </w:r>
          </w:p>
        </w:tc>
      </w:tr>
      <w:tr>
        <w:tc>
          <w:tcPr>
            <w:tcW w:type="dxa" w:w="4435"/>
            <w:tcMar>
              <w:top w:type="dxa" w:w="70"/>
              <w:left w:type="dxa" w:w="110"/>
              <w:bottom w:type="dxa" w:w="70"/>
              <w:right w:type="dxa" w:w="110"/>
            </w:tcMar>
            <w:vAlign w:val="top"/>
          </w:tcPr>
          <w:p>
            <w:r>
              <w:rPr>
                <w:b/>
                <w:bCs/>
                <w:color w:val="1A1A1A"/>
                <w:sz w:val="12"/>
                <w:szCs w:val="12"/>
              </w:rPr>
              <w:t xml:space="preserve">Product Owner and Programme Manager roles staffed</w:t>
            </w:r>
          </w:p>
        </w:tc>
        <w:tc>
          <w:tcPr>
            <w:tcW w:type="dxa" w:w="2621"/>
            <w:tcMar>
              <w:top w:type="dxa" w:w="70"/>
              <w:left w:type="dxa" w:w="110"/>
              <w:bottom w:type="dxa" w:w="70"/>
              <w:right w:type="dxa" w:w="110"/>
            </w:tcMar>
            <w:vAlign w:val="top"/>
          </w:tcPr>
          <w:p>
            <w:r>
              <w:rPr>
                <w:b w:val="false"/>
                <w:bCs w:val="false"/>
                <w:color w:val="1A1A1A"/>
                <w:sz w:val="12"/>
                <w:szCs w:val="12"/>
              </w:rPr>
              <w:t xml:space="preserve">Scoped — Pending Confirmation</w:t>
            </w:r>
          </w:p>
        </w:tc>
        <w:tc>
          <w:tcPr>
            <w:tcW w:type="dxa" w:w="3024"/>
            <w:tcMar>
              <w:top w:type="dxa" w:w="70"/>
              <w:left w:type="dxa" w:w="110"/>
              <w:bottom w:type="dxa" w:w="70"/>
              <w:right w:type="dxa" w:w="110"/>
            </w:tcMar>
            <w:vAlign w:val="top"/>
          </w:tcPr>
          <w:p>
            <w:r>
              <w:rPr>
                <w:b w:val="false"/>
                <w:bCs w:val="false"/>
                <w:color w:val="1A1A1A"/>
                <w:sz w:val="12"/>
                <w:szCs w:val="12"/>
              </w:rPr>
              <w:t xml:space="preserve">PDIB Part 8</w:t>
            </w:r>
          </w:p>
        </w:tc>
      </w:tr>
      <w:tr>
        <w:tc>
          <w:tcPr>
            <w:tcW w:type="dxa" w:w="4435"/>
            <w:tcMar>
              <w:top w:type="dxa" w:w="70"/>
              <w:left w:type="dxa" w:w="110"/>
              <w:bottom w:type="dxa" w:w="70"/>
              <w:right w:type="dxa" w:w="110"/>
            </w:tcMar>
            <w:vAlign w:val="top"/>
          </w:tcPr>
          <w:p>
            <w:r>
              <w:rPr>
                <w:b/>
                <w:bCs/>
                <w:color w:val="1A1A1A"/>
                <w:sz w:val="12"/>
                <w:szCs w:val="12"/>
              </w:rPr>
              <w:t xml:space="preserve">Steering Committee constituted and available for Tier 3–4 sign-off</w:t>
            </w:r>
          </w:p>
        </w:tc>
        <w:tc>
          <w:tcPr>
            <w:tcW w:type="dxa" w:w="2621"/>
            <w:tcMar>
              <w:top w:type="dxa" w:w="70"/>
              <w:left w:type="dxa" w:w="110"/>
              <w:bottom w:type="dxa" w:w="70"/>
              <w:right w:type="dxa" w:w="110"/>
            </w:tcMar>
            <w:vAlign w:val="top"/>
          </w:tcPr>
          <w:p>
            <w:r>
              <w:rPr>
                <w:b w:val="false"/>
                <w:bCs w:val="false"/>
                <w:color w:val="1A1A1A"/>
                <w:sz w:val="12"/>
                <w:szCs w:val="12"/>
              </w:rPr>
              <w:t xml:space="preserve">Scoped — Pending Confirmation</w:t>
            </w:r>
          </w:p>
        </w:tc>
        <w:tc>
          <w:tcPr>
            <w:tcW w:type="dxa" w:w="3024"/>
            <w:tcMar>
              <w:top w:type="dxa" w:w="70"/>
              <w:left w:type="dxa" w:w="110"/>
              <w:bottom w:type="dxa" w:w="70"/>
              <w:right w:type="dxa" w:w="110"/>
            </w:tcMar>
            <w:vAlign w:val="top"/>
          </w:tcPr>
          <w:p>
            <w:r>
              <w:rPr>
                <w:b w:val="false"/>
                <w:bCs w:val="false"/>
                <w:color w:val="1A1A1A"/>
                <w:sz w:val="12"/>
                <w:szCs w:val="12"/>
              </w:rPr>
              <w:t xml:space="preserve">Appendix O, Section O.6 (Approval Authority Matrix)</w:t>
            </w:r>
          </w:p>
        </w:tc>
      </w:tr>
      <w:tr>
        <w:tc>
          <w:tcPr>
            <w:tcW w:type="dxa" w:w="4435"/>
            <w:tcMar>
              <w:top w:type="dxa" w:w="70"/>
              <w:left w:type="dxa" w:w="110"/>
              <w:bottom w:type="dxa" w:w="70"/>
              <w:right w:type="dxa" w:w="110"/>
            </w:tcMar>
            <w:vAlign w:val="top"/>
          </w:tcPr>
          <w:p>
            <w:r>
              <w:rPr>
                <w:b/>
                <w:bCs/>
                <w:color w:val="1A1A1A"/>
                <w:sz w:val="12"/>
                <w:szCs w:val="12"/>
              </w:rPr>
              <w:t xml:space="preserve">RACI for each of the 25 Work Packages confirmed against actual named individuals</w:t>
            </w:r>
          </w:p>
        </w:tc>
        <w:tc>
          <w:tcPr>
            <w:tcW w:type="dxa" w:w="2621"/>
            <w:tcMar>
              <w:top w:type="dxa" w:w="70"/>
              <w:left w:type="dxa" w:w="110"/>
              <w:bottom w:type="dxa" w:w="70"/>
              <w:right w:type="dxa" w:w="110"/>
            </w:tcMar>
            <w:vAlign w:val="top"/>
          </w:tcPr>
          <w:p>
            <w:r>
              <w:rPr>
                <w:b w:val="false"/>
                <w:bCs w:val="false"/>
                <w:color w:val="1A1A1A"/>
                <w:sz w:val="12"/>
                <w:szCs w:val="12"/>
              </w:rPr>
              <w:t xml:space="preserve">Scoped — Pending Confirmation</w:t>
            </w:r>
          </w:p>
        </w:tc>
        <w:tc>
          <w:tcPr>
            <w:tcW w:type="dxa" w:w="3024"/>
            <w:tcMar>
              <w:top w:type="dxa" w:w="70"/>
              <w:left w:type="dxa" w:w="110"/>
              <w:bottom w:type="dxa" w:w="70"/>
              <w:right w:type="dxa" w:w="110"/>
            </w:tcMar>
            <w:vAlign w:val="top"/>
          </w:tcPr>
          <w:p>
            <w:r>
              <w:rPr>
                <w:b w:val="false"/>
                <w:bCs w:val="false"/>
                <w:color w:val="1A1A1A"/>
                <w:sz w:val="12"/>
                <w:szCs w:val="12"/>
              </w:rPr>
              <w:t xml:space="preserve">Work Package Definition of Done fields, Parts 5–8</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BF0DD" w:sz="2"/>
              <w:left w:val="single" w:color="B8860B" w:sz="24"/>
              <w:bottom w:val="single" w:color="FBF0DD" w:sz="2"/>
              <w:right w:val="single" w:color="FBF0DD" w:sz="2"/>
            </w:tcBorders>
            <w:shd w:fill="FBF0DD" w:val="clear"/>
            <w:tcMar>
              <w:top w:type="dxa" w:w="120"/>
              <w:left w:type="dxa" w:w="180"/>
              <w:bottom w:type="dxa" w:w="120"/>
              <w:right w:type="dxa" w:w="180"/>
            </w:tcMar>
          </w:tcPr>
          <w:p>
            <w:pPr>
              <w:spacing w:after="60"/>
            </w:pPr>
            <w:r>
              <w:rPr>
                <w:b/>
                <w:bCs/>
                <w:color w:val="B8860B"/>
                <w:sz w:val="17"/>
                <w:szCs w:val="17"/>
              </w:rPr>
              <w:t xml:space="preserve">IMPORTANT</w:t>
            </w:r>
          </w:p>
          <w:p>
            <w:pPr>
              <w:spacing w:after="0"/>
            </w:pPr>
            <w:r>
              <w:rPr>
                <w:sz w:val="18"/>
                <w:szCs w:val="18"/>
              </w:rPr>
              <w:t xml:space="preserve">Team &amp; Governance Readiness rating: Scoped — Pending Confirmation. Every role and approval authority this MEKB depends on is fully defined; what remains is the Programme Manager's confirmation that a named individual currently holds each role. This is a Sprint 0 mobilization action (Part 9, Sprint 0), not a MEKB defect.</w:t>
            </w:r>
          </w:p>
        </w:tc>
      </w:tr>
    </w:tbl>
    <w:p>
      <w:pPr>
        <w:pStyle w:val="Heading1"/>
        <w:pBdr>
          <w:bottom w:val="single" w:color="DAD3C0" w:sz="4" w:space="4"/>
        </w:pBdr>
        <w:spacing w:after="140" w:before="360"/>
      </w:pPr>
      <w:r>
        <w:rPr>
          <w:b/>
          <w:bCs/>
          <w:color w:val="97771F"/>
          <w:sz w:val="26"/>
          <w:szCs w:val="26"/>
        </w:rPr>
        <w:t xml:space="preserve">15.6  </w:t>
      </w:r>
      <w:r>
        <w:rPr>
          <w:b/>
          <w:bCs/>
          <w:color w:val="33363C"/>
          <w:sz w:val="26"/>
          <w:szCs w:val="26"/>
        </w:rPr>
        <w:t xml:space="preserve">Risk Readiness Assessment</w:t>
      </w:r>
    </w:p>
    <w:tbl>
      <w:tblPr>
        <w:tblW w:type="dxa" w:w="10080"/>
        <w:tblBorders>
          <w:top w:val="single" w:color="DAD3C0" w:sz="4"/>
          <w:left w:val="single" w:color="DAD3C0" w:sz="4"/>
          <w:bottom w:val="single" w:color="DAD3C0" w:sz="4"/>
          <w:right w:val="single" w:color="DAD3C0" w:sz="4"/>
          <w:insideH w:val="single" w:color="DAD3C0" w:sz="2"/>
          <w:insideV w:val="single" w:color="DAD3C0" w:sz="2"/>
        </w:tblBorders>
      </w:tblPr>
      <w:tblGrid>
        <w:gridCol w:w="2621"/>
        <w:gridCol w:w="7459"/>
      </w:tblGrid>
      <w:tr>
        <w:tc>
          <w:tcPr>
            <w:tcW w:type="dxa" w:w="2621"/>
            <w:shd w:fill="F3F0E8" w:val="clear"/>
            <w:tcMar>
              <w:top w:type="dxa" w:w="80"/>
              <w:left w:type="dxa" w:w="120"/>
              <w:bottom w:type="dxa" w:w="80"/>
              <w:right w:type="dxa" w:w="120"/>
            </w:tcMar>
            <w:vAlign w:val="top"/>
          </w:tcPr>
          <w:p>
            <w:r>
              <w:rPr>
                <w:b/>
                <w:bCs/>
                <w:color w:val="33363C"/>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Consolidate the highest-impact risks entering implementation from across all 25 Work Packages.</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the Steering Committee visibility into what could go wrong before it happens, not just what has already gone wrong.</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Every risk below was already identified and mitigated within its owning Work Package (Parts 5–8); this section surfaces only the highest fan-out or highest severity items.</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No programme-level risk enters implementation without a named owner and an already-defined mitigation.</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3024"/>
        <w:gridCol w:w="3830"/>
        <w:gridCol w:w="1008"/>
      </w:tblGrid>
      <w:tr>
        <w:trPr>
          <w:tblHeader/>
        </w:trPr>
        <w:tc>
          <w:tcPr>
            <w:tcW w:type="dxa" w:w="1008"/>
            <w:shd w:fill="33363C" w:val="clear"/>
            <w:tcMar>
              <w:top w:type="dxa" w:w="70"/>
              <w:left w:type="dxa" w:w="110"/>
              <w:bottom w:type="dxa" w:w="70"/>
              <w:right w:type="dxa" w:w="110"/>
            </w:tcMar>
            <w:vAlign w:val="top"/>
          </w:tcPr>
          <w:p>
            <w:r>
              <w:rPr>
                <w:b/>
                <w:bCs/>
                <w:color w:val="FFFFFF"/>
                <w:sz w:val="17"/>
                <w:szCs w:val="17"/>
              </w:rPr>
              <w:t xml:space="preserve">Risk ID</w:t>
            </w:r>
          </w:p>
        </w:tc>
        <w:tc>
          <w:tcPr>
            <w:tcW w:type="dxa" w:w="3024"/>
            <w:shd w:fill="33363C" w:val="clear"/>
            <w:tcMar>
              <w:top w:type="dxa" w:w="70"/>
              <w:left w:type="dxa" w:w="110"/>
              <w:bottom w:type="dxa" w:w="70"/>
              <w:right w:type="dxa" w:w="110"/>
            </w:tcMar>
            <w:vAlign w:val="top"/>
          </w:tcPr>
          <w:p>
            <w:r>
              <w:rPr>
                <w:b/>
                <w:bCs/>
                <w:color w:val="FFFFFF"/>
                <w:sz w:val="17"/>
                <w:szCs w:val="17"/>
              </w:rPr>
              <w:t xml:space="preserve">Description</w:t>
            </w:r>
          </w:p>
        </w:tc>
        <w:tc>
          <w:tcPr>
            <w:tcW w:type="dxa" w:w="3830"/>
            <w:shd w:fill="33363C" w:val="clear"/>
            <w:tcMar>
              <w:top w:type="dxa" w:w="70"/>
              <w:left w:type="dxa" w:w="110"/>
              <w:bottom w:type="dxa" w:w="70"/>
              <w:right w:type="dxa" w:w="110"/>
            </w:tcMar>
            <w:vAlign w:val="top"/>
          </w:tcPr>
          <w:p>
            <w:r>
              <w:rPr>
                <w:b/>
                <w:bCs/>
                <w:color w:val="FFFFFF"/>
                <w:sz w:val="17"/>
                <w:szCs w:val="17"/>
              </w:rPr>
              <w:t xml:space="preserve">Mitigation (already defined)</w:t>
            </w:r>
          </w:p>
        </w:tc>
        <w:tc>
          <w:tcPr>
            <w:tcW w:type="dxa" w:w="1008"/>
            <w:shd w:fill="33363C" w:val="clear"/>
            <w:tcMar>
              <w:top w:type="dxa" w:w="70"/>
              <w:left w:type="dxa" w:w="110"/>
              <w:bottom w:type="dxa" w:w="70"/>
              <w:right w:type="dxa" w:w="110"/>
            </w:tcMar>
            <w:vAlign w:val="top"/>
          </w:tcPr>
          <w:p>
            <w:r>
              <w:rPr>
                <w:b/>
                <w:bCs/>
                <w:color w:val="FFFFFF"/>
                <w:sz w:val="17"/>
                <w:szCs w:val="17"/>
              </w:rPr>
              <w:t xml:space="preserve">Owning WP</w:t>
            </w:r>
          </w:p>
        </w:tc>
      </w:tr>
      <w:tr>
        <w:tc>
          <w:tcPr>
            <w:tcW w:type="dxa" w:w="1008"/>
            <w:tcMar>
              <w:top w:type="dxa" w:w="70"/>
              <w:left w:type="dxa" w:w="110"/>
              <w:bottom w:type="dxa" w:w="70"/>
              <w:right w:type="dxa" w:w="110"/>
            </w:tcMar>
            <w:vAlign w:val="top"/>
          </w:tcPr>
          <w:p>
            <w:r>
              <w:rPr>
                <w:b/>
                <w:bCs/>
                <w:color w:val="1A1A1A"/>
                <w:sz w:val="10"/>
                <w:szCs w:val="10"/>
              </w:rPr>
              <w:t xml:space="preserve">R-DB-01</w:t>
            </w:r>
          </w:p>
        </w:tc>
        <w:tc>
          <w:tcPr>
            <w:tcW w:type="dxa" w:w="3024"/>
            <w:tcMar>
              <w:top w:type="dxa" w:w="70"/>
              <w:left w:type="dxa" w:w="110"/>
              <w:bottom w:type="dxa" w:w="70"/>
              <w:right w:type="dxa" w:w="110"/>
            </w:tcMar>
            <w:vAlign w:val="top"/>
          </w:tcPr>
          <w:p>
            <w:r>
              <w:rPr>
                <w:b w:val="false"/>
                <w:bCs w:val="false"/>
                <w:color w:val="1A1A1A"/>
                <w:sz w:val="10"/>
                <w:szCs w:val="10"/>
              </w:rPr>
              <w:t xml:space="preserve">Schema rework if module-level requirements surface gaps in DDS.</w:t>
            </w:r>
          </w:p>
        </w:tc>
        <w:tc>
          <w:tcPr>
            <w:tcW w:type="dxa" w:w="3830"/>
            <w:tcMar>
              <w:top w:type="dxa" w:w="70"/>
              <w:left w:type="dxa" w:w="110"/>
              <w:bottom w:type="dxa" w:w="70"/>
              <w:right w:type="dxa" w:w="110"/>
            </w:tcMar>
            <w:vAlign w:val="top"/>
          </w:tcPr>
          <w:p>
            <w:r>
              <w:rPr>
                <w:b w:val="false"/>
                <w:bCs w:val="false"/>
                <w:color w:val="1A1A1A"/>
                <w:sz w:val="10"/>
                <w:szCs w:val="10"/>
              </w:rPr>
              <w:t xml:space="preserve">Module Work Package review gate required before implementation begins.</w:t>
            </w:r>
          </w:p>
        </w:tc>
        <w:tc>
          <w:tcPr>
            <w:tcW w:type="dxa" w:w="1008"/>
            <w:tcMar>
              <w:top w:type="dxa" w:w="70"/>
              <w:left w:type="dxa" w:w="110"/>
              <w:bottom w:type="dxa" w:w="70"/>
              <w:right w:type="dxa" w:w="110"/>
            </w:tcMar>
            <w:vAlign w:val="top"/>
          </w:tcPr>
          <w:p>
            <w:r>
              <w:rPr>
                <w:b w:val="false"/>
                <w:bCs w:val="false"/>
                <w:color w:val="1A1A1A"/>
                <w:sz w:val="10"/>
                <w:szCs w:val="10"/>
              </w:rPr>
              <w:t xml:space="preserve">WP-01</w:t>
            </w:r>
          </w:p>
        </w:tc>
      </w:tr>
      <w:tr>
        <w:tc>
          <w:tcPr>
            <w:tcW w:type="dxa" w:w="1008"/>
            <w:tcMar>
              <w:top w:type="dxa" w:w="70"/>
              <w:left w:type="dxa" w:w="110"/>
              <w:bottom w:type="dxa" w:w="70"/>
              <w:right w:type="dxa" w:w="110"/>
            </w:tcMar>
            <w:vAlign w:val="top"/>
          </w:tcPr>
          <w:p>
            <w:r>
              <w:rPr>
                <w:b/>
                <w:bCs/>
                <w:color w:val="1A1A1A"/>
                <w:sz w:val="10"/>
                <w:szCs w:val="10"/>
              </w:rPr>
              <w:t xml:space="preserve">R-DEVOPS-01</w:t>
            </w:r>
          </w:p>
        </w:tc>
        <w:tc>
          <w:tcPr>
            <w:tcW w:type="dxa" w:w="3024"/>
            <w:tcMar>
              <w:top w:type="dxa" w:w="70"/>
              <w:left w:type="dxa" w:w="110"/>
              <w:bottom w:type="dxa" w:w="70"/>
              <w:right w:type="dxa" w:w="110"/>
            </w:tcMar>
            <w:vAlign w:val="top"/>
          </w:tcPr>
          <w:p>
            <w:r>
              <w:rPr>
                <w:b w:val="false"/>
                <w:bCs w:val="false"/>
                <w:color w:val="1A1A1A"/>
                <w:sz w:val="10"/>
                <w:szCs w:val="10"/>
              </w:rPr>
              <w:t xml:space="preserve">Environment drift between staging and production.</w:t>
            </w:r>
          </w:p>
        </w:tc>
        <w:tc>
          <w:tcPr>
            <w:tcW w:type="dxa" w:w="3830"/>
            <w:tcMar>
              <w:top w:type="dxa" w:w="70"/>
              <w:left w:type="dxa" w:w="110"/>
              <w:bottom w:type="dxa" w:w="70"/>
              <w:right w:type="dxa" w:w="110"/>
            </w:tcMar>
            <w:vAlign w:val="top"/>
          </w:tcPr>
          <w:p>
            <w:r>
              <w:rPr>
                <w:b w:val="false"/>
                <w:bCs w:val="false"/>
                <w:color w:val="1A1A1A"/>
                <w:sz w:val="10"/>
                <w:szCs w:val="10"/>
              </w:rPr>
              <w:t xml:space="preserve">Infrastructure-as-code enforcement across all environments.</w:t>
            </w:r>
          </w:p>
        </w:tc>
        <w:tc>
          <w:tcPr>
            <w:tcW w:type="dxa" w:w="1008"/>
            <w:tcMar>
              <w:top w:type="dxa" w:w="70"/>
              <w:left w:type="dxa" w:w="110"/>
              <w:bottom w:type="dxa" w:w="70"/>
              <w:right w:type="dxa" w:w="110"/>
            </w:tcMar>
            <w:vAlign w:val="top"/>
          </w:tcPr>
          <w:p>
            <w:r>
              <w:rPr>
                <w:b w:val="false"/>
                <w:bCs w:val="false"/>
                <w:color w:val="1A1A1A"/>
                <w:sz w:val="10"/>
                <w:szCs w:val="10"/>
              </w:rPr>
              <w:t xml:space="preserve">WP-03</w:t>
            </w:r>
          </w:p>
        </w:tc>
      </w:tr>
      <w:tr>
        <w:tc>
          <w:tcPr>
            <w:tcW w:type="dxa" w:w="1008"/>
            <w:tcMar>
              <w:top w:type="dxa" w:w="70"/>
              <w:left w:type="dxa" w:w="110"/>
              <w:bottom w:type="dxa" w:w="70"/>
              <w:right w:type="dxa" w:w="110"/>
            </w:tcMar>
            <w:vAlign w:val="top"/>
          </w:tcPr>
          <w:p>
            <w:r>
              <w:rPr>
                <w:b/>
                <w:bCs/>
                <w:color w:val="1A1A1A"/>
                <w:sz w:val="10"/>
                <w:szCs w:val="10"/>
              </w:rPr>
              <w:t xml:space="preserve">R-SEC-01</w:t>
            </w:r>
          </w:p>
        </w:tc>
        <w:tc>
          <w:tcPr>
            <w:tcW w:type="dxa" w:w="3024"/>
            <w:tcMar>
              <w:top w:type="dxa" w:w="70"/>
              <w:left w:type="dxa" w:w="110"/>
              <w:bottom w:type="dxa" w:w="70"/>
              <w:right w:type="dxa" w:w="110"/>
            </w:tcMar>
            <w:vAlign w:val="top"/>
          </w:tcPr>
          <w:p>
            <w:r>
              <w:rPr>
                <w:b w:val="false"/>
                <w:bCs w:val="false"/>
                <w:color w:val="1A1A1A"/>
                <w:sz w:val="10"/>
                <w:szCs w:val="10"/>
              </w:rPr>
              <w:t xml:space="preserve">Overly coarse-grained roles could force privilege creep.</w:t>
            </w:r>
          </w:p>
        </w:tc>
        <w:tc>
          <w:tcPr>
            <w:tcW w:type="dxa" w:w="3830"/>
            <w:tcMar>
              <w:top w:type="dxa" w:w="70"/>
              <w:left w:type="dxa" w:w="110"/>
              <w:bottom w:type="dxa" w:w="70"/>
              <w:right w:type="dxa" w:w="110"/>
            </w:tcMar>
            <w:vAlign w:val="top"/>
          </w:tcPr>
          <w:p>
            <w:r>
              <w:rPr>
                <w:b w:val="false"/>
                <w:bCs w:val="false"/>
                <w:color w:val="1A1A1A"/>
                <w:sz w:val="10"/>
                <w:szCs w:val="10"/>
              </w:rPr>
              <w:t xml:space="preserve">Granular permission model validated against SRS Part 9.</w:t>
            </w:r>
          </w:p>
        </w:tc>
        <w:tc>
          <w:tcPr>
            <w:tcW w:type="dxa" w:w="1008"/>
            <w:tcMar>
              <w:top w:type="dxa" w:w="70"/>
              <w:left w:type="dxa" w:w="110"/>
              <w:bottom w:type="dxa" w:w="70"/>
              <w:right w:type="dxa" w:w="110"/>
            </w:tcMar>
            <w:vAlign w:val="top"/>
          </w:tcPr>
          <w:p>
            <w:r>
              <w:rPr>
                <w:b w:val="false"/>
                <w:bCs w:val="false"/>
                <w:color w:val="1A1A1A"/>
                <w:sz w:val="10"/>
                <w:szCs w:val="10"/>
              </w:rPr>
              <w:t xml:space="preserve">WP-05</w:t>
            </w:r>
          </w:p>
        </w:tc>
      </w:tr>
      <w:tr>
        <w:tc>
          <w:tcPr>
            <w:tcW w:type="dxa" w:w="1008"/>
            <w:tcMar>
              <w:top w:type="dxa" w:w="70"/>
              <w:left w:type="dxa" w:w="110"/>
              <w:bottom w:type="dxa" w:w="70"/>
              <w:right w:type="dxa" w:w="110"/>
            </w:tcMar>
            <w:vAlign w:val="top"/>
          </w:tcPr>
          <w:p>
            <w:r>
              <w:rPr>
                <w:b/>
                <w:bCs/>
                <w:color w:val="1A1A1A"/>
                <w:sz w:val="10"/>
                <w:szCs w:val="10"/>
              </w:rPr>
              <w:t xml:space="preserve">R-WF-01</w:t>
            </w:r>
          </w:p>
        </w:tc>
        <w:tc>
          <w:tcPr>
            <w:tcW w:type="dxa" w:w="3024"/>
            <w:tcMar>
              <w:top w:type="dxa" w:w="70"/>
              <w:left w:type="dxa" w:w="110"/>
              <w:bottom w:type="dxa" w:w="70"/>
              <w:right w:type="dxa" w:w="110"/>
            </w:tcMar>
            <w:vAlign w:val="top"/>
          </w:tcPr>
          <w:p>
            <w:r>
              <w:rPr>
                <w:b w:val="false"/>
                <w:bCs w:val="false"/>
                <w:color w:val="1A1A1A"/>
                <w:sz w:val="10"/>
                <w:szCs w:val="10"/>
              </w:rPr>
              <w:t xml:space="preserve">Overly flexible workflow configuration could allow invalid business processes.</w:t>
            </w:r>
          </w:p>
        </w:tc>
        <w:tc>
          <w:tcPr>
            <w:tcW w:type="dxa" w:w="3830"/>
            <w:tcMar>
              <w:top w:type="dxa" w:w="70"/>
              <w:left w:type="dxa" w:w="110"/>
              <w:bottom w:type="dxa" w:w="70"/>
              <w:right w:type="dxa" w:w="110"/>
            </w:tcMar>
            <w:vAlign w:val="top"/>
          </w:tcPr>
          <w:p>
            <w:r>
              <w:rPr>
                <w:b w:val="false"/>
                <w:bCs w:val="false"/>
                <w:color w:val="1A1A1A"/>
                <w:sz w:val="10"/>
                <w:szCs w:val="10"/>
              </w:rPr>
              <w:t xml:space="preserve">Workflow definition validation rules and Administrator-only edit access.</w:t>
            </w:r>
          </w:p>
        </w:tc>
        <w:tc>
          <w:tcPr>
            <w:tcW w:type="dxa" w:w="1008"/>
            <w:tcMar>
              <w:top w:type="dxa" w:w="70"/>
              <w:left w:type="dxa" w:w="110"/>
              <w:bottom w:type="dxa" w:w="70"/>
              <w:right w:type="dxa" w:w="110"/>
            </w:tcMar>
            <w:vAlign w:val="top"/>
          </w:tcPr>
          <w:p>
            <w:r>
              <w:rPr>
                <w:b w:val="false"/>
                <w:bCs w:val="false"/>
                <w:color w:val="1A1A1A"/>
                <w:sz w:val="10"/>
                <w:szCs w:val="10"/>
              </w:rPr>
              <w:t xml:space="preserve">WP-10</w:t>
            </w:r>
          </w:p>
        </w:tc>
      </w:tr>
      <w:tr>
        <w:tc>
          <w:tcPr>
            <w:tcW w:type="dxa" w:w="1008"/>
            <w:tcMar>
              <w:top w:type="dxa" w:w="70"/>
              <w:left w:type="dxa" w:w="110"/>
              <w:bottom w:type="dxa" w:w="70"/>
              <w:right w:type="dxa" w:w="110"/>
            </w:tcMar>
            <w:vAlign w:val="top"/>
          </w:tcPr>
          <w:p>
            <w:r>
              <w:rPr>
                <w:b/>
                <w:bCs/>
                <w:color w:val="1A1A1A"/>
                <w:sz w:val="10"/>
                <w:szCs w:val="10"/>
              </w:rPr>
              <w:t xml:space="preserve">R-APR-01</w:t>
            </w:r>
          </w:p>
        </w:tc>
        <w:tc>
          <w:tcPr>
            <w:tcW w:type="dxa" w:w="3024"/>
            <w:tcMar>
              <w:top w:type="dxa" w:w="70"/>
              <w:left w:type="dxa" w:w="110"/>
              <w:bottom w:type="dxa" w:w="70"/>
              <w:right w:type="dxa" w:w="110"/>
            </w:tcMar>
            <w:vAlign w:val="top"/>
          </w:tcPr>
          <w:p>
            <w:r>
              <w:rPr>
                <w:b w:val="false"/>
                <w:bCs w:val="false"/>
                <w:color w:val="1A1A1A"/>
                <w:sz w:val="10"/>
                <w:szCs w:val="10"/>
              </w:rPr>
              <w:t xml:space="preserve">Delegation misconfiguration could allow unauthorized approval.</w:t>
            </w:r>
          </w:p>
        </w:tc>
        <w:tc>
          <w:tcPr>
            <w:tcW w:type="dxa" w:w="3830"/>
            <w:tcMar>
              <w:top w:type="dxa" w:w="70"/>
              <w:left w:type="dxa" w:w="110"/>
              <w:bottom w:type="dxa" w:w="70"/>
              <w:right w:type="dxa" w:w="110"/>
            </w:tcMar>
            <w:vAlign w:val="top"/>
          </w:tcPr>
          <w:p>
            <w:r>
              <w:rPr>
                <w:b w:val="false"/>
                <w:bCs w:val="false"/>
                <w:color w:val="1A1A1A"/>
                <w:sz w:val="10"/>
                <w:szCs w:val="10"/>
              </w:rPr>
              <w:t xml:space="preserve">Organizational scope validation enforced on delegation assignment.</w:t>
            </w:r>
          </w:p>
        </w:tc>
        <w:tc>
          <w:tcPr>
            <w:tcW w:type="dxa" w:w="1008"/>
            <w:tcMar>
              <w:top w:type="dxa" w:w="70"/>
              <w:left w:type="dxa" w:w="110"/>
              <w:bottom w:type="dxa" w:w="70"/>
              <w:right w:type="dxa" w:w="110"/>
            </w:tcMar>
            <w:vAlign w:val="top"/>
          </w:tcPr>
          <w:p>
            <w:r>
              <w:rPr>
                <w:b w:val="false"/>
                <w:bCs w:val="false"/>
                <w:color w:val="1A1A1A"/>
                <w:sz w:val="10"/>
                <w:szCs w:val="10"/>
              </w:rPr>
              <w:t xml:space="preserve">WP-11</w:t>
            </w:r>
          </w:p>
        </w:tc>
      </w:tr>
      <w:tr>
        <w:tc>
          <w:tcPr>
            <w:tcW w:type="dxa" w:w="1008"/>
            <w:tcMar>
              <w:top w:type="dxa" w:w="70"/>
              <w:left w:type="dxa" w:w="110"/>
              <w:bottom w:type="dxa" w:w="70"/>
              <w:right w:type="dxa" w:w="110"/>
            </w:tcMar>
            <w:vAlign w:val="top"/>
          </w:tcPr>
          <w:p>
            <w:r>
              <w:rPr>
                <w:b/>
                <w:bCs/>
                <w:color w:val="1A1A1A"/>
                <w:sz w:val="10"/>
                <w:szCs w:val="10"/>
              </w:rPr>
              <w:t xml:space="preserve">R-SRCH-01</w:t>
            </w:r>
          </w:p>
        </w:tc>
        <w:tc>
          <w:tcPr>
            <w:tcW w:type="dxa" w:w="3024"/>
            <w:tcMar>
              <w:top w:type="dxa" w:w="70"/>
              <w:left w:type="dxa" w:w="110"/>
              <w:bottom w:type="dxa" w:w="70"/>
              <w:right w:type="dxa" w:w="110"/>
            </w:tcMar>
            <w:vAlign w:val="top"/>
          </w:tcPr>
          <w:p>
            <w:r>
              <w:rPr>
                <w:b w:val="false"/>
                <w:bCs w:val="false"/>
                <w:color w:val="1A1A1A"/>
                <w:sz w:val="10"/>
                <w:szCs w:val="10"/>
              </w:rPr>
              <w:t xml:space="preserve">Index growth could degrade query performance over time.</w:t>
            </w:r>
          </w:p>
        </w:tc>
        <w:tc>
          <w:tcPr>
            <w:tcW w:type="dxa" w:w="3830"/>
            <w:tcMar>
              <w:top w:type="dxa" w:w="70"/>
              <w:left w:type="dxa" w:w="110"/>
              <w:bottom w:type="dxa" w:w="70"/>
              <w:right w:type="dxa" w:w="110"/>
            </w:tcMar>
            <w:vAlign w:val="top"/>
          </w:tcPr>
          <w:p>
            <w:r>
              <w:rPr>
                <w:b w:val="false"/>
                <w:bCs w:val="false"/>
                <w:color w:val="1A1A1A"/>
                <w:sz w:val="10"/>
                <w:szCs w:val="10"/>
              </w:rPr>
              <w:t xml:space="preserve">Index partitioning and performance monitoring per DDS Part 16.</w:t>
            </w:r>
          </w:p>
        </w:tc>
        <w:tc>
          <w:tcPr>
            <w:tcW w:type="dxa" w:w="1008"/>
            <w:tcMar>
              <w:top w:type="dxa" w:w="70"/>
              <w:left w:type="dxa" w:w="110"/>
              <w:bottom w:type="dxa" w:w="70"/>
              <w:right w:type="dxa" w:w="110"/>
            </w:tcMar>
            <w:vAlign w:val="top"/>
          </w:tcPr>
          <w:p>
            <w:r>
              <w:rPr>
                <w:b w:val="false"/>
                <w:bCs w:val="false"/>
                <w:color w:val="1A1A1A"/>
                <w:sz w:val="10"/>
                <w:szCs w:val="10"/>
              </w:rPr>
              <w:t xml:space="preserve">WP-15</w:t>
            </w:r>
          </w:p>
        </w:tc>
      </w:tr>
      <w:tr>
        <w:tc>
          <w:tcPr>
            <w:tcW w:type="dxa" w:w="1008"/>
            <w:tcMar>
              <w:top w:type="dxa" w:w="70"/>
              <w:left w:type="dxa" w:w="110"/>
              <w:bottom w:type="dxa" w:w="70"/>
              <w:right w:type="dxa" w:w="110"/>
            </w:tcMar>
            <w:vAlign w:val="top"/>
          </w:tcPr>
          <w:p>
            <w:r>
              <w:rPr>
                <w:b/>
                <w:bCs/>
                <w:color w:val="1A1A1A"/>
                <w:sz w:val="10"/>
                <w:szCs w:val="10"/>
              </w:rPr>
              <w:t xml:space="preserve">R-PUB-01</w:t>
            </w:r>
          </w:p>
        </w:tc>
        <w:tc>
          <w:tcPr>
            <w:tcW w:type="dxa" w:w="3024"/>
            <w:tcMar>
              <w:top w:type="dxa" w:w="70"/>
              <w:left w:type="dxa" w:w="110"/>
              <w:bottom w:type="dxa" w:w="70"/>
              <w:right w:type="dxa" w:w="110"/>
            </w:tcMar>
            <w:vAlign w:val="top"/>
          </w:tcPr>
          <w:p>
            <w:r>
              <w:rPr>
                <w:b w:val="false"/>
                <w:bCs w:val="false"/>
                <w:color w:val="1A1A1A"/>
                <w:sz w:val="10"/>
                <w:szCs w:val="10"/>
              </w:rPr>
              <w:t xml:space="preserve">Accidental publication of unapproved or sensitive content.</w:t>
            </w:r>
          </w:p>
        </w:tc>
        <w:tc>
          <w:tcPr>
            <w:tcW w:type="dxa" w:w="3830"/>
            <w:tcMar>
              <w:top w:type="dxa" w:w="70"/>
              <w:left w:type="dxa" w:w="110"/>
              <w:bottom w:type="dxa" w:w="70"/>
              <w:right w:type="dxa" w:w="110"/>
            </w:tcMar>
            <w:vAlign w:val="top"/>
          </w:tcPr>
          <w:p>
            <w:r>
              <w:rPr>
                <w:b w:val="false"/>
                <w:bCs w:val="false"/>
                <w:color w:val="1A1A1A"/>
                <w:sz w:val="10"/>
                <w:szCs w:val="10"/>
              </w:rPr>
              <w:t xml:space="preserve">Mandatory Approvals gate combined with a strict data separation architecture.</w:t>
            </w:r>
          </w:p>
        </w:tc>
        <w:tc>
          <w:tcPr>
            <w:tcW w:type="dxa" w:w="1008"/>
            <w:tcMar>
              <w:top w:type="dxa" w:w="70"/>
              <w:left w:type="dxa" w:w="110"/>
              <w:bottom w:type="dxa" w:w="70"/>
              <w:right w:type="dxa" w:w="110"/>
            </w:tcMar>
            <w:vAlign w:val="top"/>
          </w:tcPr>
          <w:p>
            <w:r>
              <w:rPr>
                <w:b w:val="false"/>
                <w:bCs w:val="false"/>
                <w:color w:val="1A1A1A"/>
                <w:sz w:val="10"/>
                <w:szCs w:val="10"/>
              </w:rPr>
              <w:t xml:space="preserve">WP-22</w:t>
            </w:r>
          </w:p>
        </w:tc>
      </w:tr>
      <w:tr>
        <w:tc>
          <w:tcPr>
            <w:tcW w:type="dxa" w:w="1008"/>
            <w:tcMar>
              <w:top w:type="dxa" w:w="70"/>
              <w:left w:type="dxa" w:w="110"/>
              <w:bottom w:type="dxa" w:w="70"/>
              <w:right w:type="dxa" w:w="110"/>
            </w:tcMar>
            <w:vAlign w:val="top"/>
          </w:tcPr>
          <w:p>
            <w:r>
              <w:rPr>
                <w:b/>
                <w:bCs/>
                <w:color w:val="1A1A1A"/>
                <w:sz w:val="10"/>
                <w:szCs w:val="10"/>
              </w:rPr>
              <w:t xml:space="preserve">R-AI-01</w:t>
            </w:r>
          </w:p>
        </w:tc>
        <w:tc>
          <w:tcPr>
            <w:tcW w:type="dxa" w:w="3024"/>
            <w:tcMar>
              <w:top w:type="dxa" w:w="70"/>
              <w:left w:type="dxa" w:w="110"/>
              <w:bottom w:type="dxa" w:w="70"/>
              <w:right w:type="dxa" w:w="110"/>
            </w:tcMar>
            <w:vAlign w:val="top"/>
          </w:tcPr>
          <w:p>
            <w:r>
              <w:rPr>
                <w:b w:val="false"/>
                <w:bCs w:val="false"/>
                <w:color w:val="1A1A1A"/>
                <w:sz w:val="10"/>
                <w:szCs w:val="10"/>
              </w:rPr>
              <w:t xml:space="preserve">AI-generated responses could be inaccurate or misleading.</w:t>
            </w:r>
          </w:p>
        </w:tc>
        <w:tc>
          <w:tcPr>
            <w:tcW w:type="dxa" w:w="3830"/>
            <w:tcMar>
              <w:top w:type="dxa" w:w="70"/>
              <w:left w:type="dxa" w:w="110"/>
              <w:bottom w:type="dxa" w:w="70"/>
              <w:right w:type="dxa" w:w="110"/>
            </w:tcMar>
            <w:vAlign w:val="top"/>
          </w:tcPr>
          <w:p>
            <w:r>
              <w:rPr>
                <w:b w:val="false"/>
                <w:bCs w:val="false"/>
                <w:color w:val="1A1A1A"/>
                <w:sz w:val="10"/>
                <w:szCs w:val="10"/>
              </w:rPr>
              <w:t xml:space="preserve">Mandatory source citation, confidence-based escalation, and TSAS Part 12 validation gating.</w:t>
            </w:r>
          </w:p>
        </w:tc>
        <w:tc>
          <w:tcPr>
            <w:tcW w:type="dxa" w:w="1008"/>
            <w:tcMar>
              <w:top w:type="dxa" w:w="70"/>
              <w:left w:type="dxa" w:w="110"/>
              <w:bottom w:type="dxa" w:w="70"/>
              <w:right w:type="dxa" w:w="110"/>
            </w:tcMar>
            <w:vAlign w:val="top"/>
          </w:tcPr>
          <w:p>
            <w:r>
              <w:rPr>
                <w:b w:val="false"/>
                <w:bCs w:val="false"/>
                <w:color w:val="1A1A1A"/>
                <w:sz w:val="10"/>
                <w:szCs w:val="10"/>
              </w:rPr>
              <w:t xml:space="preserve">WP-23</w:t>
            </w:r>
          </w:p>
        </w:tc>
      </w:tr>
      <w:tr>
        <w:tc>
          <w:tcPr>
            <w:tcW w:type="dxa" w:w="1008"/>
            <w:tcMar>
              <w:top w:type="dxa" w:w="70"/>
              <w:left w:type="dxa" w:w="110"/>
              <w:bottom w:type="dxa" w:w="70"/>
              <w:right w:type="dxa" w:w="110"/>
            </w:tcMar>
            <w:vAlign w:val="top"/>
          </w:tcPr>
          <w:p>
            <w:r>
              <w:rPr>
                <w:b/>
                <w:bCs/>
                <w:color w:val="1A1A1A"/>
                <w:sz w:val="10"/>
                <w:szCs w:val="10"/>
              </w:rPr>
              <w:t xml:space="preserve">R-QA-01</w:t>
            </w:r>
          </w:p>
        </w:tc>
        <w:tc>
          <w:tcPr>
            <w:tcW w:type="dxa" w:w="3024"/>
            <w:tcMar>
              <w:top w:type="dxa" w:w="70"/>
              <w:left w:type="dxa" w:w="110"/>
              <w:bottom w:type="dxa" w:w="70"/>
              <w:right w:type="dxa" w:w="110"/>
            </w:tcMar>
            <w:vAlign w:val="top"/>
          </w:tcPr>
          <w:p>
            <w:r>
              <w:rPr>
                <w:b w:val="false"/>
                <w:bCs w:val="false"/>
                <w:color w:val="1A1A1A"/>
                <w:sz w:val="10"/>
                <w:szCs w:val="10"/>
              </w:rPr>
              <w:t xml:space="preserve">Late-discovered defects could delay go-live.</w:t>
            </w:r>
          </w:p>
        </w:tc>
        <w:tc>
          <w:tcPr>
            <w:tcW w:type="dxa" w:w="3830"/>
            <w:tcMar>
              <w:top w:type="dxa" w:w="70"/>
              <w:left w:type="dxa" w:w="110"/>
              <w:bottom w:type="dxa" w:w="70"/>
              <w:right w:type="dxa" w:w="110"/>
            </w:tcMar>
            <w:vAlign w:val="top"/>
          </w:tcPr>
          <w:p>
            <w:r>
              <w:rPr>
                <w:b w:val="false"/>
                <w:bCs w:val="false"/>
                <w:color w:val="1A1A1A"/>
                <w:sz w:val="10"/>
                <w:szCs w:val="10"/>
              </w:rPr>
              <w:t xml:space="preserve">Continuous regression testing throughout Parts 5–7 rather than deferring all testing to WP-24 alone.</w:t>
            </w:r>
          </w:p>
        </w:tc>
        <w:tc>
          <w:tcPr>
            <w:tcW w:type="dxa" w:w="1008"/>
            <w:tcMar>
              <w:top w:type="dxa" w:w="70"/>
              <w:left w:type="dxa" w:w="110"/>
              <w:bottom w:type="dxa" w:w="70"/>
              <w:right w:type="dxa" w:w="110"/>
            </w:tcMar>
            <w:vAlign w:val="top"/>
          </w:tcPr>
          <w:p>
            <w:r>
              <w:rPr>
                <w:b w:val="false"/>
                <w:bCs w:val="false"/>
                <w:color w:val="1A1A1A"/>
                <w:sz w:val="10"/>
                <w:szCs w:val="10"/>
              </w:rPr>
              <w:t xml:space="preserve">WP-24</w:t>
            </w:r>
          </w:p>
        </w:tc>
      </w:tr>
      <w:tr>
        <w:tc>
          <w:tcPr>
            <w:tcW w:type="dxa" w:w="1008"/>
            <w:tcMar>
              <w:top w:type="dxa" w:w="70"/>
              <w:left w:type="dxa" w:w="110"/>
              <w:bottom w:type="dxa" w:w="70"/>
              <w:right w:type="dxa" w:w="110"/>
            </w:tcMar>
            <w:vAlign w:val="top"/>
          </w:tcPr>
          <w:p>
            <w:r>
              <w:rPr>
                <w:b/>
                <w:bCs/>
                <w:color w:val="1A1A1A"/>
                <w:sz w:val="10"/>
                <w:szCs w:val="10"/>
              </w:rPr>
              <w:t xml:space="preserve">R-DOC-CL-01</w:t>
            </w:r>
          </w:p>
        </w:tc>
        <w:tc>
          <w:tcPr>
            <w:tcW w:type="dxa" w:w="3024"/>
            <w:tcMar>
              <w:top w:type="dxa" w:w="70"/>
              <w:left w:type="dxa" w:w="110"/>
              <w:bottom w:type="dxa" w:w="70"/>
              <w:right w:type="dxa" w:w="110"/>
            </w:tcMar>
            <w:vAlign w:val="top"/>
          </w:tcPr>
          <w:p>
            <w:r>
              <w:rPr>
                <w:b w:val="false"/>
                <w:bCs w:val="false"/>
                <w:color w:val="1A1A1A"/>
                <w:sz w:val="10"/>
                <w:szCs w:val="10"/>
              </w:rPr>
              <w:t xml:space="preserve">Documentation debt accumulated during rapid sprint execution could surface late.</w:t>
            </w:r>
          </w:p>
        </w:tc>
        <w:tc>
          <w:tcPr>
            <w:tcW w:type="dxa" w:w="3830"/>
            <w:tcMar>
              <w:top w:type="dxa" w:w="70"/>
              <w:left w:type="dxa" w:w="110"/>
              <w:bottom w:type="dxa" w:w="70"/>
              <w:right w:type="dxa" w:w="110"/>
            </w:tcMar>
            <w:vAlign w:val="top"/>
          </w:tcPr>
          <w:p>
            <w:r>
              <w:rPr>
                <w:b w:val="false"/>
                <w:bCs w:val="false"/>
                <w:color w:val="1A1A1A"/>
                <w:sz w:val="10"/>
                <w:szCs w:val="10"/>
              </w:rPr>
              <w:t xml:space="preserve">Continuous documentation verification at each Work Package's Definition of Done.</w:t>
            </w:r>
          </w:p>
        </w:tc>
        <w:tc>
          <w:tcPr>
            <w:tcW w:type="dxa" w:w="1008"/>
            <w:tcMar>
              <w:top w:type="dxa" w:w="70"/>
              <w:left w:type="dxa" w:w="110"/>
              <w:bottom w:type="dxa" w:w="70"/>
              <w:right w:type="dxa" w:w="110"/>
            </w:tcMar>
            <w:vAlign w:val="top"/>
          </w:tcPr>
          <w:p>
            <w:r>
              <w:rPr>
                <w:b w:val="false"/>
                <w:bCs w:val="false"/>
                <w:color w:val="1A1A1A"/>
                <w:sz w:val="10"/>
                <w:szCs w:val="10"/>
              </w:rPr>
              <w:t xml:space="preserve">WP-25</w:t>
            </w:r>
          </w:p>
        </w:tc>
      </w:tr>
    </w:tbl>
    <w:p>
      <w:pPr>
        <w:spacing w:after="160"/>
      </w:pPr>
    </w:p>
    <w:p>
      <w:pPr>
        <w:spacing w:after="150" w:line="276"/>
        <w:jc w:val="both"/>
      </w:pPr>
      <w:r>
        <w:t xml:space="preserve">The full risk register — all twenty-five Work-Package-level risks, one per Work Package — is maintained across Parts 5 through 8 and is not restated here in full. The ten risks above are the highest-impact entries by fan-out (per the Dependency Matrix, Part 11) or by potential severity (data integrity, security, and go-live schedule risk).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3F0E8" w:sz="2"/>
              <w:left w:val="single" w:color="97771F" w:sz="24"/>
              <w:bottom w:val="single" w:color="F3F0E8" w:sz="2"/>
              <w:right w:val="single" w:color="F3F0E8" w:sz="2"/>
            </w:tcBorders>
            <w:shd w:fill="F3F0E8" w:val="clear"/>
            <w:tcMar>
              <w:top w:type="dxa" w:w="120"/>
              <w:left w:type="dxa" w:w="180"/>
              <w:bottom w:type="dxa" w:w="120"/>
              <w:right w:type="dxa" w:w="180"/>
            </w:tcMar>
          </w:tcPr>
          <w:p>
            <w:pPr>
              <w:spacing w:after="60"/>
            </w:pPr>
            <w:r>
              <w:rPr>
                <w:b/>
                <w:bCs/>
                <w:color w:val="97771F"/>
                <w:sz w:val="17"/>
                <w:szCs w:val="17"/>
              </w:rPr>
              <w:t xml:space="preserve">NOTE</w:t>
            </w:r>
          </w:p>
          <w:p>
            <w:pPr>
              <w:spacing w:after="0"/>
            </w:pPr>
            <w:r>
              <w:rPr>
                <w:sz w:val="18"/>
                <w:szCs w:val="18"/>
              </w:rPr>
              <w:t xml:space="preserve">Risk Readiness rating: Acceptable. All twenty-five identified risks carry an already-defined mitigation embedded in their owning Work Package; none is unmitigated or unowned.</w:t>
            </w:r>
          </w:p>
        </w:tc>
      </w:tr>
    </w:tbl>
    <w:p>
      <w:pPr>
        <w:pStyle w:val="Heading1"/>
        <w:pBdr>
          <w:bottom w:val="single" w:color="DAD3C0" w:sz="4" w:space="4"/>
        </w:pBdr>
        <w:spacing w:after="140" w:before="360"/>
      </w:pPr>
      <w:r>
        <w:rPr>
          <w:b/>
          <w:bCs/>
          <w:color w:val="97771F"/>
          <w:sz w:val="26"/>
          <w:szCs w:val="26"/>
        </w:rPr>
        <w:t xml:space="preserve">15.7  </w:t>
      </w:r>
      <w:r>
        <w:rPr>
          <w:b/>
          <w:bCs/>
          <w:color w:val="33363C"/>
          <w:sz w:val="26"/>
          <w:szCs w:val="26"/>
        </w:rPr>
        <w:t xml:space="preserve">Overall Readiness Determination</w:t>
      </w:r>
    </w:p>
    <w:tbl>
      <w:tblPr>
        <w:tblW w:type="dxa" w:w="10080"/>
        <w:tblBorders>
          <w:top w:val="single" w:color="DAD3C0" w:sz="4"/>
          <w:left w:val="single" w:color="DAD3C0" w:sz="4"/>
          <w:bottom w:val="single" w:color="DAD3C0" w:sz="4"/>
          <w:right w:val="single" w:color="DAD3C0" w:sz="4"/>
          <w:insideH w:val="single" w:color="DAD3C0" w:sz="2"/>
          <w:insideV w:val="single" w:color="DAD3C0" w:sz="2"/>
        </w:tblBorders>
      </w:tblPr>
      <w:tblGrid>
        <w:gridCol w:w="2621"/>
        <w:gridCol w:w="7459"/>
      </w:tblGrid>
      <w:tr>
        <w:tc>
          <w:tcPr>
            <w:tcW w:type="dxa" w:w="2621"/>
            <w:shd w:fill="F3F0E8" w:val="clear"/>
            <w:tcMar>
              <w:top w:type="dxa" w:w="80"/>
              <w:left w:type="dxa" w:w="120"/>
              <w:bottom w:type="dxa" w:w="80"/>
              <w:right w:type="dxa" w:w="120"/>
            </w:tcMar>
            <w:vAlign w:val="top"/>
          </w:tcPr>
          <w:p>
            <w:r>
              <w:rPr>
                <w:b/>
                <w:bCs/>
                <w:color w:val="33363C"/>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Issue the formal go/no-go recommendation for Sprint 0.</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The single output the Steering Committee needs to authorize implementation to begin.</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The determination is derived mechanically from the five category ratings above, not asserted independently.</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An unambiguous, evidenced recommendation the Steering Committee can act on immediately.</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4"/>
        <w:gridCol w:w="4536"/>
      </w:tblGrid>
      <w:tr>
        <w:trPr>
          <w:tblHeader/>
        </w:trPr>
        <w:tc>
          <w:tcPr>
            <w:tcW w:type="dxa" w:w="5544"/>
            <w:shd w:fill="33363C" w:val="clear"/>
            <w:tcMar>
              <w:top w:type="dxa" w:w="70"/>
              <w:left w:type="dxa" w:w="110"/>
              <w:bottom w:type="dxa" w:w="70"/>
              <w:right w:type="dxa" w:w="110"/>
            </w:tcMar>
            <w:vAlign w:val="top"/>
          </w:tcPr>
          <w:p>
            <w:r>
              <w:rPr>
                <w:b/>
                <w:bCs/>
                <w:color w:val="FFFFFF"/>
                <w:sz w:val="17"/>
                <w:szCs w:val="17"/>
              </w:rPr>
              <w:t xml:space="preserve">Category</w:t>
            </w:r>
          </w:p>
        </w:tc>
        <w:tc>
          <w:tcPr>
            <w:tcW w:type="dxa" w:w="4536"/>
            <w:shd w:fill="33363C" w:val="clear"/>
            <w:tcMar>
              <w:top w:type="dxa" w:w="70"/>
              <w:left w:type="dxa" w:w="110"/>
              <w:bottom w:type="dxa" w:w="70"/>
              <w:right w:type="dxa" w:w="110"/>
            </w:tcMar>
            <w:vAlign w:val="top"/>
          </w:tcPr>
          <w:p>
            <w:r>
              <w:rPr>
                <w:b/>
                <w:bCs/>
                <w:color w:val="FFFFFF"/>
                <w:sz w:val="17"/>
                <w:szCs w:val="17"/>
              </w:rPr>
              <w:t xml:space="preserve">Rating</w:t>
            </w:r>
          </w:p>
        </w:tc>
      </w:tr>
      <w:tr>
        <w:tc>
          <w:tcPr>
            <w:tcW w:type="dxa" w:w="5544"/>
            <w:tcMar>
              <w:top w:type="dxa" w:w="70"/>
              <w:left w:type="dxa" w:w="110"/>
              <w:bottom w:type="dxa" w:w="70"/>
              <w:right w:type="dxa" w:w="110"/>
            </w:tcMar>
            <w:vAlign w:val="top"/>
          </w:tcPr>
          <w:p>
            <w:r>
              <w:rPr>
                <w:b/>
                <w:bCs/>
                <w:color w:val="1A1A1A"/>
                <w:sz w:val="13"/>
                <w:szCs w:val="13"/>
              </w:rPr>
              <w:t xml:space="preserve">Documentation Readiness (Section 15.2)</w:t>
            </w:r>
          </w:p>
        </w:tc>
        <w:tc>
          <w:tcPr>
            <w:tcW w:type="dxa" w:w="4536"/>
            <w:tcMar>
              <w:top w:type="dxa" w:w="70"/>
              <w:left w:type="dxa" w:w="110"/>
              <w:bottom w:type="dxa" w:w="70"/>
              <w:right w:type="dxa" w:w="110"/>
            </w:tcMar>
            <w:vAlign w:val="top"/>
          </w:tcPr>
          <w:p>
            <w:r>
              <w:rPr>
                <w:b w:val="false"/>
                <w:bCs w:val="false"/>
                <w:color w:val="1A1A1A"/>
                <w:sz w:val="13"/>
                <w:szCs w:val="13"/>
              </w:rPr>
              <w:t xml:space="preserve">Ready</w:t>
            </w:r>
          </w:p>
        </w:tc>
      </w:tr>
      <w:tr>
        <w:tc>
          <w:tcPr>
            <w:tcW w:type="dxa" w:w="5544"/>
            <w:tcMar>
              <w:top w:type="dxa" w:w="70"/>
              <w:left w:type="dxa" w:w="110"/>
              <w:bottom w:type="dxa" w:w="70"/>
              <w:right w:type="dxa" w:w="110"/>
            </w:tcMar>
            <w:vAlign w:val="top"/>
          </w:tcPr>
          <w:p>
            <w:r>
              <w:rPr>
                <w:b/>
                <w:bCs/>
                <w:color w:val="1A1A1A"/>
                <w:sz w:val="13"/>
                <w:szCs w:val="13"/>
              </w:rPr>
              <w:t xml:space="preserve">Engineering Planning Readiness (Section 15.3)</w:t>
            </w:r>
          </w:p>
        </w:tc>
        <w:tc>
          <w:tcPr>
            <w:tcW w:type="dxa" w:w="4536"/>
            <w:tcMar>
              <w:top w:type="dxa" w:w="70"/>
              <w:left w:type="dxa" w:w="110"/>
              <w:bottom w:type="dxa" w:w="70"/>
              <w:right w:type="dxa" w:w="110"/>
            </w:tcMar>
            <w:vAlign w:val="top"/>
          </w:tcPr>
          <w:p>
            <w:r>
              <w:rPr>
                <w:b w:val="false"/>
                <w:bCs w:val="false"/>
                <w:color w:val="1A1A1A"/>
                <w:sz w:val="13"/>
                <w:szCs w:val="13"/>
              </w:rPr>
              <w:t xml:space="preserve">Ready</w:t>
            </w:r>
          </w:p>
        </w:tc>
      </w:tr>
      <w:tr>
        <w:tc>
          <w:tcPr>
            <w:tcW w:type="dxa" w:w="5544"/>
            <w:tcMar>
              <w:top w:type="dxa" w:w="70"/>
              <w:left w:type="dxa" w:w="110"/>
              <w:bottom w:type="dxa" w:w="70"/>
              <w:right w:type="dxa" w:w="110"/>
            </w:tcMar>
            <w:vAlign w:val="top"/>
          </w:tcPr>
          <w:p>
            <w:r>
              <w:rPr>
                <w:b/>
                <w:bCs/>
                <w:color w:val="1A1A1A"/>
                <w:sz w:val="13"/>
                <w:szCs w:val="13"/>
              </w:rPr>
              <w:t xml:space="preserve">Tooling &amp; Environment Readiness (Section 15.4)</w:t>
            </w:r>
          </w:p>
        </w:tc>
        <w:tc>
          <w:tcPr>
            <w:tcW w:type="dxa" w:w="4536"/>
            <w:tcMar>
              <w:top w:type="dxa" w:w="70"/>
              <w:left w:type="dxa" w:w="110"/>
              <w:bottom w:type="dxa" w:w="70"/>
              <w:right w:type="dxa" w:w="110"/>
            </w:tcMar>
            <w:vAlign w:val="top"/>
          </w:tcPr>
          <w:p>
            <w:r>
              <w:rPr>
                <w:b w:val="false"/>
                <w:bCs w:val="false"/>
                <w:color w:val="1A1A1A"/>
                <w:sz w:val="13"/>
                <w:szCs w:val="13"/>
              </w:rPr>
              <w:t xml:space="preserve">Scoped — Pending Execution (closed by Sprint 0)</w:t>
            </w:r>
          </w:p>
        </w:tc>
      </w:tr>
      <w:tr>
        <w:tc>
          <w:tcPr>
            <w:tcW w:type="dxa" w:w="5544"/>
            <w:tcMar>
              <w:top w:type="dxa" w:w="70"/>
              <w:left w:type="dxa" w:w="110"/>
              <w:bottom w:type="dxa" w:w="70"/>
              <w:right w:type="dxa" w:w="110"/>
            </w:tcMar>
            <w:vAlign w:val="top"/>
          </w:tcPr>
          <w:p>
            <w:r>
              <w:rPr>
                <w:b/>
                <w:bCs/>
                <w:color w:val="1A1A1A"/>
                <w:sz w:val="13"/>
                <w:szCs w:val="13"/>
              </w:rPr>
              <w:t xml:space="preserve">Team &amp; Governance Readiness (Section 15.5)</w:t>
            </w:r>
          </w:p>
        </w:tc>
        <w:tc>
          <w:tcPr>
            <w:tcW w:type="dxa" w:w="4536"/>
            <w:tcMar>
              <w:top w:type="dxa" w:w="70"/>
              <w:left w:type="dxa" w:w="110"/>
              <w:bottom w:type="dxa" w:w="70"/>
              <w:right w:type="dxa" w:w="110"/>
            </w:tcMar>
            <w:vAlign w:val="top"/>
          </w:tcPr>
          <w:p>
            <w:r>
              <w:rPr>
                <w:b w:val="false"/>
                <w:bCs w:val="false"/>
                <w:color w:val="1A1A1A"/>
                <w:sz w:val="13"/>
                <w:szCs w:val="13"/>
              </w:rPr>
              <w:t xml:space="preserve">Scoped — Pending Confirmation (closed by Sprint 0)</w:t>
            </w:r>
          </w:p>
        </w:tc>
      </w:tr>
      <w:tr>
        <w:tc>
          <w:tcPr>
            <w:tcW w:type="dxa" w:w="5544"/>
            <w:tcMar>
              <w:top w:type="dxa" w:w="70"/>
              <w:left w:type="dxa" w:w="110"/>
              <w:bottom w:type="dxa" w:w="70"/>
              <w:right w:type="dxa" w:w="110"/>
            </w:tcMar>
            <w:vAlign w:val="top"/>
          </w:tcPr>
          <w:p>
            <w:r>
              <w:rPr>
                <w:b/>
                <w:bCs/>
                <w:color w:val="1A1A1A"/>
                <w:sz w:val="13"/>
                <w:szCs w:val="13"/>
              </w:rPr>
              <w:t xml:space="preserve">Risk Readiness (Section 15.6)</w:t>
            </w:r>
          </w:p>
        </w:tc>
        <w:tc>
          <w:tcPr>
            <w:tcW w:type="dxa" w:w="4536"/>
            <w:tcMar>
              <w:top w:type="dxa" w:w="70"/>
              <w:left w:type="dxa" w:w="110"/>
              <w:bottom w:type="dxa" w:w="70"/>
              <w:right w:type="dxa" w:w="110"/>
            </w:tcMar>
            <w:vAlign w:val="top"/>
          </w:tcPr>
          <w:p>
            <w:r>
              <w:rPr>
                <w:b w:val="false"/>
                <w:bCs w:val="false"/>
                <w:color w:val="1A1A1A"/>
                <w:sz w:val="13"/>
                <w:szCs w:val="13"/>
              </w:rPr>
              <w:t xml:space="preserve">Acceptable</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DEAF2" w:sz="2"/>
              <w:left w:val="single" w:color="5B4E75" w:sz="24"/>
              <w:bottom w:val="single" w:color="EDEAF2" w:sz="2"/>
              <w:right w:val="single" w:color="EDEAF2" w:sz="2"/>
            </w:tcBorders>
            <w:shd w:fill="EDEAF2" w:val="clear"/>
            <w:tcMar>
              <w:top w:type="dxa" w:w="120"/>
              <w:left w:type="dxa" w:w="180"/>
              <w:bottom w:type="dxa" w:w="120"/>
              <w:right w:type="dxa" w:w="180"/>
            </w:tcMar>
          </w:tcPr>
          <w:p>
            <w:pPr>
              <w:spacing w:after="60"/>
            </w:pPr>
            <w:r>
              <w:rPr>
                <w:b/>
                <w:bCs/>
                <w:color w:val="5B4E75"/>
                <w:sz w:val="17"/>
                <w:szCs w:val="17"/>
              </w:rPr>
              <w:t xml:space="preserve">GOVERNANCE NOTE</w:t>
            </w:r>
          </w:p>
          <w:p>
            <w:pPr>
              <w:spacing w:after="0"/>
            </w:pPr>
            <w:r>
              <w:rPr>
                <w:sz w:val="18"/>
                <w:szCs w:val="18"/>
              </w:rPr>
              <w:t xml:space="preserve">DETERMINATION: CONDITIONAL GO. The Master Engineering Knowledge Base — Parts 1 through 14 — is complete, internally consistent, and ready to govern implementation. The two categories rated 'Scoped — Pending Execution / Confirmation' are not defects in the MEKB; they are, by design, the explicit purpose of Sprint 0 (Part 9, Sprint 0 — Mobilization &amp; Environment Readiness), whose own Exit Criteria already require them resolved before Sprint 1 begins. Sprint 0 is authorized to proceed immediately. Sprint 1 (WP-01) may not begin until Sprint 0's own Exit Criteria are independently confirmed met.</w:t>
            </w:r>
          </w:p>
        </w:tc>
      </w:tr>
    </w:tbl>
    <w:p>
      <w:pPr>
        <w:pStyle w:val="Heading1"/>
        <w:pBdr>
          <w:bottom w:val="single" w:color="DAD3C0" w:sz="4" w:space="4"/>
        </w:pBdr>
        <w:spacing w:after="140" w:before="360"/>
      </w:pPr>
      <w:r>
        <w:rPr>
          <w:b/>
          <w:bCs/>
          <w:color w:val="97771F"/>
          <w:sz w:val="26"/>
          <w:szCs w:val="26"/>
        </w:rPr>
        <w:t xml:space="preserve">15.8  </w:t>
      </w:r>
      <w:r>
        <w:rPr>
          <w:b/>
          <w:bCs/>
          <w:color w:val="33363C"/>
          <w:sz w:val="26"/>
          <w:szCs w:val="26"/>
        </w:rPr>
        <w:t xml:space="preserve">Closing Statement — The Complete Fifteen-Part Master Engineering Knowledge Base</w:t>
      </w:r>
    </w:p>
    <w:p>
      <w:pPr>
        <w:spacing w:after="150" w:line="276"/>
        <w:jc w:val="both"/>
      </w:pPr>
      <w:r>
        <w:t xml:space="preserve">This Part completes the fifteen-part Master Engineering Knowledge Base. Part 1 mapped the SAPZ documentation ecosystem and established the traceability backbone. Part 2 defined the nine Engineering Domains. Part 3 decomposed the platform into twenty functional modules. Part 4 organized this scope into a six-level Work Breakdown Structure and fixed the programme's twenty-five Engineering Work Packages. Parts 5 through 8 specified every Work Package to full implementation detail. Part 9 sequenced them into a twenty-sprint roadmap across five releases. Part 10 consolidated the Master Product Backlog. Part 11 mapped the full dependency structure and critical path. Part 12 provided the reusable Antigravity execution prompt. Part 13 operationalized daily and sprint-level execution. Part 14 consolidated every quality gate into one four-tier model. This Part closes the loop with a formal, evidenced readiness assessment.</w:t>
      </w:r>
    </w:p>
    <w:p>
      <w:pPr>
        <w:spacing w:after="150" w:line="276"/>
        <w:jc w:val="both"/>
      </w:pPr>
      <w:r>
        <w:t xml:space="preserve">Together, these fifteen Parts form a single, internally consistent, fully traceable bridge between eighteen months of business, architecture, and engineering documentation and the incremental, AI-assisted implementation of the SAPZ Enterprise System Management Platform and Central Knowledge Repository. Every Work Package is independently implementable, every requirement is traceable to its origin, every quality gate is auditable, and this final Part confirms — honestly, not aspirationally — exactly what is ready today and what remains to be confirmed before Sprint 1 begins.</w:t>
      </w:r>
    </w:p>
    <w:p>
      <w:pPr>
        <w:pStyle w:val="Heading2"/>
        <w:spacing w:after="110" w:before="260"/>
      </w:pPr>
      <w:r>
        <w:rPr>
          <w:b/>
          <w:bCs/>
          <w:color w:val="97771F"/>
          <w:sz w:val="21"/>
          <w:szCs w:val="21"/>
        </w:rPr>
        <w:t xml:space="preserve">15.8.1  </w:t>
      </w:r>
      <w:r>
        <w:rPr>
          <w:b/>
          <w:bCs/>
          <w:color w:val="33363C"/>
          <w:sz w:val="21"/>
          <w:szCs w:val="21"/>
        </w:rPr>
        <w:t xml:space="preserve">Full MEKB Table of Contents</w:t>
      </w:r>
    </w:p>
    <w:p>
      <w:pPr>
        <w:spacing w:after="90" w:line="264"/>
      </w:pPr>
      <w:r>
        <w:rPr>
          <w:b/>
          <w:bCs/>
          <w:color w:val="33363C"/>
        </w:rPr>
        <w:t xml:space="preserve">1. </w:t>
      </w:r>
      <w:r>
        <w:t xml:space="preserve">Engineering Knowledge Map</w:t>
      </w:r>
    </w:p>
    <w:p>
      <w:pPr>
        <w:spacing w:after="90" w:line="264"/>
      </w:pPr>
      <w:r>
        <w:rPr>
          <w:b/>
          <w:bCs/>
          <w:color w:val="33363C"/>
        </w:rPr>
        <w:t xml:space="preserve">2. </w:t>
      </w:r>
      <w:r>
        <w:t xml:space="preserve">Engineering Domains</w:t>
      </w:r>
    </w:p>
    <w:p>
      <w:pPr>
        <w:spacing w:after="90" w:line="264"/>
      </w:pPr>
      <w:r>
        <w:rPr>
          <w:b/>
          <w:bCs/>
          <w:color w:val="33363C"/>
        </w:rPr>
        <w:t xml:space="preserve">3. </w:t>
      </w:r>
      <w:r>
        <w:t xml:space="preserve">Module Decomposition</w:t>
      </w:r>
    </w:p>
    <w:p>
      <w:pPr>
        <w:spacing w:after="90" w:line="264"/>
      </w:pPr>
      <w:r>
        <w:rPr>
          <w:b/>
          <w:bCs/>
          <w:color w:val="33363C"/>
        </w:rPr>
        <w:t xml:space="preserve">4. </w:t>
      </w:r>
      <w:r>
        <w:t xml:space="preserve">Engineering Work Breakdown Structure</w:t>
      </w:r>
    </w:p>
    <w:p>
      <w:pPr>
        <w:spacing w:after="90" w:line="264"/>
      </w:pPr>
      <w:r>
        <w:rPr>
          <w:b/>
          <w:bCs/>
          <w:color w:val="33363C"/>
        </w:rPr>
        <w:t xml:space="preserve">5. </w:t>
      </w:r>
      <w:r>
        <w:t xml:space="preserve">Engineering Work Packages 01–05</w:t>
      </w:r>
    </w:p>
    <w:p>
      <w:pPr>
        <w:spacing w:after="90" w:line="264"/>
      </w:pPr>
      <w:r>
        <w:rPr>
          <w:b/>
          <w:bCs/>
          <w:color w:val="33363C"/>
        </w:rPr>
        <w:t xml:space="preserve">6. </w:t>
      </w:r>
      <w:r>
        <w:t xml:space="preserve">Engineering Work Packages 06–10</w:t>
      </w:r>
    </w:p>
    <w:p>
      <w:pPr>
        <w:spacing w:after="90" w:line="264"/>
      </w:pPr>
      <w:r>
        <w:rPr>
          <w:b/>
          <w:bCs/>
          <w:color w:val="33363C"/>
        </w:rPr>
        <w:t xml:space="preserve">7. </w:t>
      </w:r>
      <w:r>
        <w:t xml:space="preserve">Engineering Work Packages 11–15</w:t>
      </w:r>
    </w:p>
    <w:p>
      <w:pPr>
        <w:spacing w:after="90" w:line="264"/>
      </w:pPr>
      <w:r>
        <w:rPr>
          <w:b/>
          <w:bCs/>
          <w:color w:val="33363C"/>
        </w:rPr>
        <w:t xml:space="preserve">8. </w:t>
      </w:r>
      <w:r>
        <w:t xml:space="preserve">Engineering Work Packages 16–25</w:t>
      </w:r>
    </w:p>
    <w:p>
      <w:pPr>
        <w:spacing w:after="90" w:line="264"/>
      </w:pPr>
      <w:r>
        <w:rPr>
          <w:b/>
          <w:bCs/>
          <w:color w:val="33363C"/>
        </w:rPr>
        <w:t xml:space="preserve">9. </w:t>
      </w:r>
      <w:r>
        <w:t xml:space="preserve">Sprint Roadmap</w:t>
      </w:r>
    </w:p>
    <w:p>
      <w:pPr>
        <w:spacing w:after="90" w:line="264"/>
      </w:pPr>
      <w:r>
        <w:rPr>
          <w:b/>
          <w:bCs/>
          <w:color w:val="33363C"/>
        </w:rPr>
        <w:t xml:space="preserve">10. </w:t>
      </w:r>
      <w:r>
        <w:t xml:space="preserve">Master Product Backlog</w:t>
      </w:r>
    </w:p>
    <w:p>
      <w:pPr>
        <w:spacing w:after="90" w:line="264"/>
      </w:pPr>
      <w:r>
        <w:rPr>
          <w:b/>
          <w:bCs/>
          <w:color w:val="33363C"/>
        </w:rPr>
        <w:t xml:space="preserve">11. </w:t>
      </w:r>
      <w:r>
        <w:t xml:space="preserve">Work Package Dependency Matrix</w:t>
      </w:r>
    </w:p>
    <w:p>
      <w:pPr>
        <w:spacing w:after="90" w:line="264"/>
      </w:pPr>
      <w:r>
        <w:rPr>
          <w:b/>
          <w:bCs/>
          <w:color w:val="33363C"/>
        </w:rPr>
        <w:t xml:space="preserve">12. </w:t>
      </w:r>
      <w:r>
        <w:t xml:space="preserve">Master Prompt Library</w:t>
      </w:r>
    </w:p>
    <w:p>
      <w:pPr>
        <w:spacing w:after="90" w:line="264"/>
      </w:pPr>
      <w:r>
        <w:rPr>
          <w:b/>
          <w:bCs/>
          <w:color w:val="33363C"/>
        </w:rPr>
        <w:t xml:space="preserve">13. </w:t>
      </w:r>
      <w:r>
        <w:t xml:space="preserve">Engineering Execution Playbook</w:t>
      </w:r>
    </w:p>
    <w:p>
      <w:pPr>
        <w:spacing w:after="90" w:line="264"/>
      </w:pPr>
      <w:r>
        <w:rPr>
          <w:b/>
          <w:bCs/>
          <w:color w:val="33363C"/>
        </w:rPr>
        <w:t xml:space="preserve">14. </w:t>
      </w:r>
      <w:r>
        <w:t xml:space="preserve">Quality Gates &amp; Acceptance Framework</w:t>
      </w:r>
    </w:p>
    <w:p>
      <w:pPr>
        <w:spacing w:after="90" w:line="264"/>
      </w:pPr>
      <w:r>
        <w:rPr>
          <w:b/>
          <w:bCs/>
          <w:color w:val="33363C"/>
        </w:rPr>
        <w:t xml:space="preserve">15. </w:t>
      </w:r>
      <w:r>
        <w:t xml:space="preserve">Implementation Readiness Assessment</w:t>
      </w:r>
    </w:p>
    <w:p>
      <w:pPr>
        <w:pStyle w:val="Heading2"/>
        <w:spacing w:after="110" w:before="260"/>
      </w:pPr>
      <w:r>
        <w:rPr>
          <w:b/>
          <w:bCs/>
          <w:color w:val="97771F"/>
          <w:sz w:val="21"/>
          <w:szCs w:val="21"/>
        </w:rPr>
        <w:t xml:space="preserve">15.8.2  </w:t>
      </w:r>
      <w:r>
        <w:rPr>
          <w:b/>
          <w:bCs/>
          <w:color w:val="33363C"/>
          <w:sz w:val="21"/>
          <w:szCs w:val="21"/>
        </w:rPr>
        <w:t xml:space="preserve">Final Handoff</w:t>
      </w:r>
    </w:p>
    <w:p>
      <w:pPr>
        <w:spacing w:after="150" w:line="276"/>
        <w:jc w:val="both"/>
      </w:pPr>
      <w:r>
        <w:t xml:space="preserve">The Master Engineering Knowledge Base is complete. Antigravity, and any human engineer joining the programme, should begin at Part 1, Section 1.8 (How Antigravity Should Navigate This Ecosystem), execute Sprint 0 per Part 9 to close the two pending readiness categories identified in this Part, and then proceed to WP-01 using the Master Prompt Library (Part 12) and the Engineering Execution Playbook (Part 13), validating every Work Package against the Quality Gates established in Part 14.</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rFonts w:ascii="Calibri" w:cs="Calibri" w:eastAsia="Calibri" w:hAnsi="Calibri"/>
      <w:b/>
      <w:bCs/>
      <w:color w:val="33363C"/>
      <w:sz w:val="26"/>
      <w:szCs w:val="26"/>
    </w:rPr>
  </w:style>
  <w:style w:type="paragraph" w:styleId="Heading2">
    <w:name w:val="Heading 2"/>
    <w:basedOn w:val="Normal"/>
    <w:next w:val="Normal"/>
    <w:qFormat/>
    <w:pPr>
      <w:spacing w:after="110" w:before="240"/>
    </w:pPr>
    <w:rPr>
      <w:rFonts w:ascii="Calibri" w:cs="Calibri" w:eastAsia="Calibri" w:hAnsi="Calibri"/>
      <w:b/>
      <w:bCs/>
      <w:color w:val="33363C"/>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2026-07-20T14:33:40.541Z</dcterms:created>
  <dcterms:modified xsi:type="dcterms:W3CDTF">2026-07-20T14:33:40.541Z</dcterms:modified>
</cp:coreProperties>
</file>

<file path=docProps/custom.xml><?xml version="1.0" encoding="utf-8"?>
<Properties xmlns="http://schemas.openxmlformats.org/officeDocument/2006/custom-properties" xmlns:vt="http://schemas.openxmlformats.org/officeDocument/2006/docPropsVTypes"/>
</file>