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B0602A"/>
          <w:sz w:val="22"/>
          <w:szCs w:val="22"/>
        </w:rPr>
        <w:t xml:space="preserve">SAPZ ENTERPRISE RELEASE STRATEGY &amp; INCREMENTAL DELIVERY ROADMAP</w:t>
      </w:r>
    </w:p>
    <w:p>
      <w:pPr>
        <w:spacing w:after="260"/>
        <w:jc w:val="center"/>
      </w:pPr>
      <w:r>
        <w:rPr>
          <w:b/>
          <w:bCs/>
          <w:color w:val="13201F"/>
          <w:sz w:val="28"/>
          <w:szCs w:val="28"/>
        </w:rPr>
        <w:t xml:space="preserve">Part 1</w:t>
      </w:r>
    </w:p>
    <w:p>
      <w:pPr>
        <w:pBdr>
          <w:bottom w:val="single" w:color="1F4C4A" w:sz="14" w:space="10"/>
        </w:pBdr>
        <w:spacing w:after="160"/>
        <w:jc w:val="center"/>
      </w:pPr>
      <w:r>
        <w:rPr>
          <w:b/>
          <w:bCs/>
          <w:color w:val="13201F"/>
          <w:sz w:val="40"/>
          <w:szCs w:val="40"/>
        </w:rPr>
        <w:t xml:space="preserve">Release Strategy</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Executive Release Strategy — How the SAPZ Platform Will Be Delivered in Phases</w:t>
      </w:r>
    </w:p>
    <w:p>
      <w:r>
        <w:br w:type="page"/>
      </w:r>
    </w:p>
    <w:p>
      <w:pPr>
        <w:spacing w:after="40"/>
        <w:jc w:val="left"/>
      </w:pPr>
      <w:r>
        <w:rPr>
          <w:b/>
          <w:bCs/>
          <w:caps/>
          <w:color w:val="B0602A"/>
          <w:sz w:val="22"/>
          <w:szCs w:val="22"/>
        </w:rPr>
        <w:t xml:space="preserve">PART 1</w:t>
      </w:r>
    </w:p>
    <w:p>
      <w:pPr>
        <w:pBdr>
          <w:bottom w:val="single" w:color="1F4C4A" w:sz="12" w:space="8"/>
        </w:pBdr>
        <w:spacing w:after="200"/>
        <w:jc w:val="left"/>
      </w:pPr>
      <w:r>
        <w:rPr>
          <w:b/>
          <w:bCs/>
          <w:color w:val="13201F"/>
          <w:sz w:val="44"/>
          <w:szCs w:val="44"/>
        </w:rPr>
        <w:t xml:space="preserve">Release Strategy</w:t>
      </w:r>
    </w:p>
    <w:p>
      <w:pPr>
        <w:spacing w:after="90" w:before="180"/>
      </w:pPr>
      <w:r>
        <w:rPr>
          <w:b/>
          <w:bCs/>
          <w:color w:val="13201F"/>
          <w:sz w:val="19"/>
          <w:szCs w:val="19"/>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4C4A" w:val="clear"/>
            <w:tcMar>
              <w:top w:type="dxa" w:w="70"/>
              <w:left w:type="dxa" w:w="110"/>
              <w:bottom w:type="dxa" w:w="70"/>
              <w:right w:type="dxa" w:w="110"/>
            </w:tcMar>
            <w:vAlign w:val="top"/>
          </w:tcPr>
          <w:p>
            <w:r>
              <w:rPr>
                <w:b/>
                <w:bCs/>
                <w:color w:val="FFFFFF"/>
                <w:sz w:val="17"/>
                <w:szCs w:val="17"/>
              </w:rPr>
              <w:t xml:space="preserve">Field</w:t>
            </w:r>
          </w:p>
        </w:tc>
        <w:tc>
          <w:tcPr>
            <w:tcW w:type="dxa" w:w="7258"/>
            <w:shd w:fill="1F4C4A" w:val="clear"/>
            <w:tcMar>
              <w:top w:type="dxa" w:w="70"/>
              <w:left w:type="dxa" w:w="110"/>
              <w:bottom w:type="dxa" w:w="70"/>
              <w:right w:type="dxa" w:w="110"/>
            </w:tcMar>
            <w:vAlign w:val="top"/>
          </w:tcPr>
          <w:p>
            <w:r>
              <w:rPr>
                <w:b/>
                <w:bCs/>
                <w:color w:val="FFFFFF"/>
                <w:sz w:val="17"/>
                <w:szCs w:val="17"/>
              </w:rPr>
              <w:t xml:space="preserve">Value</w:t>
            </w:r>
          </w:p>
        </w:tc>
      </w:tr>
      <w:tr>
        <w:tc>
          <w:tcPr>
            <w:tcW w:type="dxa" w:w="2822"/>
            <w:tcMar>
              <w:top w:type="dxa" w:w="70"/>
              <w:left w:type="dxa" w:w="110"/>
              <w:bottom w:type="dxa" w:w="70"/>
              <w:right w:type="dxa" w:w="110"/>
            </w:tcMar>
            <w:vAlign w:val="top"/>
          </w:tcPr>
          <w:p>
            <w:r>
              <w:rPr>
                <w:b/>
                <w:bCs/>
                <w:color w:val="1A1A1A"/>
                <w:sz w:val="17"/>
                <w:szCs w:val="17"/>
              </w:rPr>
              <w:t xml:space="preserve">Document Title</w:t>
            </w:r>
          </w:p>
        </w:tc>
        <w:tc>
          <w:tcPr>
            <w:tcW w:type="dxa" w:w="7258"/>
            <w:tcMar>
              <w:top w:type="dxa" w:w="70"/>
              <w:left w:type="dxa" w:w="110"/>
              <w:bottom w:type="dxa" w:w="70"/>
              <w:right w:type="dxa" w:w="110"/>
            </w:tcMar>
            <w:vAlign w:val="top"/>
          </w:tcPr>
          <w:p>
            <w:r>
              <w:rPr>
                <w:b w:val="false"/>
                <w:bCs w:val="false"/>
                <w:color w:val="1A1A1A"/>
                <w:sz w:val="17"/>
                <w:szCs w:val="17"/>
              </w:rPr>
              <w:t xml:space="preserve">Enterprise Release Strategy &amp; Incremental Delivery Roadmap (ERS)</w:t>
            </w:r>
          </w:p>
        </w:tc>
      </w:tr>
      <w:tr>
        <w:tc>
          <w:tcPr>
            <w:tcW w:type="dxa" w:w="2822"/>
            <w:tcMar>
              <w:top w:type="dxa" w:w="70"/>
              <w:left w:type="dxa" w:w="110"/>
              <w:bottom w:type="dxa" w:w="70"/>
              <w:right w:type="dxa" w:w="110"/>
            </w:tcMar>
            <w:vAlign w:val="top"/>
          </w:tcPr>
          <w:p>
            <w:r>
              <w:rPr>
                <w:b/>
                <w:bCs/>
                <w:color w:val="1A1A1A"/>
                <w:sz w:val="17"/>
                <w:szCs w:val="17"/>
              </w:rPr>
              <w:t xml:space="preserve">Part</w:t>
            </w:r>
          </w:p>
        </w:tc>
        <w:tc>
          <w:tcPr>
            <w:tcW w:type="dxa" w:w="7258"/>
            <w:tcMar>
              <w:top w:type="dxa" w:w="70"/>
              <w:left w:type="dxa" w:w="110"/>
              <w:bottom w:type="dxa" w:w="70"/>
              <w:right w:type="dxa" w:w="110"/>
            </w:tcMar>
            <w:vAlign w:val="top"/>
          </w:tcPr>
          <w:p>
            <w:r>
              <w:rPr>
                <w:b w:val="false"/>
                <w:bCs w:val="false"/>
                <w:color w:val="1A1A1A"/>
                <w:sz w:val="17"/>
                <w:szCs w:val="17"/>
              </w:rPr>
              <w:t xml:space="preserve">Part 1 of 12 — Release Strategy</w:t>
            </w:r>
          </w:p>
        </w:tc>
      </w:tr>
      <w:tr>
        <w:tc>
          <w:tcPr>
            <w:tcW w:type="dxa" w:w="2822"/>
            <w:tcMar>
              <w:top w:type="dxa" w:w="70"/>
              <w:left w:type="dxa" w:w="110"/>
              <w:bottom w:type="dxa" w:w="70"/>
              <w:right w:type="dxa" w:w="110"/>
            </w:tcMar>
            <w:vAlign w:val="top"/>
          </w:tcPr>
          <w:p>
            <w:r>
              <w:rPr>
                <w:b/>
                <w:bCs/>
                <w:color w:val="1A1A1A"/>
                <w:sz w:val="17"/>
                <w:szCs w:val="17"/>
              </w:rPr>
              <w:t xml:space="preserve">Governing Documents</w:t>
            </w:r>
          </w:p>
        </w:tc>
        <w:tc>
          <w:tcPr>
            <w:tcW w:type="dxa" w:w="7258"/>
            <w:tcMar>
              <w:top w:type="dxa" w:w="70"/>
              <w:left w:type="dxa" w:w="110"/>
              <w:bottom w:type="dxa" w:w="70"/>
              <w:right w:type="dxa" w:w="110"/>
            </w:tcMar>
            <w:vAlign w:val="top"/>
          </w:tcPr>
          <w:p>
            <w:r>
              <w:rPr>
                <w:b w:val="false"/>
                <w:bCs w:val="false"/>
                <w:color w:val="1A1A1A"/>
                <w:sz w:val="17"/>
                <w:szCs w:val="17"/>
              </w:rPr>
              <w:t xml:space="preserve">BRD, PDD, SRS, Enterprise Solution Architecture, DDS, AIDS, Security Architecture, TSAS, PDIB, Engineering Handbook, MEKB (Parts 1–15), Engineering WBS, Work Packages, Product Backlog</w:t>
            </w:r>
          </w:p>
        </w:tc>
      </w:tr>
      <w:tr>
        <w:tc>
          <w:tcPr>
            <w:tcW w:type="dxa" w:w="2822"/>
            <w:tcMar>
              <w:top w:type="dxa" w:w="70"/>
              <w:left w:type="dxa" w:w="110"/>
              <w:bottom w:type="dxa" w:w="70"/>
              <w:right w:type="dxa" w:w="110"/>
            </w:tcMar>
            <w:vAlign w:val="top"/>
          </w:tcPr>
          <w:p>
            <w:r>
              <w:rPr>
                <w:b/>
                <w:bCs/>
                <w:color w:val="1A1A1A"/>
                <w:sz w:val="17"/>
                <w:szCs w:val="17"/>
              </w:rPr>
              <w:t xml:space="preserve">Authorship Mandate</w:t>
            </w:r>
          </w:p>
        </w:tc>
        <w:tc>
          <w:tcPr>
            <w:tcW w:type="dxa" w:w="7258"/>
            <w:tcMar>
              <w:top w:type="dxa" w:w="70"/>
              <w:left w:type="dxa" w:w="110"/>
              <w:bottom w:type="dxa" w:w="70"/>
              <w:right w:type="dxa" w:w="110"/>
            </w:tcMar>
            <w:vAlign w:val="top"/>
          </w:tcPr>
          <w:p>
            <w:r>
              <w:rPr>
                <w:b w:val="false"/>
                <w:bCs w:val="false"/>
                <w:color w:val="1A1A1A"/>
                <w:sz w:val="17"/>
                <w:szCs w:val="17"/>
              </w:rPr>
              <w:t xml:space="preserve">Organize the approved solution into releases. Do not redesign the solution. Do not introduce new requirements.</w:t>
            </w:r>
          </w:p>
        </w:tc>
      </w:tr>
      <w:tr>
        <w:tc>
          <w:tcPr>
            <w:tcW w:type="dxa" w:w="2822"/>
            <w:tcMar>
              <w:top w:type="dxa" w:w="70"/>
              <w:left w:type="dxa" w:w="110"/>
              <w:bottom w:type="dxa" w:w="70"/>
              <w:right w:type="dxa" w:w="110"/>
            </w:tcMar>
            <w:vAlign w:val="top"/>
          </w:tcPr>
          <w:p>
            <w:r>
              <w:rPr>
                <w:b/>
                <w:bCs/>
                <w:color w:val="1A1A1A"/>
                <w:sz w:val="17"/>
                <w:szCs w:val="17"/>
              </w:rPr>
              <w:t xml:space="preserve">Audience</w:t>
            </w:r>
          </w:p>
        </w:tc>
        <w:tc>
          <w:tcPr>
            <w:tcW w:type="dxa" w:w="7258"/>
            <w:tcMar>
              <w:top w:type="dxa" w:w="70"/>
              <w:left w:type="dxa" w:w="110"/>
              <w:bottom w:type="dxa" w:w="70"/>
              <w:right w:type="dxa" w:w="110"/>
            </w:tcMar>
            <w:vAlign w:val="top"/>
          </w:tcPr>
          <w:p>
            <w:r>
              <w:rPr>
                <w:b w:val="false"/>
                <w:bCs w:val="false"/>
                <w:color w:val="1A1A1A"/>
                <w:sz w:val="17"/>
                <w:szCs w:val="17"/>
              </w:rPr>
              <w:t xml:space="preserve">IFAD, NPCO, Steering Committee, Executive Sponsors, PMO, Delivery Leadership, Architecture Review Board</w:t>
            </w:r>
          </w:p>
        </w:tc>
      </w:tr>
    </w:tbl>
    <w:p>
      <w:pPr>
        <w:pStyle w:val="Heading1"/>
        <w:pBdr>
          <w:bottom w:val="single" w:color="C9DAD8" w:sz="4" w:space="4"/>
        </w:pBdr>
        <w:spacing w:after="140" w:before="360"/>
      </w:pPr>
      <w:r>
        <w:rPr>
          <w:b/>
          <w:bCs/>
          <w:color w:val="B0602A"/>
          <w:sz w:val="26"/>
          <w:szCs w:val="26"/>
        </w:rPr>
        <w:t xml:space="preserve">1.1  </w:t>
      </w:r>
      <w:r>
        <w:rPr>
          <w:b/>
          <w:bCs/>
          <w:color w:val="1F4C4A"/>
          <w:sz w:val="26"/>
          <w:szCs w:val="26"/>
        </w:rPr>
        <w:t xml:space="preserve">Purpose and Mandate of This Roadmap</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why a release strategy is required in addition to the completed engineering documentation, and define its authority.</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a single governing plan for sequencing, funding, and accepting delivery — distinct from, but fully traceable to, the engineering specification.</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This document does not alter a single requirement, entity, endpoint, or Work Package already fixed across the BRD, SRS, MEKB, DDS, or AIDS. It organizes them into releases.</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reader — technical or executive — understands that this is a delivery sequencing document, not a re-specification.</w:t>
            </w:r>
          </w:p>
        </w:tc>
      </w:tr>
    </w:tbl>
    <w:p>
      <w:pPr>
        <w:spacing w:after="160"/>
      </w:pPr>
    </w:p>
    <w:p>
      <w:pPr>
        <w:spacing w:after="150" w:line="276"/>
        <w:jc w:val="both"/>
      </w:pPr>
      <w:r>
        <w:t xml:space="preserve">The SAPZ Enterprise System Management (ESM) Platform and Central Knowledge Repository (CKR) have been fully specified. The Business Requirements Document defines what the business needs. The Software Requirements Specification defines what the system must do. The Master Engineering Knowledge Base defines how it will be built, in what order, by whom, and against what quality bar. Twenty-five Engineering Work Packages, a 20-sprint roadmap, and a 357-point product backlog already exist as an executable engineering plan.</w:t>
      </w:r>
    </w:p>
    <w:p>
      <w:pPr>
        <w:spacing w:after="150" w:line="276"/>
        <w:jc w:val="both"/>
      </w:pPr>
      <w:r>
        <w:t xml:space="preserve">What has not yet existed, until this document, is a release plan written for the people who fund, govern, and accept the programme rather than the people who build it. A Steering Committee member does not need to know that WP-10 the Workflow Engine precedes WP-11 Approvals in the dependency graph. They need to know that Release 4 delivers a fully operational Programme Management capability, what business problem that solves, what it costs in time and risk, and what evidence will be presented before they approve it for use.</w:t>
      </w:r>
    </w:p>
    <w:p>
      <w:pPr>
        <w:spacing w:after="150" w:line="276"/>
        <w:jc w:val="both"/>
      </w:pPr>
      <w:r>
        <w:t xml:space="preserve">This Enterprise Release Strategy &amp; Incremental Delivery Roadmap (ERS) is that plan. It takes the entire, already-approved engineering scope and organizes it into five sequential, business-capable releases — each independently deployable, demonstrable, and acceptable — without altering a single requirement underneath.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This document has no authority to change scope. Where any statement here appears to conflict with the BRD, SRS, MEKB, or any other governing document, the governing document prevails and this Roadmap must be corrected through the Change Request process defined in MEKB Part 13 and Engineering Handbook Chapter 21.</w:t>
            </w:r>
          </w:p>
        </w:tc>
      </w:tr>
    </w:tbl>
    <w:p>
      <w:pPr>
        <w:pStyle w:val="Heading1"/>
        <w:pBdr>
          <w:bottom w:val="single" w:color="C9DAD8" w:sz="4" w:space="4"/>
        </w:pBdr>
        <w:spacing w:after="140" w:before="360"/>
      </w:pPr>
      <w:r>
        <w:rPr>
          <w:b/>
          <w:bCs/>
          <w:color w:val="B0602A"/>
          <w:sz w:val="26"/>
          <w:szCs w:val="26"/>
        </w:rPr>
        <w:t xml:space="preserve">1.2  </w:t>
      </w:r>
      <w:r>
        <w:rPr>
          <w:b/>
          <w:bCs/>
          <w:color w:val="1F4C4A"/>
          <w:sz w:val="26"/>
          <w:szCs w:val="26"/>
        </w:rPr>
        <w:t xml:space="preserve">Release Philosophy</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guiding philosophy behind how releases are structured and sequenced.</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 shared philosophy prevents every subsequent scoping argument from being re-litigated release by release.</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Consistent with the Agile Delivery Framework already fixed in PDIB Part 6 and the Sprint Governance model in Engineering Handbook Chapter 20.</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release decision in this document can be traced back to one of the five philosophy statements below.</w:t>
            </w:r>
          </w:p>
        </w:tc>
      </w:tr>
    </w:tbl>
    <w:p>
      <w:pPr>
        <w:spacing w:after="160"/>
      </w:pPr>
    </w:p>
    <w:p>
      <w:pPr>
        <w:spacing w:after="90" w:line="264"/>
      </w:pPr>
      <w:r>
        <w:rPr>
          <w:b/>
          <w:bCs/>
          <w:color w:val="1F4C4A"/>
        </w:rPr>
        <w:t xml:space="preserve">1. </w:t>
      </w:r>
      <w:r>
        <w:t xml:space="preserve">Deliver a working system early, and keep it working. The platform must never be in an undeployable state for longer than a single sprint. Every release is a superset of the previous one's stability, never a regression.</w:t>
      </w:r>
    </w:p>
    <w:p>
      <w:pPr>
        <w:spacing w:after="90" w:line="264"/>
      </w:pPr>
      <w:r>
        <w:rPr>
          <w:b/>
          <w:bCs/>
          <w:color w:val="1F4C4A"/>
        </w:rPr>
        <w:t xml:space="preserve">2. </w:t>
      </w:r>
      <w:r>
        <w:t xml:space="preserve">Sequence by dependency first, by business value second. A capability cannot be released before what it structurally depends on exists. Within that constraint, the highest-value capability goes first.</w:t>
      </w:r>
    </w:p>
    <w:p>
      <w:pPr>
        <w:spacing w:after="90" w:line="264"/>
      </w:pPr>
      <w:r>
        <w:rPr>
          <w:b/>
          <w:bCs/>
          <w:color w:val="1F4C4A"/>
        </w:rPr>
        <w:t xml:space="preserve">3. </w:t>
      </w:r>
      <w:r>
        <w:t xml:space="preserve">Every release must stand on its own. A release is not a checkpoint in an unfinished build — it is a complete, coherent slice of the platform that a real user could be handed today and use for real work.</w:t>
      </w:r>
    </w:p>
    <w:p>
      <w:pPr>
        <w:spacing w:after="90" w:line="264"/>
      </w:pPr>
      <w:r>
        <w:rPr>
          <w:b/>
          <w:bCs/>
          <w:color w:val="1F4C4A"/>
        </w:rPr>
        <w:t xml:space="preserve">4. </w:t>
      </w:r>
      <w:r>
        <w:t xml:space="preserve">Prefer a thin, working slice over a wide, unfinished one. Where a capability is needed only in part to unblock a release (for example, a minimal approval route to publish a document), deliver only that part — and mature it fully when its own release arrives.</w:t>
      </w:r>
    </w:p>
    <w:p>
      <w:pPr>
        <w:spacing w:after="90" w:line="264"/>
      </w:pPr>
      <w:r>
        <w:rPr>
          <w:b/>
          <w:bCs/>
          <w:color w:val="1F4C4A"/>
        </w:rPr>
        <w:t xml:space="preserve">5. </w:t>
      </w:r>
      <w:r>
        <w:t xml:space="preserve">Governance scales with risk, not with calendar time. Every release passes through the same quality gates; releases touching security, public exposure, or AI-generated content receive additional, named review.</w:t>
      </w:r>
    </w:p>
    <w:p>
      <w:pPr>
        <w:pStyle w:val="Heading1"/>
        <w:pBdr>
          <w:bottom w:val="single" w:color="C9DAD8" w:sz="4" w:space="4"/>
        </w:pBdr>
        <w:spacing w:after="140" w:before="360"/>
      </w:pPr>
      <w:r>
        <w:rPr>
          <w:b/>
          <w:bCs/>
          <w:color w:val="B0602A"/>
          <w:sz w:val="26"/>
          <w:szCs w:val="26"/>
        </w:rPr>
        <w:t xml:space="preserve">1.3  </w:t>
      </w:r>
      <w:r>
        <w:rPr>
          <w:b/>
          <w:bCs/>
          <w:color w:val="1F4C4A"/>
          <w:sz w:val="26"/>
          <w:szCs w:val="26"/>
        </w:rPr>
        <w:t xml:space="preserve">Incremental Delivery Approach</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how the platform accumulates capability release over release, and why this reduces programme risk relative to a single 'big bang' delivery.</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Funding bodies and oversight committees receive demonstrable, auditable progress every few months rather than a single high-risk event at the end of a multi-year build.</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Each release is built from a fixed, non-overlapping subset of the 25 Engineering Work Packages defined in MEKB Parts 4–8, executed across the 20-sprint Sprint Roadmap in MEKB Part 9.</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Steering Committee that can, at any point after Release 1, demonstrate a live, working system to donors and stakeholders — not a set of engineering artifacts.</w:t>
            </w:r>
          </w:p>
        </w:tc>
      </w:tr>
    </w:tbl>
    <w:p>
      <w:pPr>
        <w:spacing w:after="160"/>
      </w:pPr>
    </w:p>
    <w:p>
      <w:pPr>
        <w:spacing w:after="150" w:line="276"/>
        <w:jc w:val="both"/>
      </w:pPr>
      <w:r>
        <w:t xml:space="preserve">The platform is delivered as five releases, each building on the production-stable foundation of the one before it. Release 1 establishes the platform's operating infrastructure. Releases 2 through 4 add complete, usable business capability in the order the organization can absorb and benefit from it. Release 5 completes the platform with intelligence, integration, and public-facing capability.</w:t>
      </w:r>
    </w:p>
    <w:p>
      <w:pPr>
        <w:spacing w:after="150" w:line="276"/>
        <w:jc w:val="both"/>
      </w:pPr>
      <w:r>
        <w:t xml:space="preserve">This differs deliberately from delivering the system as one indivisible unit at the end of a multi-year build. A single 'big bang' release concentrates all delivery risk, all integration risk, and all user-adoption risk into one go-live event, with no opportunity for course correction based on real usage. Incremental delivery instead surfaces integration issues early — while they are cheap to fix — and gives the organization a growing, usable system to build confidence and operating experience with long before the programme concludes.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C9DAD8" w:sz="4"/>
              <w:left w:val="dashed" w:color="C9DAD8" w:sz="4"/>
              <w:bottom w:val="dashed" w:color="C9DAD8" w:sz="4"/>
              <w:right w:val="dashed" w:color="C9DAD8" w:sz="4"/>
            </w:tcBorders>
            <w:shd w:fill="FAFAF8" w:val="clear"/>
            <w:tcMar>
              <w:top w:type="dxa" w:w="260"/>
              <w:left w:type="dxa" w:w="180"/>
              <w:bottom w:type="dxa" w:w="260"/>
              <w:right w:type="dxa" w:w="180"/>
            </w:tcMar>
          </w:tcPr>
          <w:p>
            <w:pPr>
              <w:spacing w:after="60"/>
              <w:jc w:val="center"/>
            </w:pPr>
            <w:r>
              <w:rPr>
                <w:b/>
                <w:bCs/>
                <w:color w:val="1F4C4A"/>
                <w:sz w:val="18"/>
                <w:szCs w:val="18"/>
              </w:rPr>
              <w:t xml:space="preserve">Figure 1.1</w:t>
            </w:r>
          </w:p>
          <w:p>
            <w:pPr>
              <w:spacing w:after="100"/>
              <w:jc w:val="center"/>
            </w:pPr>
            <w:r>
              <w:rPr>
                <w:i/>
                <w:iCs/>
                <w:color w:val="555555"/>
                <w:sz w:val="18"/>
                <w:szCs w:val="18"/>
              </w:rPr>
              <w:t xml:space="preserve">Incremental Delivery Model — Five Releases, Cumulative Capability</w:t>
            </w:r>
          </w:p>
          <w:p>
            <w:pPr>
              <w:jc w:val="center"/>
            </w:pPr>
            <w:r>
              <w:rPr>
                <w:i/>
                <w:iCs/>
                <w:color w:val="888888"/>
                <w:sz w:val="17"/>
                <w:szCs w:val="17"/>
              </w:rPr>
              <w:t xml:space="preserve">[Insert Incremental Delivery Model — Five Releases, Cumulative Capability Diagram]</w:t>
            </w:r>
          </w:p>
        </w:tc>
      </w:tr>
    </w:tbl>
    <w:p>
      <w:pPr>
        <w:pStyle w:val="Heading1"/>
        <w:pBdr>
          <w:bottom w:val="single" w:color="C9DAD8" w:sz="4" w:space="4"/>
        </w:pBdr>
        <w:spacing w:after="140" w:before="360"/>
      </w:pPr>
      <w:r>
        <w:rPr>
          <w:b/>
          <w:bCs/>
          <w:color w:val="B0602A"/>
          <w:sz w:val="26"/>
          <w:szCs w:val="26"/>
        </w:rPr>
        <w:t xml:space="preserve">1.4  </w:t>
      </w:r>
      <w:r>
        <w:rPr>
          <w:b/>
          <w:bCs/>
          <w:color w:val="1F4C4A"/>
          <w:sz w:val="26"/>
          <w:szCs w:val="26"/>
        </w:rPr>
        <w:t xml:space="preserve">Business-First Implementation Strategy</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Explain how release sequencing balances technical dependency against the order in which business value should be realized.</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Directly addresses the tension between 'what can be built first' and 'what the business wants first' — the central question of any release plan.</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Refines, without altering, the recommended release structure supplied in the release-strategy brief, reconciled against the Work Package Dependency Matrix already fixed in MEKB Part 11.</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release order that is both technically buildable without rework and recognizably business-driven to a non-technical stakeholder.</w:t>
            </w:r>
          </w:p>
        </w:tc>
      </w:tr>
    </w:tbl>
    <w:p>
      <w:pPr>
        <w:spacing w:after="160"/>
      </w:pPr>
    </w:p>
    <w:p>
      <w:pPr>
        <w:spacing w:after="150" w:line="276"/>
        <w:jc w:val="both"/>
      </w:pPr>
      <w:r>
        <w:t xml:space="preserve">Two forces shape the order in which capability can be released: what the business most wants to see and use first, and what the engineering can actually build first without having to redo earlier work. These forces do not always agree. The originally proposed release structure sequences Enterprise Content Management (Release 2) ahead of Programme Management (Release 4) — a business-first choice, since a working document platform is immediately useful. The underlying engineering dependency chain, however, requires a working Workflow Engine and Approval capability before Documents can enforce its own review-and-publish process, and the full Workflow and Approval capability is not scheduled for business release until Release 4.</w:t>
      </w:r>
    </w:p>
    <w:p>
      <w:pPr>
        <w:spacing w:after="150" w:line="276"/>
        <w:jc w:val="both"/>
      </w:pPr>
      <w:r>
        <w:t xml:space="preserve">This Roadmap resolves that tension the way a mature delivery programme resolves it in practice: by delivering a thin, purpose-built slice of the dependency early, without exposing it as a stand-alone business capability. Release 2 receives just enough Workflow and Approval capability — a single-approver document sign-off route — to make Enterprise Content Management fully functional and production-usable. The general-purpose Workflow Designer, multi-stage Approval Inbox, and Programme Management experience mature fully in Release 4, without any rework of what Release 2 delivered. Section 1.7 sets out this refinement in full, and Part 4 restates it as the authoritative release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0" w:sz="2"/>
              <w:left w:val="single" w:color="1F4C4A" w:sz="24"/>
              <w:bottom w:val="single" w:color="EAF1F0" w:sz="2"/>
              <w:right w:val="single" w:color="EAF1F0" w:sz="2"/>
            </w:tcBorders>
            <w:shd w:fill="EAF1F0" w:val="clear"/>
            <w:tcMar>
              <w:top w:type="dxa" w:w="120"/>
              <w:left w:type="dxa" w:w="180"/>
              <w:bottom w:type="dxa" w:w="120"/>
              <w:right w:type="dxa" w:w="180"/>
            </w:tcMar>
          </w:tcPr>
          <w:p>
            <w:pPr>
              <w:spacing w:after="60"/>
            </w:pPr>
            <w:r>
              <w:rPr>
                <w:b/>
                <w:bCs/>
                <w:color w:val="1F4C4A"/>
                <w:sz w:val="17"/>
                <w:szCs w:val="17"/>
              </w:rPr>
              <w:t xml:space="preserve">RECOMMENDATION</w:t>
            </w:r>
          </w:p>
          <w:p>
            <w:pPr>
              <w:spacing w:after="0"/>
            </w:pPr>
            <w:r>
              <w:rPr>
                <w:sz w:val="18"/>
                <w:szCs w:val="18"/>
              </w:rPr>
              <w:t xml:space="preserve">Treat every 'thin slice' identified in this Roadmap as a deliberate, named engineering decision, not a shortcut. Each is listed explicitly in Part 4 and re-appears in the Release Dependency Matrix (Part 5) so that no reviewer mistakes a partial capability for a defect.</w:t>
            </w:r>
          </w:p>
        </w:tc>
      </w:tr>
    </w:tbl>
    <w:p>
      <w:pPr>
        <w:pStyle w:val="Heading1"/>
        <w:pBdr>
          <w:bottom w:val="single" w:color="C9DAD8" w:sz="4" w:space="4"/>
        </w:pBdr>
        <w:spacing w:after="140" w:before="360"/>
      </w:pPr>
      <w:r>
        <w:rPr>
          <w:b/>
          <w:bCs/>
          <w:color w:val="B0602A"/>
          <w:sz w:val="26"/>
          <w:szCs w:val="26"/>
        </w:rPr>
        <w:t xml:space="preserve">1.5  </w:t>
      </w:r>
      <w:r>
        <w:rPr>
          <w:b/>
          <w:bCs/>
          <w:color w:val="1F4C4A"/>
          <w:sz w:val="26"/>
          <w:szCs w:val="26"/>
        </w:rPr>
        <w:t xml:space="preserve">Agile Release Management Principles</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release-management principles drawn from SAFe, Scrum, and DevSecOps practice that govern how releases are planned and executed.</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assurance, in terms familiar to any Tier-1 consulting engagement, that release management follows recognized industry practice rather than an ad hoc schedule.</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Consistent with the Sprint Governance model (Engineering Handbook Ch. 20), the Agile Delivery Framework (PDIB Part 6), and the Four-Tier Quality Gate Model (MEKB Part 14).</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release cadence that is predictable, inspectable, and adaptable without being undisciplined.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4C4A" w:val="clear"/>
            <w:tcMar>
              <w:top w:type="dxa" w:w="70"/>
              <w:left w:type="dxa" w:w="110"/>
              <w:bottom w:type="dxa" w:w="70"/>
              <w:right w:type="dxa" w:w="110"/>
            </w:tcMar>
            <w:vAlign w:val="top"/>
          </w:tcPr>
          <w:p>
            <w:r>
              <w:rPr>
                <w:b/>
                <w:bCs/>
                <w:color w:val="FFFFFF"/>
                <w:sz w:val="17"/>
                <w:szCs w:val="17"/>
              </w:rPr>
              <w:t xml:space="preserve">Principle</w:t>
            </w:r>
          </w:p>
        </w:tc>
        <w:tc>
          <w:tcPr>
            <w:tcW w:type="dxa" w:w="7056"/>
            <w:shd w:fill="1F4C4A" w:val="clear"/>
            <w:tcMar>
              <w:top w:type="dxa" w:w="70"/>
              <w:left w:type="dxa" w:w="110"/>
              <w:bottom w:type="dxa" w:w="70"/>
              <w:right w:type="dxa" w:w="110"/>
            </w:tcMar>
            <w:vAlign w:val="top"/>
          </w:tcPr>
          <w:p>
            <w:r>
              <w:rPr>
                <w:b/>
                <w:bCs/>
                <w:color w:val="FFFFFF"/>
                <w:sz w:val="17"/>
                <w:szCs w:val="17"/>
              </w:rPr>
              <w:t xml:space="preserve">How It Is Applied on This Programme</w:t>
            </w:r>
          </w:p>
        </w:tc>
      </w:tr>
      <w:tr>
        <w:tc>
          <w:tcPr>
            <w:tcW w:type="dxa" w:w="3024"/>
            <w:tcMar>
              <w:top w:type="dxa" w:w="70"/>
              <w:left w:type="dxa" w:w="110"/>
              <w:bottom w:type="dxa" w:w="70"/>
              <w:right w:type="dxa" w:w="110"/>
            </w:tcMar>
            <w:vAlign w:val="top"/>
          </w:tcPr>
          <w:p>
            <w:r>
              <w:rPr>
                <w:b/>
                <w:bCs/>
                <w:color w:val="1A1A1A"/>
                <w:sz w:val="17"/>
                <w:szCs w:val="17"/>
              </w:rPr>
              <w:t xml:space="preserve">Programme Increment (PI) cadence</w:t>
            </w:r>
          </w:p>
        </w:tc>
        <w:tc>
          <w:tcPr>
            <w:tcW w:type="dxa" w:w="7056"/>
            <w:tcMar>
              <w:top w:type="dxa" w:w="70"/>
              <w:left w:type="dxa" w:w="110"/>
              <w:bottom w:type="dxa" w:w="70"/>
              <w:right w:type="dxa" w:w="110"/>
            </w:tcMar>
            <w:vAlign w:val="top"/>
          </w:tcPr>
          <w:p>
            <w:r>
              <w:rPr>
                <w:b w:val="false"/>
                <w:bCs w:val="false"/>
                <w:color w:val="1A1A1A"/>
                <w:sz w:val="17"/>
                <w:szCs w:val="17"/>
              </w:rPr>
              <w:t xml:space="preserve">Each release corresponds to one Programme Increment of three to five sprints, closed by a PI System Demo to stakeholders (Part 6).</w:t>
            </w:r>
          </w:p>
        </w:tc>
      </w:tr>
      <w:tr>
        <w:tc>
          <w:tcPr>
            <w:tcW w:type="dxa" w:w="3024"/>
            <w:tcMar>
              <w:top w:type="dxa" w:w="70"/>
              <w:left w:type="dxa" w:w="110"/>
              <w:bottom w:type="dxa" w:w="70"/>
              <w:right w:type="dxa" w:w="110"/>
            </w:tcMar>
            <w:vAlign w:val="top"/>
          </w:tcPr>
          <w:p>
            <w:r>
              <w:rPr>
                <w:b/>
                <w:bCs/>
                <w:color w:val="1A1A1A"/>
                <w:sz w:val="17"/>
                <w:szCs w:val="17"/>
              </w:rPr>
              <w:t xml:space="preserve">Definition of Done at every level</w:t>
            </w:r>
          </w:p>
        </w:tc>
        <w:tc>
          <w:tcPr>
            <w:tcW w:type="dxa" w:w="7056"/>
            <w:tcMar>
              <w:top w:type="dxa" w:w="70"/>
              <w:left w:type="dxa" w:w="110"/>
              <w:bottom w:type="dxa" w:w="70"/>
              <w:right w:type="dxa" w:w="110"/>
            </w:tcMar>
            <w:vAlign w:val="top"/>
          </w:tcPr>
          <w:p>
            <w:r>
              <w:rPr>
                <w:b w:val="false"/>
                <w:bCs w:val="false"/>
                <w:color w:val="1A1A1A"/>
                <w:sz w:val="17"/>
                <w:szCs w:val="17"/>
              </w:rPr>
              <w:t xml:space="preserve">Work Package, Sprint, Release, and Programme each carry their own Definition of Done — the Four-Tier Quality Gate Model in MEKB Part 14, restated for release governance in Part 9 of this document.</w:t>
            </w:r>
          </w:p>
        </w:tc>
      </w:tr>
      <w:tr>
        <w:tc>
          <w:tcPr>
            <w:tcW w:type="dxa" w:w="3024"/>
            <w:tcMar>
              <w:top w:type="dxa" w:w="70"/>
              <w:left w:type="dxa" w:w="110"/>
              <w:bottom w:type="dxa" w:w="70"/>
              <w:right w:type="dxa" w:w="110"/>
            </w:tcMar>
            <w:vAlign w:val="top"/>
          </w:tcPr>
          <w:p>
            <w:r>
              <w:rPr>
                <w:b/>
                <w:bCs/>
                <w:color w:val="1A1A1A"/>
                <w:sz w:val="17"/>
                <w:szCs w:val="17"/>
              </w:rPr>
              <w:t xml:space="preserve">Continuous integration, continuous delivery</w:t>
            </w:r>
          </w:p>
        </w:tc>
        <w:tc>
          <w:tcPr>
            <w:tcW w:type="dxa" w:w="7056"/>
            <w:tcMar>
              <w:top w:type="dxa" w:w="70"/>
              <w:left w:type="dxa" w:w="110"/>
              <w:bottom w:type="dxa" w:w="70"/>
              <w:right w:type="dxa" w:w="110"/>
            </w:tcMar>
            <w:vAlign w:val="top"/>
          </w:tcPr>
          <w:p>
            <w:r>
              <w:rPr>
                <w:b w:val="false"/>
                <w:bCs w:val="false"/>
                <w:color w:val="1A1A1A"/>
                <w:sz w:val="17"/>
                <w:szCs w:val="17"/>
              </w:rPr>
              <w:t xml:space="preserve">Every Work Package merges to a shared trunk behind the DevSecOps pipeline (MEKB Part 13); a release branch is cut only at the release's Code Freeze milestone (Part 6).</w:t>
            </w:r>
          </w:p>
        </w:tc>
      </w:tr>
      <w:tr>
        <w:tc>
          <w:tcPr>
            <w:tcW w:type="dxa" w:w="3024"/>
            <w:tcMar>
              <w:top w:type="dxa" w:w="70"/>
              <w:left w:type="dxa" w:w="110"/>
              <w:bottom w:type="dxa" w:w="70"/>
              <w:right w:type="dxa" w:w="110"/>
            </w:tcMar>
            <w:vAlign w:val="top"/>
          </w:tcPr>
          <w:p>
            <w:r>
              <w:rPr>
                <w:b/>
                <w:bCs/>
                <w:color w:val="1A1A1A"/>
                <w:sz w:val="17"/>
                <w:szCs w:val="17"/>
              </w:rPr>
              <w:t xml:space="preserve">Inspect and adapt</w:t>
            </w:r>
          </w:p>
        </w:tc>
        <w:tc>
          <w:tcPr>
            <w:tcW w:type="dxa" w:w="7056"/>
            <w:tcMar>
              <w:top w:type="dxa" w:w="70"/>
              <w:left w:type="dxa" w:w="110"/>
              <w:bottom w:type="dxa" w:w="70"/>
              <w:right w:type="dxa" w:w="110"/>
            </w:tcMar>
            <w:vAlign w:val="top"/>
          </w:tcPr>
          <w:p>
            <w:r>
              <w:rPr>
                <w:b w:val="false"/>
                <w:bCs w:val="false"/>
                <w:color w:val="1A1A1A"/>
                <w:sz w:val="17"/>
                <w:szCs w:val="17"/>
              </w:rPr>
              <w:t xml:space="preserve">Each release closes with a Post-Implementation Review (Part 6) whose findings are fed into the next release's planning, not deferred to programme-end.</w:t>
            </w:r>
          </w:p>
        </w:tc>
      </w:tr>
      <w:tr>
        <w:tc>
          <w:tcPr>
            <w:tcW w:type="dxa" w:w="3024"/>
            <w:tcMar>
              <w:top w:type="dxa" w:w="70"/>
              <w:left w:type="dxa" w:w="110"/>
              <w:bottom w:type="dxa" w:w="70"/>
              <w:right w:type="dxa" w:w="110"/>
            </w:tcMar>
            <w:vAlign w:val="top"/>
          </w:tcPr>
          <w:p>
            <w:r>
              <w:rPr>
                <w:b/>
                <w:bCs/>
                <w:color w:val="1A1A1A"/>
                <w:sz w:val="17"/>
                <w:szCs w:val="17"/>
              </w:rPr>
              <w:t xml:space="preserve">Vertical slicing over horizontal layering</w:t>
            </w:r>
          </w:p>
        </w:tc>
        <w:tc>
          <w:tcPr>
            <w:tcW w:type="dxa" w:w="7056"/>
            <w:tcMar>
              <w:top w:type="dxa" w:w="70"/>
              <w:left w:type="dxa" w:w="110"/>
              <w:bottom w:type="dxa" w:w="70"/>
              <w:right w:type="dxa" w:w="110"/>
            </w:tcMar>
            <w:vAlign w:val="top"/>
          </w:tcPr>
          <w:p>
            <w:r>
              <w:rPr>
                <w:b w:val="false"/>
                <w:bCs w:val="false"/>
                <w:color w:val="1A1A1A"/>
                <w:sz w:val="17"/>
                <w:szCs w:val="17"/>
              </w:rPr>
              <w:t xml:space="preserve">Releases deliver complete, working business capability (UI through database), never a layer such as 'all APIs' or 'all databases' released on its own.</w:t>
            </w:r>
          </w:p>
        </w:tc>
      </w:tr>
      <w:tr>
        <w:tc>
          <w:tcPr>
            <w:tcW w:type="dxa" w:w="3024"/>
            <w:tcMar>
              <w:top w:type="dxa" w:w="70"/>
              <w:left w:type="dxa" w:w="110"/>
              <w:bottom w:type="dxa" w:w="70"/>
              <w:right w:type="dxa" w:w="110"/>
            </w:tcMar>
            <w:vAlign w:val="top"/>
          </w:tcPr>
          <w:p>
            <w:r>
              <w:rPr>
                <w:b/>
                <w:bCs/>
                <w:color w:val="1A1A1A"/>
                <w:sz w:val="17"/>
                <w:szCs w:val="17"/>
              </w:rPr>
              <w:t xml:space="preserve">Fail fast, fail cheap</w:t>
            </w:r>
          </w:p>
        </w:tc>
        <w:tc>
          <w:tcPr>
            <w:tcW w:type="dxa" w:w="7056"/>
            <w:tcMar>
              <w:top w:type="dxa" w:w="70"/>
              <w:left w:type="dxa" w:w="110"/>
              <w:bottom w:type="dxa" w:w="70"/>
              <w:right w:type="dxa" w:w="110"/>
            </w:tcMar>
            <w:vAlign w:val="top"/>
          </w:tcPr>
          <w:p>
            <w:r>
              <w:rPr>
                <w:b w:val="false"/>
                <w:bCs w:val="false"/>
                <w:color w:val="1A1A1A"/>
                <w:sz w:val="17"/>
                <w:szCs w:val="17"/>
              </w:rPr>
              <w:t xml:space="preserve">Architecture and Security Review Boards (Part 11) engage at release planning, not at release end — issues are caught before a sprint's work is built on a flawed premise.</w:t>
            </w:r>
          </w:p>
        </w:tc>
      </w:tr>
    </w:tbl>
    <w:p>
      <w:pPr>
        <w:pStyle w:val="Heading1"/>
        <w:pBdr>
          <w:bottom w:val="single" w:color="C9DAD8" w:sz="4" w:space="4"/>
        </w:pBdr>
        <w:spacing w:after="140" w:before="360"/>
      </w:pPr>
      <w:r>
        <w:rPr>
          <w:b/>
          <w:bCs/>
          <w:color w:val="B0602A"/>
          <w:sz w:val="26"/>
          <w:szCs w:val="26"/>
        </w:rPr>
        <w:t xml:space="preserve">1.6  </w:t>
      </w:r>
      <w:r>
        <w:rPr>
          <w:b/>
          <w:bCs/>
          <w:color w:val="1F4C4A"/>
          <w:sz w:val="26"/>
          <w:szCs w:val="26"/>
        </w:rPr>
        <w:t xml:space="preserve">Definition of a Business-Capable Release</w:t>
      </w:r>
    </w:p>
    <w:p>
      <w:pPr>
        <w:spacing w:after="160"/>
      </w:pPr>
    </w:p>
    <w:p>
      <w:pPr>
        <w:spacing w:after="150" w:line="276"/>
        <w:jc w:val="both"/>
      </w:pPr>
      <w:r>
        <w:t xml:space="preserve">Every release produced under this Roadmap must satisfy the same, non-negotiable definition. A release that does not meet every criterion below is not complete, regardless of how much engineering work has been finished.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IMPORTANT</w:t>
            </w:r>
          </w:p>
          <w:p>
            <w:pPr>
              <w:spacing w:after="0"/>
            </w:pPr>
            <w:r>
              <w:rPr>
                <w:sz w:val="18"/>
                <w:szCs w:val="18"/>
              </w:rPr>
              <w:t xml:space="preserve">Every release must conclude with a deployable, production-ready increment that can be independently demonstrated, tested, accepted, and, where appropriate, deployed to users. This ensures continuous value delivery, reduces implementation risk, and enables structured stakeholder feedback throughout the programme lifecycle. This single requirement governs every other section of this document.</w:t>
            </w:r>
          </w:p>
        </w:tc>
      </w:tr>
    </w:tbl>
    <w:p>
      <w:pPr>
        <w:spacing w:after="160"/>
      </w:pPr>
    </w:p>
    <w:p>
      <w:pPr>
        <w:spacing w:after="90" w:before="180"/>
      </w:pPr>
      <w:r>
        <w:rPr>
          <w:b/>
          <w:bCs/>
          <w:color w:val="13201F"/>
          <w:sz w:val="19"/>
          <w:szCs w:val="19"/>
        </w:rPr>
        <w:t xml:space="preserve">A release is business-capable only if all of the following are true:</w:t>
      </w:r>
    </w:p>
    <w:p>
      <w:pPr>
        <w:pStyle w:val="ListParagraph"/>
        <w:numPr>
          <w:ilvl w:val="0"/>
          <w:numId w:val="1"/>
        </w:numPr>
        <w:spacing w:after="90" w:line="264"/>
      </w:pPr>
      <w:r>
        <w:t xml:space="preserve">It solves a real, named business problem for a real, named group of users — not merely a technical milestone.</w:t>
      </w:r>
    </w:p>
    <w:p>
      <w:pPr>
        <w:pStyle w:val="ListParagraph"/>
        <w:numPr>
          <w:ilvl w:val="0"/>
          <w:numId w:val="1"/>
        </w:numPr>
        <w:spacing w:after="90" w:line="264"/>
      </w:pPr>
      <w:r>
        <w:t xml:space="preserve">It is deployable to a production-equivalent environment in a stable, working state, with no dependency on unbuilt future capability to function.</w:t>
      </w:r>
    </w:p>
    <w:p>
      <w:pPr>
        <w:pStyle w:val="ListParagraph"/>
        <w:numPr>
          <w:ilvl w:val="0"/>
          <w:numId w:val="1"/>
        </w:numPr>
        <w:spacing w:after="90" w:line="264"/>
      </w:pPr>
      <w:r>
        <w:t xml:space="preserve">It can be demonstrated end to end, by a business user performing a real task, without an engineer narrating around gaps.</w:t>
      </w:r>
    </w:p>
    <w:p>
      <w:pPr>
        <w:pStyle w:val="ListParagraph"/>
        <w:numPr>
          <w:ilvl w:val="0"/>
          <w:numId w:val="1"/>
        </w:numPr>
        <w:spacing w:after="90" w:line="264"/>
      </w:pPr>
      <w:r>
        <w:t xml:space="preserve">It has passed every quality gate defined for its tier (Part 9), including security review and, where applicable, UAT.</w:t>
      </w:r>
    </w:p>
    <w:p>
      <w:pPr>
        <w:pStyle w:val="ListParagraph"/>
        <w:numPr>
          <w:ilvl w:val="0"/>
          <w:numId w:val="1"/>
        </w:numPr>
        <w:spacing w:after="90" w:line="264"/>
      </w:pPr>
      <w:r>
        <w:t xml:space="preserve">It has a named Go/No-Go decision, made by named accountable individuals, on the basis of evidence, not calendar pressure (Section 1.10).</w:t>
      </w:r>
    </w:p>
    <w:p>
      <w:pPr>
        <w:pStyle w:val="ListParagraph"/>
        <w:numPr>
          <w:ilvl w:val="0"/>
          <w:numId w:val="1"/>
        </w:numPr>
        <w:spacing w:after="90" w:line="264"/>
      </w:pPr>
      <w:r>
        <w:t xml:space="preserve">It leaves the platform in a state at least as stable as it found it — a release must never be a net regression in reliability, security, or performance.</w:t>
      </w:r>
    </w:p>
    <w:p>
      <w:pPr>
        <w:pStyle w:val="Heading1"/>
        <w:pBdr>
          <w:bottom w:val="single" w:color="C9DAD8" w:sz="4" w:space="4"/>
        </w:pBdr>
        <w:spacing w:after="140" w:before="360"/>
      </w:pPr>
      <w:r>
        <w:rPr>
          <w:b/>
          <w:bCs/>
          <w:color w:val="B0602A"/>
          <w:sz w:val="26"/>
          <w:szCs w:val="26"/>
        </w:rPr>
        <w:t xml:space="preserve">1.7  </w:t>
      </w:r>
      <w:r>
        <w:rPr>
          <w:b/>
          <w:bCs/>
          <w:color w:val="1F4C4A"/>
          <w:sz w:val="26"/>
          <w:szCs w:val="26"/>
        </w:rPr>
        <w:t xml:space="preserve">Release Architecture Refinement — From Starting Point to Authoritative Structure</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Document, transparently, how the five-release starting point supplied for this engagement has been refined into the authoritative release architecture used throughout this document.</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full visibility into every judgment call made in translating a business-capability wish-list into an engineering-feasible sequence.</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Reconciles the business-capability grouping (Foundation / Content / Knowledge / Programme / Intelligence) against the Work Package Dependency Matrix and Critical Path fixed in MEKB Part 11.</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reviewer discovers a hidden re-sequencing decision later in the document — every refinement is disclosed here, once, in full.</w:t>
            </w:r>
          </w:p>
        </w:tc>
      </w:tr>
    </w:tbl>
    <w:p>
      <w:pPr>
        <w:spacing w:after="160"/>
      </w:pPr>
    </w:p>
    <w:p>
      <w:pPr>
        <w:spacing w:after="150" w:line="276"/>
        <w:jc w:val="both"/>
      </w:pPr>
      <w:r>
        <w:t xml:space="preserve">The release architecture supplied as a starting point for this engagement is sound and is preserved in full: five releases, in the order Platform Foundation, Enterprise Content Management, Knowledge Management, Programme Management, and Intelligence &amp; Integration. Two categories of refinement have been applied, both additive and neither altering the starting point's release names, order, or headline scope.</w:t>
      </w:r>
    </w:p>
    <w:p>
      <w:pPr>
        <w:pStyle w:val="Heading2"/>
        <w:spacing w:after="110" w:before="260"/>
      </w:pPr>
      <w:r>
        <w:rPr>
          <w:b/>
          <w:bCs/>
          <w:color w:val="B0602A"/>
          <w:sz w:val="21"/>
          <w:szCs w:val="21"/>
        </w:rPr>
        <w:t xml:space="preserve">1.7.1  </w:t>
      </w:r>
      <w:r>
        <w:rPr>
          <w:b/>
          <w:bCs/>
          <w:color w:val="1F4C4A"/>
          <w:sz w:val="21"/>
          <w:szCs w:val="21"/>
        </w:rPr>
        <w:t xml:space="preserve">Refinement 1 — Thin-Slice Pull-Forwards</w:t>
      </w:r>
    </w:p>
    <w:p>
      <w:pPr>
        <w:spacing w:after="150" w:line="276"/>
        <w:jc w:val="both"/>
      </w:pPr>
      <w:r>
        <w:t xml:space="preserve">Three Work Packages are needed, in minimal form, earlier than the release in which they are fully delivered, because a later release's headline capability structurally depends on them. In every such case, only the minimum functionality required is pulled forward; the Work Package's full scope is delivered, and re-appears in full in its originally intended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822"/>
        <w:gridCol w:w="2822"/>
        <w:gridCol w:w="2621"/>
      </w:tblGrid>
      <w:tr>
        <w:trPr>
          <w:tblHeader/>
        </w:trPr>
        <w:tc>
          <w:tcPr>
            <w:tcW w:type="dxa" w:w="1814"/>
            <w:shd w:fill="1F4C4A" w:val="clear"/>
            <w:tcMar>
              <w:top w:type="dxa" w:w="70"/>
              <w:left w:type="dxa" w:w="110"/>
              <w:bottom w:type="dxa" w:w="70"/>
              <w:right w:type="dxa" w:w="110"/>
            </w:tcMar>
            <w:vAlign w:val="top"/>
          </w:tcPr>
          <w:p>
            <w:r>
              <w:rPr>
                <w:b/>
                <w:bCs/>
                <w:color w:val="FFFFFF"/>
                <w:sz w:val="17"/>
                <w:szCs w:val="17"/>
              </w:rPr>
              <w:t xml:space="preserve">Work Package</w:t>
            </w:r>
          </w:p>
        </w:tc>
        <w:tc>
          <w:tcPr>
            <w:tcW w:type="dxa" w:w="2822"/>
            <w:shd w:fill="1F4C4A" w:val="clear"/>
            <w:tcMar>
              <w:top w:type="dxa" w:w="70"/>
              <w:left w:type="dxa" w:w="110"/>
              <w:bottom w:type="dxa" w:w="70"/>
              <w:right w:type="dxa" w:w="110"/>
            </w:tcMar>
            <w:vAlign w:val="top"/>
          </w:tcPr>
          <w:p>
            <w:r>
              <w:rPr>
                <w:b/>
                <w:bCs/>
                <w:color w:val="FFFFFF"/>
                <w:sz w:val="17"/>
                <w:szCs w:val="17"/>
              </w:rPr>
              <w:t xml:space="preserve">Minimum Pulled Forward Into</w:t>
            </w:r>
          </w:p>
        </w:tc>
        <w:tc>
          <w:tcPr>
            <w:tcW w:type="dxa" w:w="2822"/>
            <w:shd w:fill="1F4C4A" w:val="clear"/>
            <w:tcMar>
              <w:top w:type="dxa" w:w="70"/>
              <w:left w:type="dxa" w:w="110"/>
              <w:bottom w:type="dxa" w:w="70"/>
              <w:right w:type="dxa" w:w="110"/>
            </w:tcMar>
            <w:vAlign w:val="top"/>
          </w:tcPr>
          <w:p>
            <w:r>
              <w:rPr>
                <w:b/>
                <w:bCs/>
                <w:color w:val="FFFFFF"/>
                <w:sz w:val="17"/>
                <w:szCs w:val="17"/>
              </w:rPr>
              <w:t xml:space="preserve">Full Capability Delivered In</w:t>
            </w:r>
          </w:p>
        </w:tc>
        <w:tc>
          <w:tcPr>
            <w:tcW w:type="dxa" w:w="2621"/>
            <w:shd w:fill="1F4C4A" w:val="clear"/>
            <w:tcMar>
              <w:top w:type="dxa" w:w="70"/>
              <w:left w:type="dxa" w:w="110"/>
              <w:bottom w:type="dxa" w:w="70"/>
              <w:right w:type="dxa" w:w="110"/>
            </w:tcMar>
            <w:vAlign w:val="top"/>
          </w:tcPr>
          <w:p>
            <w:r>
              <w:rPr>
                <w:b/>
                <w:bCs/>
                <w:color w:val="FFFFFF"/>
                <w:sz w:val="17"/>
                <w:szCs w:val="17"/>
              </w:rPr>
              <w:t xml:space="preserve">Why</w:t>
            </w:r>
          </w:p>
        </w:tc>
      </w:tr>
      <w:tr>
        <w:tc>
          <w:tcPr>
            <w:tcW w:type="dxa" w:w="1814"/>
            <w:tcMar>
              <w:top w:type="dxa" w:w="70"/>
              <w:left w:type="dxa" w:w="110"/>
              <w:bottom w:type="dxa" w:w="70"/>
              <w:right w:type="dxa" w:w="110"/>
            </w:tcMar>
            <w:vAlign w:val="top"/>
          </w:tcPr>
          <w:p>
            <w:r>
              <w:rPr>
                <w:b/>
                <w:bCs/>
                <w:color w:val="1A1A1A"/>
                <w:sz w:val="15"/>
                <w:szCs w:val="15"/>
              </w:rPr>
              <w:t xml:space="preserve">WP-10 Workflow Engine</w:t>
            </w:r>
          </w:p>
        </w:tc>
        <w:tc>
          <w:tcPr>
            <w:tcW w:type="dxa" w:w="2822"/>
            <w:tcMar>
              <w:top w:type="dxa" w:w="70"/>
              <w:left w:type="dxa" w:w="110"/>
              <w:bottom w:type="dxa" w:w="70"/>
              <w:right w:type="dxa" w:w="110"/>
            </w:tcMar>
            <w:vAlign w:val="top"/>
          </w:tcPr>
          <w:p>
            <w:r>
              <w:rPr>
                <w:b w:val="false"/>
                <w:bCs w:val="false"/>
                <w:color w:val="1A1A1A"/>
                <w:sz w:val="15"/>
                <w:szCs w:val="15"/>
              </w:rPr>
              <w:t xml:space="preserve">Release 2 (single linear approval route only)</w:t>
            </w:r>
          </w:p>
        </w:tc>
        <w:tc>
          <w:tcPr>
            <w:tcW w:type="dxa" w:w="2822"/>
            <w:tcMar>
              <w:top w:type="dxa" w:w="70"/>
              <w:left w:type="dxa" w:w="110"/>
              <w:bottom w:type="dxa" w:w="70"/>
              <w:right w:type="dxa" w:w="110"/>
            </w:tcMar>
            <w:vAlign w:val="top"/>
          </w:tcPr>
          <w:p>
            <w:r>
              <w:rPr>
                <w:b w:val="false"/>
                <w:bCs w:val="false"/>
                <w:color w:val="1A1A1A"/>
                <w:sz w:val="15"/>
                <w:szCs w:val="15"/>
              </w:rPr>
              <w:t xml:space="preserve">Release 4 (general-purpose Workflow Designer)</w:t>
            </w:r>
          </w:p>
        </w:tc>
        <w:tc>
          <w:tcPr>
            <w:tcW w:type="dxa" w:w="2621"/>
            <w:tcMar>
              <w:top w:type="dxa" w:w="70"/>
              <w:left w:type="dxa" w:w="110"/>
              <w:bottom w:type="dxa" w:w="70"/>
              <w:right w:type="dxa" w:w="110"/>
            </w:tcMar>
            <w:vAlign w:val="top"/>
          </w:tcPr>
          <w:p>
            <w:r>
              <w:rPr>
                <w:b w:val="false"/>
                <w:bCs w:val="false"/>
                <w:color w:val="1A1A1A"/>
                <w:sz w:val="15"/>
                <w:szCs w:val="15"/>
              </w:rPr>
              <w:t xml:space="preserve">Documents (Release 2) cannot enforce a review-before-publish rule without a working workflow route to run it on.</w:t>
            </w:r>
          </w:p>
        </w:tc>
      </w:tr>
      <w:tr>
        <w:tc>
          <w:tcPr>
            <w:tcW w:type="dxa" w:w="1814"/>
            <w:tcMar>
              <w:top w:type="dxa" w:w="70"/>
              <w:left w:type="dxa" w:w="110"/>
              <w:bottom w:type="dxa" w:w="70"/>
              <w:right w:type="dxa" w:w="110"/>
            </w:tcMar>
            <w:vAlign w:val="top"/>
          </w:tcPr>
          <w:p>
            <w:r>
              <w:rPr>
                <w:b/>
                <w:bCs/>
                <w:color w:val="1A1A1A"/>
                <w:sz w:val="15"/>
                <w:szCs w:val="15"/>
              </w:rPr>
              <w:t xml:space="preserve">WP-11 Approvals</w:t>
            </w:r>
          </w:p>
        </w:tc>
        <w:tc>
          <w:tcPr>
            <w:tcW w:type="dxa" w:w="2822"/>
            <w:tcMar>
              <w:top w:type="dxa" w:w="70"/>
              <w:left w:type="dxa" w:w="110"/>
              <w:bottom w:type="dxa" w:w="70"/>
              <w:right w:type="dxa" w:w="110"/>
            </w:tcMar>
            <w:vAlign w:val="top"/>
          </w:tcPr>
          <w:p>
            <w:r>
              <w:rPr>
                <w:b w:val="false"/>
                <w:bCs w:val="false"/>
                <w:color w:val="1A1A1A"/>
                <w:sz w:val="15"/>
                <w:szCs w:val="15"/>
              </w:rPr>
              <w:t xml:space="preserve">Release 2 (single-approver document sign-off only)</w:t>
            </w:r>
          </w:p>
        </w:tc>
        <w:tc>
          <w:tcPr>
            <w:tcW w:type="dxa" w:w="2822"/>
            <w:tcMar>
              <w:top w:type="dxa" w:w="70"/>
              <w:left w:type="dxa" w:w="110"/>
              <w:bottom w:type="dxa" w:w="70"/>
              <w:right w:type="dxa" w:w="110"/>
            </w:tcMar>
            <w:vAlign w:val="top"/>
          </w:tcPr>
          <w:p>
            <w:r>
              <w:rPr>
                <w:b w:val="false"/>
                <w:bCs w:val="false"/>
                <w:color w:val="1A1A1A"/>
                <w:sz w:val="15"/>
                <w:szCs w:val="15"/>
              </w:rPr>
              <w:t xml:space="preserve">Release 4 (full Approval Inbox, delegation, multi-stage chains)</w:t>
            </w:r>
          </w:p>
        </w:tc>
        <w:tc>
          <w:tcPr>
            <w:tcW w:type="dxa" w:w="2621"/>
            <w:tcMar>
              <w:top w:type="dxa" w:w="70"/>
              <w:left w:type="dxa" w:w="110"/>
              <w:bottom w:type="dxa" w:w="70"/>
              <w:right w:type="dxa" w:w="110"/>
            </w:tcMar>
            <w:vAlign w:val="top"/>
          </w:tcPr>
          <w:p>
            <w:r>
              <w:rPr>
                <w:b w:val="false"/>
                <w:bCs w:val="false"/>
                <w:color w:val="1A1A1A"/>
                <w:sz w:val="15"/>
                <w:szCs w:val="15"/>
              </w:rPr>
              <w:t xml:space="preserve">Document publishing requires at least one enforced approval step (MEKB Part 11 dependency: WP-12 depends on WP-11).</w:t>
            </w:r>
          </w:p>
        </w:tc>
      </w:tr>
      <w:tr>
        <w:tc>
          <w:tcPr>
            <w:tcW w:type="dxa" w:w="1814"/>
            <w:tcMar>
              <w:top w:type="dxa" w:w="70"/>
              <w:left w:type="dxa" w:w="110"/>
              <w:bottom w:type="dxa" w:w="70"/>
              <w:right w:type="dxa" w:w="110"/>
            </w:tcMar>
            <w:vAlign w:val="top"/>
          </w:tcPr>
          <w:p>
            <w:r>
              <w:rPr>
                <w:b/>
                <w:bCs/>
                <w:color w:val="1A1A1A"/>
                <w:sz w:val="15"/>
                <w:szCs w:val="15"/>
              </w:rPr>
              <w:t xml:space="preserve">WP-23 AI Assistant</w:t>
            </w:r>
          </w:p>
        </w:tc>
        <w:tc>
          <w:tcPr>
            <w:tcW w:type="dxa" w:w="2822"/>
            <w:tcMar>
              <w:top w:type="dxa" w:w="70"/>
              <w:left w:type="dxa" w:w="110"/>
              <w:bottom w:type="dxa" w:w="70"/>
              <w:right w:type="dxa" w:w="110"/>
            </w:tcMar>
            <w:vAlign w:val="top"/>
          </w:tcPr>
          <w:p>
            <w:r>
              <w:rPr>
                <w:b w:val="false"/>
                <w:bCs w:val="false"/>
                <w:color w:val="1A1A1A"/>
                <w:sz w:val="15"/>
                <w:szCs w:val="15"/>
              </w:rPr>
              <w:t xml:space="preserve">Release 3 (knowledge graph data model and embedding pipeline only, no chat interface)</w:t>
            </w:r>
          </w:p>
        </w:tc>
        <w:tc>
          <w:tcPr>
            <w:tcW w:type="dxa" w:w="2822"/>
            <w:tcMar>
              <w:top w:type="dxa" w:w="70"/>
              <w:left w:type="dxa" w:w="110"/>
              <w:bottom w:type="dxa" w:w="70"/>
              <w:right w:type="dxa" w:w="110"/>
            </w:tcMar>
            <w:vAlign w:val="top"/>
          </w:tcPr>
          <w:p>
            <w:r>
              <w:rPr>
                <w:b w:val="false"/>
                <w:bCs w:val="false"/>
                <w:color w:val="1A1A1A"/>
                <w:sz w:val="15"/>
                <w:szCs w:val="15"/>
              </w:rPr>
              <w:t xml:space="preserve">Release 5 (full conversational RAG/LLM Assistant)</w:t>
            </w:r>
          </w:p>
        </w:tc>
        <w:tc>
          <w:tcPr>
            <w:tcW w:type="dxa" w:w="2621"/>
            <w:tcMar>
              <w:top w:type="dxa" w:w="70"/>
              <w:left w:type="dxa" w:w="110"/>
              <w:bottom w:type="dxa" w:w="70"/>
              <w:right w:type="dxa" w:w="110"/>
            </w:tcMar>
            <w:vAlign w:val="top"/>
          </w:tcPr>
          <w:p>
            <w:r>
              <w:rPr>
                <w:b w:val="false"/>
                <w:bCs w:val="false"/>
                <w:color w:val="1A1A1A"/>
                <w:sz w:val="15"/>
                <w:szCs w:val="15"/>
              </w:rPr>
              <w:t xml:space="preserve">The AI Assistant depends on an already-indexed, already-structured knowledge base (MEKB Part 11 dependency: WP-23 depends on WP-13, WP-15); seeding this in Release 3 avoids a cold start in Release 5.</w:t>
            </w:r>
          </w:p>
        </w:tc>
      </w:tr>
    </w:tbl>
    <w:p>
      <w:pPr>
        <w:pStyle w:val="Heading2"/>
        <w:spacing w:after="110" w:before="260"/>
      </w:pPr>
      <w:r>
        <w:rPr>
          <w:b/>
          <w:bCs/>
          <w:color w:val="B0602A"/>
          <w:sz w:val="21"/>
          <w:szCs w:val="21"/>
        </w:rPr>
        <w:t xml:space="preserve">1.7.2  </w:t>
      </w:r>
      <w:r>
        <w:rPr>
          <w:b/>
          <w:bCs/>
          <w:color w:val="1F4C4A"/>
          <w:sz w:val="21"/>
          <w:szCs w:val="21"/>
        </w:rPr>
        <w:t xml:space="preserve">Refinement 2 — Placement of Modules Not Named in the Starting Point</w:t>
      </w:r>
    </w:p>
    <w:p>
      <w:pPr>
        <w:spacing w:after="150" w:line="276"/>
        <w:jc w:val="both"/>
      </w:pPr>
      <w:r>
        <w:t xml:space="preserve">Six Work Packages — Executive Management, Reporting, Analytics, Notifications, Training, Support, Help Desk, and the Public Portal — were not explicitly assigned to a release in the starting structure. Each has been placed according to the same dependency-and-value logic applied throughout this document, and is shown here for transparency; the full rationale for each appears in Part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5443"/>
      </w:tblGrid>
      <w:tr>
        <w:trPr>
          <w:tblHeader/>
        </w:trPr>
        <w:tc>
          <w:tcPr>
            <w:tcW w:type="dxa" w:w="2419"/>
            <w:shd w:fill="1F4C4A" w:val="clear"/>
            <w:tcMar>
              <w:top w:type="dxa" w:w="70"/>
              <w:left w:type="dxa" w:w="110"/>
              <w:bottom w:type="dxa" w:w="70"/>
              <w:right w:type="dxa" w:w="110"/>
            </w:tcMar>
            <w:vAlign w:val="top"/>
          </w:tcPr>
          <w:p>
            <w:r>
              <w:rPr>
                <w:b/>
                <w:bCs/>
                <w:color w:val="FFFFFF"/>
                <w:sz w:val="17"/>
                <w:szCs w:val="17"/>
              </w:rPr>
              <w:t xml:space="preserve">Work Package</w:t>
            </w:r>
          </w:p>
        </w:tc>
        <w:tc>
          <w:tcPr>
            <w:tcW w:type="dxa" w:w="2218"/>
            <w:shd w:fill="1F4C4A" w:val="clear"/>
            <w:tcMar>
              <w:top w:type="dxa" w:w="70"/>
              <w:left w:type="dxa" w:w="110"/>
              <w:bottom w:type="dxa" w:w="70"/>
              <w:right w:type="dxa" w:w="110"/>
            </w:tcMar>
            <w:vAlign w:val="top"/>
          </w:tcPr>
          <w:p>
            <w:r>
              <w:rPr>
                <w:b/>
                <w:bCs/>
                <w:color w:val="FFFFFF"/>
                <w:sz w:val="17"/>
                <w:szCs w:val="17"/>
              </w:rPr>
              <w:t xml:space="preserve">Release Assigned</w:t>
            </w:r>
          </w:p>
        </w:tc>
        <w:tc>
          <w:tcPr>
            <w:tcW w:type="dxa" w:w="5443"/>
            <w:shd w:fill="1F4C4A" w:val="clear"/>
            <w:tcMar>
              <w:top w:type="dxa" w:w="70"/>
              <w:left w:type="dxa" w:w="110"/>
              <w:bottom w:type="dxa" w:w="70"/>
              <w:right w:type="dxa" w:w="110"/>
            </w:tcMar>
            <w:vAlign w:val="top"/>
          </w:tcPr>
          <w:p>
            <w:r>
              <w:rPr>
                <w:b/>
                <w:bCs/>
                <w:color w:val="FFFFFF"/>
                <w:sz w:val="17"/>
                <w:szCs w:val="17"/>
              </w:rPr>
              <w:t xml:space="preserve">Placement Rationale</w:t>
            </w:r>
          </w:p>
        </w:tc>
      </w:tr>
      <w:tr>
        <w:tc>
          <w:tcPr>
            <w:tcW w:type="dxa" w:w="2419"/>
            <w:tcMar>
              <w:top w:type="dxa" w:w="70"/>
              <w:left w:type="dxa" w:w="110"/>
              <w:bottom w:type="dxa" w:w="70"/>
              <w:right w:type="dxa" w:w="110"/>
            </w:tcMar>
            <w:vAlign w:val="top"/>
          </w:tcPr>
          <w:p>
            <w:r>
              <w:rPr>
                <w:b/>
                <w:bCs/>
                <w:color w:val="1A1A1A"/>
                <w:sz w:val="15"/>
                <w:szCs w:val="15"/>
              </w:rPr>
              <w:t xml:space="preserve">WP-06 Executive Management</w:t>
            </w:r>
          </w:p>
        </w:tc>
        <w:tc>
          <w:tcPr>
            <w:tcW w:type="dxa" w:w="2218"/>
            <w:tcMar>
              <w:top w:type="dxa" w:w="70"/>
              <w:left w:type="dxa" w:w="110"/>
              <w:bottom w:type="dxa" w:w="70"/>
              <w:right w:type="dxa" w:w="110"/>
            </w:tcMar>
            <w:vAlign w:val="top"/>
          </w:tcPr>
          <w:p>
            <w:r>
              <w:rPr>
                <w:b w:val="false"/>
                <w:bCs w:val="false"/>
                <w:color w:val="1A1A1A"/>
                <w:sz w:val="15"/>
                <w:szCs w:val="15"/>
              </w:rPr>
              <w:t xml:space="preserve">Thin slice in Release 1 (dashboard shell); full in Release 4</w:t>
            </w:r>
          </w:p>
        </w:tc>
        <w:tc>
          <w:tcPr>
            <w:tcW w:type="dxa" w:w="5443"/>
            <w:tcMar>
              <w:top w:type="dxa" w:w="70"/>
              <w:left w:type="dxa" w:w="110"/>
              <w:bottom w:type="dxa" w:w="70"/>
              <w:right w:type="dxa" w:w="110"/>
            </w:tcMar>
            <w:vAlign w:val="top"/>
          </w:tcPr>
          <w:p>
            <w:r>
              <w:rPr>
                <w:b w:val="false"/>
                <w:bCs w:val="false"/>
                <w:color w:val="1A1A1A"/>
                <w:sz w:val="15"/>
                <w:szCs w:val="15"/>
              </w:rPr>
              <w:t xml:space="preserve">An executive dashboard is most credible once Programme Management data exists to populate it; a shell is delivered early for early stakeholder visibility.</w:t>
            </w:r>
          </w:p>
        </w:tc>
      </w:tr>
      <w:tr>
        <w:tc>
          <w:tcPr>
            <w:tcW w:type="dxa" w:w="2419"/>
            <w:tcMar>
              <w:top w:type="dxa" w:w="70"/>
              <w:left w:type="dxa" w:w="110"/>
              <w:bottom w:type="dxa" w:w="70"/>
              <w:right w:type="dxa" w:w="110"/>
            </w:tcMar>
            <w:vAlign w:val="top"/>
          </w:tcPr>
          <w:p>
            <w:r>
              <w:rPr>
                <w:b/>
                <w:bCs/>
                <w:color w:val="1A1A1A"/>
                <w:sz w:val="15"/>
                <w:szCs w:val="15"/>
              </w:rPr>
              <w:t xml:space="preserve">WP-16 Reporting / WP-17 Analytics</w:t>
            </w:r>
          </w:p>
        </w:tc>
        <w:tc>
          <w:tcPr>
            <w:tcW w:type="dxa" w:w="2218"/>
            <w:tcMar>
              <w:top w:type="dxa" w:w="70"/>
              <w:left w:type="dxa" w:w="110"/>
              <w:bottom w:type="dxa" w:w="70"/>
              <w:right w:type="dxa" w:w="110"/>
            </w:tcMar>
            <w:vAlign w:val="top"/>
          </w:tcPr>
          <w:p>
            <w:r>
              <w:rPr>
                <w:b w:val="false"/>
                <w:bCs w:val="false"/>
                <w:color w:val="1A1A1A"/>
                <w:sz w:val="15"/>
                <w:szCs w:val="15"/>
              </w:rPr>
              <w:t xml:space="preserve">Release 4</w:t>
            </w:r>
          </w:p>
        </w:tc>
        <w:tc>
          <w:tcPr>
            <w:tcW w:type="dxa" w:w="5443"/>
            <w:tcMar>
              <w:top w:type="dxa" w:w="70"/>
              <w:left w:type="dxa" w:w="110"/>
              <w:bottom w:type="dxa" w:w="70"/>
              <w:right w:type="dxa" w:w="110"/>
            </w:tcMar>
            <w:vAlign w:val="top"/>
          </w:tcPr>
          <w:p>
            <w:r>
              <w:rPr>
                <w:b w:val="false"/>
                <w:bCs w:val="false"/>
                <w:color w:val="1A1A1A"/>
                <w:sz w:val="15"/>
                <w:szCs w:val="15"/>
              </w:rPr>
              <w:t xml:space="preserve">Both report on Programme, Project, and Task data, none of which exists in usable form before Release 4.</w:t>
            </w:r>
          </w:p>
        </w:tc>
      </w:tr>
      <w:tr>
        <w:tc>
          <w:tcPr>
            <w:tcW w:type="dxa" w:w="2419"/>
            <w:tcMar>
              <w:top w:type="dxa" w:w="70"/>
              <w:left w:type="dxa" w:w="110"/>
              <w:bottom w:type="dxa" w:w="70"/>
              <w:right w:type="dxa" w:w="110"/>
            </w:tcMar>
            <w:vAlign w:val="top"/>
          </w:tcPr>
          <w:p>
            <w:r>
              <w:rPr>
                <w:b/>
                <w:bCs/>
                <w:color w:val="1A1A1A"/>
                <w:sz w:val="15"/>
                <w:szCs w:val="15"/>
              </w:rPr>
              <w:t xml:space="preserve">WP-18 Notifications</w:t>
            </w:r>
          </w:p>
        </w:tc>
        <w:tc>
          <w:tcPr>
            <w:tcW w:type="dxa" w:w="2218"/>
            <w:tcMar>
              <w:top w:type="dxa" w:w="70"/>
              <w:left w:type="dxa" w:w="110"/>
              <w:bottom w:type="dxa" w:w="70"/>
              <w:right w:type="dxa" w:w="110"/>
            </w:tcMar>
            <w:vAlign w:val="top"/>
          </w:tcPr>
          <w:p>
            <w:r>
              <w:rPr>
                <w:b w:val="false"/>
                <w:bCs w:val="false"/>
                <w:color w:val="1A1A1A"/>
                <w:sz w:val="15"/>
                <w:szCs w:val="15"/>
              </w:rPr>
              <w:t xml:space="preserve">Thin slice in Release 1 (system alerts only); full in Release 4</w:t>
            </w:r>
          </w:p>
        </w:tc>
        <w:tc>
          <w:tcPr>
            <w:tcW w:type="dxa" w:w="5443"/>
            <w:tcMar>
              <w:top w:type="dxa" w:w="70"/>
              <w:left w:type="dxa" w:w="110"/>
              <w:bottom w:type="dxa" w:w="70"/>
              <w:right w:type="dxa" w:w="110"/>
            </w:tcMar>
            <w:vAlign w:val="top"/>
          </w:tcPr>
          <w:p>
            <w:r>
              <w:rPr>
                <w:b w:val="false"/>
                <w:bCs w:val="false"/>
                <w:color w:val="1A1A1A"/>
                <w:sz w:val="15"/>
                <w:szCs w:val="15"/>
              </w:rPr>
              <w:t xml:space="preserve">Full Notification Center value is realized once Workflow, Approvals, and Tasks — the platform's main event sources — are live in Release 4.</w:t>
            </w:r>
          </w:p>
        </w:tc>
      </w:tr>
      <w:tr>
        <w:tc>
          <w:tcPr>
            <w:tcW w:type="dxa" w:w="2419"/>
            <w:tcMar>
              <w:top w:type="dxa" w:w="70"/>
              <w:left w:type="dxa" w:w="110"/>
              <w:bottom w:type="dxa" w:w="70"/>
              <w:right w:type="dxa" w:w="110"/>
            </w:tcMar>
            <w:vAlign w:val="top"/>
          </w:tcPr>
          <w:p>
            <w:r>
              <w:rPr>
                <w:b/>
                <w:bCs/>
                <w:color w:val="1A1A1A"/>
                <w:sz w:val="15"/>
                <w:szCs w:val="15"/>
              </w:rPr>
              <w:t xml:space="preserve">WP-19 Training / WP-20 Support / WP-21 Help Desk</w:t>
            </w:r>
          </w:p>
        </w:tc>
        <w:tc>
          <w:tcPr>
            <w:tcW w:type="dxa" w:w="2218"/>
            <w:tcMar>
              <w:top w:type="dxa" w:w="70"/>
              <w:left w:type="dxa" w:w="110"/>
              <w:bottom w:type="dxa" w:w="70"/>
              <w:right w:type="dxa" w:w="110"/>
            </w:tcMar>
            <w:vAlign w:val="top"/>
          </w:tcPr>
          <w:p>
            <w:r>
              <w:rPr>
                <w:b w:val="false"/>
                <w:bCs w:val="false"/>
                <w:color w:val="1A1A1A"/>
                <w:sz w:val="15"/>
                <w:szCs w:val="15"/>
              </w:rPr>
              <w:t xml:space="preserve">Release 4</w:t>
            </w:r>
          </w:p>
        </w:tc>
        <w:tc>
          <w:tcPr>
            <w:tcW w:type="dxa" w:w="5443"/>
            <w:tcMar>
              <w:top w:type="dxa" w:w="70"/>
              <w:left w:type="dxa" w:w="110"/>
              <w:bottom w:type="dxa" w:w="70"/>
              <w:right w:type="dxa" w:w="110"/>
            </w:tcMar>
            <w:vAlign w:val="top"/>
          </w:tcPr>
          <w:p>
            <w:r>
              <w:rPr>
                <w:b w:val="false"/>
                <w:bCs w:val="false"/>
                <w:color w:val="1A1A1A"/>
                <w:sz w:val="15"/>
                <w:szCs w:val="15"/>
              </w:rPr>
              <w:t xml:space="preserve">These are the platform's user-enablement capabilities; they are placed once the platform has enough surface area (Releases 1–4) for formal support and training to be meaningful.</w:t>
            </w:r>
          </w:p>
        </w:tc>
      </w:tr>
      <w:tr>
        <w:tc>
          <w:tcPr>
            <w:tcW w:type="dxa" w:w="2419"/>
            <w:tcMar>
              <w:top w:type="dxa" w:w="70"/>
              <w:left w:type="dxa" w:w="110"/>
              <w:bottom w:type="dxa" w:w="70"/>
              <w:right w:type="dxa" w:w="110"/>
            </w:tcMar>
            <w:vAlign w:val="top"/>
          </w:tcPr>
          <w:p>
            <w:r>
              <w:rPr>
                <w:b/>
                <w:bCs/>
                <w:color w:val="1A1A1A"/>
                <w:sz w:val="15"/>
                <w:szCs w:val="15"/>
              </w:rPr>
              <w:t xml:space="preserve">WP-22 Public Portal</w:t>
            </w:r>
          </w:p>
        </w:tc>
        <w:tc>
          <w:tcPr>
            <w:tcW w:type="dxa" w:w="2218"/>
            <w:tcMar>
              <w:top w:type="dxa" w:w="70"/>
              <w:left w:type="dxa" w:w="110"/>
              <w:bottom w:type="dxa" w:w="70"/>
              <w:right w:type="dxa" w:w="110"/>
            </w:tcMar>
            <w:vAlign w:val="top"/>
          </w:tcPr>
          <w:p>
            <w:r>
              <w:rPr>
                <w:b w:val="false"/>
                <w:bCs w:val="false"/>
                <w:color w:val="1A1A1A"/>
                <w:sz w:val="15"/>
                <w:szCs w:val="15"/>
              </w:rPr>
              <w:t xml:space="preserve">Release 5</w:t>
            </w:r>
          </w:p>
        </w:tc>
        <w:tc>
          <w:tcPr>
            <w:tcW w:type="dxa" w:w="5443"/>
            <w:tcMar>
              <w:top w:type="dxa" w:w="70"/>
              <w:left w:type="dxa" w:w="110"/>
              <w:bottom w:type="dxa" w:w="70"/>
              <w:right w:type="dxa" w:w="110"/>
            </w:tcMar>
            <w:vAlign w:val="top"/>
          </w:tcPr>
          <w:p>
            <w:r>
              <w:rPr>
                <w:b w:val="false"/>
                <w:bCs w:val="false"/>
                <w:color w:val="1A1A1A"/>
                <w:sz w:val="15"/>
                <w:szCs w:val="15"/>
              </w:rPr>
              <w:t xml:space="preserve">The Public Portal publishes only Approvals-gated Programme and Document content (MEKB Part 11 dependency: WP-22 depends on WP-07, WP-11, WP-12), all of which matures no earlier than Release 4.</w:t>
            </w:r>
          </w:p>
        </w:tc>
      </w:tr>
      <w:tr>
        <w:tc>
          <w:tcPr>
            <w:tcW w:type="dxa" w:w="2419"/>
            <w:tcMar>
              <w:top w:type="dxa" w:w="70"/>
              <w:left w:type="dxa" w:w="110"/>
              <w:bottom w:type="dxa" w:w="70"/>
              <w:right w:type="dxa" w:w="110"/>
            </w:tcMar>
            <w:vAlign w:val="top"/>
          </w:tcPr>
          <w:p>
            <w:r>
              <w:rPr>
                <w:b/>
                <w:bCs/>
                <w:color w:val="1A1A1A"/>
                <w:sz w:val="15"/>
                <w:szCs w:val="15"/>
              </w:rPr>
              <w:t xml:space="preserve">WP-24 Quality Engineering &amp; Release Readiness / WP-25 Documentation &amp; Traceability Closeout</w:t>
            </w:r>
          </w:p>
        </w:tc>
        <w:tc>
          <w:tcPr>
            <w:tcW w:type="dxa" w:w="2218"/>
            <w:tcMar>
              <w:top w:type="dxa" w:w="70"/>
              <w:left w:type="dxa" w:w="110"/>
              <w:bottom w:type="dxa" w:w="70"/>
              <w:right w:type="dxa" w:w="110"/>
            </w:tcMar>
            <w:vAlign w:val="top"/>
          </w:tcPr>
          <w:p>
            <w:r>
              <w:rPr>
                <w:b w:val="false"/>
                <w:bCs w:val="false"/>
                <w:color w:val="1A1A1A"/>
                <w:sz w:val="15"/>
                <w:szCs w:val="15"/>
              </w:rPr>
              <w:t xml:space="preserve">Continuous — applied at every release, closed out fully at Release 5</w:t>
            </w:r>
          </w:p>
        </w:tc>
        <w:tc>
          <w:tcPr>
            <w:tcW w:type="dxa" w:w="5443"/>
            <w:tcMar>
              <w:top w:type="dxa" w:w="70"/>
              <w:left w:type="dxa" w:w="110"/>
              <w:bottom w:type="dxa" w:w="70"/>
              <w:right w:type="dxa" w:w="110"/>
            </w:tcMar>
            <w:vAlign w:val="top"/>
          </w:tcPr>
          <w:p>
            <w:r>
              <w:rPr>
                <w:b w:val="false"/>
                <w:bCs w:val="false"/>
                <w:color w:val="1A1A1A"/>
                <w:sz w:val="15"/>
                <w:szCs w:val="15"/>
              </w:rPr>
              <w:t xml:space="preserve">These are quality and governance mechanisms, not user-facing capability; each release passes its own instance of them (Part 9), with full-platform closeout at Release 5 / General Availability.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EDF2" w:sz="2"/>
              <w:left w:val="single" w:color="1F4C4A" w:sz="24"/>
              <w:bottom w:val="single" w:color="E9EDF2" w:sz="2"/>
              <w:right w:val="single" w:color="E9EDF2" w:sz="2"/>
            </w:tcBorders>
            <w:shd w:fill="E9EDF2" w:val="clear"/>
            <w:tcMar>
              <w:top w:type="dxa" w:w="120"/>
              <w:left w:type="dxa" w:w="180"/>
              <w:bottom w:type="dxa" w:w="120"/>
              <w:right w:type="dxa" w:w="180"/>
            </w:tcMar>
          </w:tcPr>
          <w:p>
            <w:pPr>
              <w:spacing w:after="60"/>
            </w:pPr>
            <w:r>
              <w:rPr>
                <w:b/>
                <w:bCs/>
                <w:color w:val="1F4C4A"/>
                <w:sz w:val="17"/>
                <w:szCs w:val="17"/>
              </w:rPr>
              <w:t xml:space="preserve">ARCHITECTURE DECISION</w:t>
            </w:r>
          </w:p>
          <w:p>
            <w:pPr>
              <w:spacing w:after="0"/>
            </w:pPr>
            <w:r>
              <w:rPr>
                <w:sz w:val="18"/>
                <w:szCs w:val="18"/>
              </w:rPr>
              <w:t xml:space="preserve">This refinement is recorded as an Architecture Decision Record under the existing ADR process (MEKB Part 13, Section 13.7) and is subject to the same Change Request discipline as any other engineering decision. It does not require re-approval of the BRD, SRS, or MEKB — it is a sequencing decision, not a scope decision.</w:t>
            </w:r>
          </w:p>
        </w:tc>
      </w:tr>
    </w:tbl>
    <w:p>
      <w:pPr>
        <w:pStyle w:val="Heading1"/>
        <w:pBdr>
          <w:bottom w:val="single" w:color="C9DAD8" w:sz="4" w:space="4"/>
        </w:pBdr>
        <w:spacing w:after="140" w:before="360"/>
      </w:pPr>
      <w:r>
        <w:rPr>
          <w:b/>
          <w:bCs/>
          <w:color w:val="B0602A"/>
          <w:sz w:val="26"/>
          <w:szCs w:val="26"/>
        </w:rPr>
        <w:t xml:space="preserve">1.8  </w:t>
      </w:r>
      <w:r>
        <w:rPr>
          <w:b/>
          <w:bCs/>
          <w:color w:val="1F4C4A"/>
          <w:sz w:val="26"/>
          <w:szCs w:val="26"/>
        </w:rPr>
        <w:t xml:space="preserve">Release Governance — Overview</w:t>
      </w:r>
    </w:p>
    <w:p>
      <w:pPr>
        <w:spacing w:after="150" w:line="276"/>
        <w:jc w:val="both"/>
      </w:pPr>
      <w:r>
        <w:t xml:space="preserve">Every release is governed by five standing bodies: the Release Review Board, the Architecture Review Board, the Change Advisory Board, the Security Review Board, and the Go-Live Approval Committee. Their composition, decision authority, and meeting cadence are defined in full in Part 11. In summary, no release reaches Production without passing through all five in sequence, and no individual body has authority to unilaterally approve a release over another's objection on a matter within that board's mandate.</w:t>
      </w:r>
    </w:p>
    <w:p>
      <w:pPr>
        <w:pStyle w:val="Heading1"/>
        <w:pBdr>
          <w:bottom w:val="single" w:color="C9DAD8" w:sz="4" w:space="4"/>
        </w:pBdr>
        <w:spacing w:after="140" w:before="360"/>
      </w:pPr>
      <w:r>
        <w:rPr>
          <w:b/>
          <w:bCs/>
          <w:color w:val="B0602A"/>
          <w:sz w:val="26"/>
          <w:szCs w:val="26"/>
        </w:rPr>
        <w:t xml:space="preserve">1.9  </w:t>
      </w:r>
      <w:r>
        <w:rPr>
          <w:b/>
          <w:bCs/>
          <w:color w:val="1F4C4A"/>
          <w:sz w:val="26"/>
          <w:szCs w:val="26"/>
        </w:rPr>
        <w:t xml:space="preserve">Release Approval Process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AD8" w:sz="2"/>
              <w:left w:val="single" w:color="C9DAD8" w:sz="2"/>
              <w:bottom w:val="single" w:color="C9DAD8" w:sz="2"/>
              <w:right w:val="single" w:color="C9DAD8" w:sz="2"/>
            </w:tcBorders>
            <w:shd w:fill="EAF1F0" w:val="clear"/>
            <w:tcMar>
              <w:top w:type="dxa" w:w="140"/>
              <w:left w:type="dxa" w:w="200"/>
              <w:bottom w:type="dxa" w:w="140"/>
              <w:right w:type="dxa" w:w="200"/>
            </w:tcMar>
          </w:tcPr>
          <w:p>
            <w:pPr>
              <w:spacing w:after="0" w:line="240"/>
            </w:pPr>
            <w:r>
              <w:rPr>
                <w:rFonts w:ascii="Consolas" w:cs="Consolas" w:eastAsia="Consolas" w:hAnsi="Consolas"/>
                <w:color w:val="13201F"/>
                <w:sz w:val="17"/>
                <w:szCs w:val="17"/>
              </w:rPr>
              <w:t xml:space="preserve">Release Planning  -&gt;  Architecture Review  -&gt;  Security Review  -&gt;  Sprint Execution</w:t>
            </w:r>
          </w:p>
          <w:p>
            <w:pPr>
              <w:spacing w:after="0" w:line="240"/>
            </w:pPr>
            <w:r>
              <w:rPr>
                <w:rFonts w:ascii="Consolas" w:cs="Consolas" w:eastAsia="Consolas" w:hAnsi="Consolas"/>
                <w:color w:val="13201F"/>
                <w:sz w:val="17"/>
                <w:szCs w:val="17"/>
              </w:rPr>
              <w:t xml:space="preserve">      |                                                                  |</w:t>
            </w:r>
          </w:p>
          <w:p>
            <w:pPr>
              <w:spacing w:after="0" w:line="240"/>
            </w:pPr>
            <w:r>
              <w:rPr>
                <w:rFonts w:ascii="Consolas" w:cs="Consolas" w:eastAsia="Consolas" w:hAnsi="Consolas"/>
                <w:color w:val="13201F"/>
                <w:sz w:val="17"/>
                <w:szCs w:val="17"/>
              </w:rPr>
              <w:t xml:space="preserve">      v                                                                  v</w:t>
            </w:r>
          </w:p>
          <w:p>
            <w:pPr>
              <w:spacing w:after="0" w:line="240"/>
            </w:pPr>
            <w:r>
              <w:rPr>
                <w:rFonts w:ascii="Consolas" w:cs="Consolas" w:eastAsia="Consolas" w:hAnsi="Consolas"/>
                <w:color w:val="13201F"/>
                <w:sz w:val="17"/>
                <w:szCs w:val="17"/>
              </w:rPr>
              <w:t xml:space="preserve"> Scope Locked                                                    Code Freeze</w:t>
            </w:r>
          </w:p>
          <w:p>
            <w:pPr>
              <w:spacing w:after="0" w:line="240"/>
            </w:pPr>
            <w:r>
              <w:rPr>
                <w:rFonts w:ascii="Consolas" w:cs="Consolas" w:eastAsia="Consolas" w:hAnsi="Consolas"/>
                <w:color w:val="13201F"/>
                <w:sz w:val="17"/>
                <w:szCs w:val="17"/>
              </w:rPr>
              <w:t xml:space="preserve">                                                                         |</w:t>
            </w:r>
          </w:p>
          <w:p>
            <w:pPr>
              <w:spacing w:after="0" w:line="240"/>
            </w:pPr>
            <w:r>
              <w:rPr>
                <w:rFonts w:ascii="Consolas" w:cs="Consolas" w:eastAsia="Consolas" w:hAnsi="Consolas"/>
                <w:color w:val="13201F"/>
                <w:sz w:val="17"/>
                <w:szCs w:val="17"/>
              </w:rPr>
              <w:t xml:space="preserve">                                                                         v</w:t>
            </w:r>
          </w:p>
          <w:p>
            <w:pPr>
              <w:spacing w:after="0" w:line="240"/>
            </w:pPr>
            <w:r>
              <w:rPr>
                <w:rFonts w:ascii="Consolas" w:cs="Consolas" w:eastAsia="Consolas" w:hAnsi="Consolas"/>
                <w:color w:val="13201F"/>
                <w:sz w:val="17"/>
                <w:szCs w:val="17"/>
              </w:rPr>
              <w:t xml:space="preserve">                                                          Release Candidate Build</w:t>
            </w:r>
          </w:p>
          <w:p>
            <w:pPr>
              <w:spacing w:after="0" w:line="240"/>
            </w:pPr>
            <w:r>
              <w:rPr>
                <w:rFonts w:ascii="Consolas" w:cs="Consolas" w:eastAsia="Consolas" w:hAnsi="Consolas"/>
                <w:color w:val="13201F"/>
                <w:sz w:val="17"/>
                <w:szCs w:val="17"/>
              </w:rPr>
              <w:t xml:space="preserve">                                                                         |</w:t>
            </w:r>
          </w:p>
          <w:p>
            <w:pPr>
              <w:spacing w:after="0" w:line="240"/>
            </w:pPr>
            <w:r>
              <w:rPr>
                <w:rFonts w:ascii="Consolas" w:cs="Consolas" w:eastAsia="Consolas" w:hAnsi="Consolas"/>
                <w:color w:val="13201F"/>
                <w:sz w:val="17"/>
                <w:szCs w:val="17"/>
              </w:rPr>
              <w:t xml:space="preserve">                                                                         v</w:t>
            </w:r>
          </w:p>
          <w:p>
            <w:pPr>
              <w:spacing w:after="0" w:line="240"/>
            </w:pPr>
            <w:r>
              <w:rPr>
                <w:rFonts w:ascii="Consolas" w:cs="Consolas" w:eastAsia="Consolas" w:hAnsi="Consolas"/>
                <w:color w:val="13201F"/>
                <w:sz w:val="17"/>
                <w:szCs w:val="17"/>
              </w:rPr>
              <w:t xml:space="preserve">                                                    QA Regression + UAT + Pen Test</w:t>
            </w:r>
          </w:p>
          <w:p>
            <w:pPr>
              <w:spacing w:after="0" w:line="240"/>
            </w:pPr>
            <w:r>
              <w:rPr>
                <w:rFonts w:ascii="Consolas" w:cs="Consolas" w:eastAsia="Consolas" w:hAnsi="Consolas"/>
                <w:color w:val="13201F"/>
                <w:sz w:val="17"/>
                <w:szCs w:val="17"/>
              </w:rPr>
              <w:t xml:space="preserve">                                                                         |</w:t>
            </w:r>
          </w:p>
          <w:p>
            <w:pPr>
              <w:spacing w:after="0" w:line="240"/>
            </w:pPr>
            <w:r>
              <w:rPr>
                <w:rFonts w:ascii="Consolas" w:cs="Consolas" w:eastAsia="Consolas" w:hAnsi="Consolas"/>
                <w:color w:val="13201F"/>
                <w:sz w:val="17"/>
                <w:szCs w:val="17"/>
              </w:rPr>
              <w:t xml:space="preserve">                                                                         v</w:t>
            </w:r>
          </w:p>
          <w:p>
            <w:pPr>
              <w:spacing w:after="0" w:line="240"/>
            </w:pPr>
            <w:r>
              <w:rPr>
                <w:rFonts w:ascii="Consolas" w:cs="Consolas" w:eastAsia="Consolas" w:hAnsi="Consolas"/>
                <w:color w:val="13201F"/>
                <w:sz w:val="17"/>
                <w:szCs w:val="17"/>
              </w:rPr>
              <w:t xml:space="preserve">                                                  Go-Live Approval Committee Review</w:t>
            </w:r>
          </w:p>
          <w:p>
            <w:pPr>
              <w:spacing w:after="0" w:line="240"/>
            </w:pPr>
            <w:r>
              <w:rPr>
                <w:rFonts w:ascii="Consolas" w:cs="Consolas" w:eastAsia="Consolas" w:hAnsi="Consolas"/>
                <w:color w:val="13201F"/>
                <w:sz w:val="17"/>
                <w:szCs w:val="17"/>
              </w:rPr>
              <w:t xml:space="preserve">                                                                         |</w:t>
            </w:r>
          </w:p>
          <w:p>
            <w:pPr>
              <w:spacing w:after="0" w:line="240"/>
            </w:pPr>
            <w:r>
              <w:rPr>
                <w:rFonts w:ascii="Consolas" w:cs="Consolas" w:eastAsia="Consolas" w:hAnsi="Consolas"/>
                <w:color w:val="13201F"/>
                <w:sz w:val="17"/>
                <w:szCs w:val="17"/>
              </w:rPr>
              <w:t xml:space="preserve">                                              -----------------------------------</w:t>
            </w:r>
          </w:p>
          <w:p>
            <w:pPr>
              <w:spacing w:after="0" w:line="240"/>
            </w:pPr>
            <w:r>
              <w:rPr>
                <w:rFonts w:ascii="Consolas" w:cs="Consolas" w:eastAsia="Consolas" w:hAnsi="Consolas"/>
                <w:color w:val="13201F"/>
                <w:sz w:val="17"/>
                <w:szCs w:val="17"/>
              </w:rPr>
              <w:t xml:space="preserve">                                              |                                 |</w:t>
            </w:r>
          </w:p>
          <w:p>
            <w:pPr>
              <w:spacing w:after="0" w:line="240"/>
            </w:pPr>
            <w:r>
              <w:rPr>
                <w:rFonts w:ascii="Consolas" w:cs="Consolas" w:eastAsia="Consolas" w:hAnsi="Consolas"/>
                <w:color w:val="13201F"/>
                <w:sz w:val="17"/>
                <w:szCs w:val="17"/>
              </w:rPr>
              <w:t xml:space="preserve">                                              v                                 v</w:t>
            </w:r>
          </w:p>
          <w:p>
            <w:pPr>
              <w:spacing w:after="0" w:line="240"/>
            </w:pPr>
            <w:r>
              <w:rPr>
                <w:rFonts w:ascii="Consolas" w:cs="Consolas" w:eastAsia="Consolas" w:hAnsi="Consolas"/>
                <w:color w:val="13201F"/>
                <w:sz w:val="17"/>
                <w:szCs w:val="17"/>
              </w:rPr>
              <w:t xml:space="preserve">                                          GO: Deploy                    NO-GO: Remediate,</w:t>
            </w:r>
          </w:p>
          <w:p>
            <w:pPr>
              <w:spacing w:after="0" w:line="240"/>
            </w:pPr>
            <w:r>
              <w:rPr>
                <w:rFonts w:ascii="Consolas" w:cs="Consolas" w:eastAsia="Consolas" w:hAnsi="Consolas"/>
                <w:color w:val="13201F"/>
                <w:sz w:val="17"/>
                <w:szCs w:val="17"/>
              </w:rPr>
              <w:t xml:space="preserve">                                       to Production                  re-present next cycle</w:t>
            </w:r>
          </w:p>
        </w:tc>
      </w:tr>
    </w:tbl>
    <w:p>
      <w:pPr>
        <w:spacing w:after="150" w:line="276"/>
        <w:jc w:val="both"/>
      </w:pPr>
      <w:r>
        <w:t xml:space="preserve">Each stage above is a named quality gate with a named accountable approver, detailed in full in Part 9 (Release Quality Gates) and Part 11 (Release Governance).</w:t>
      </w:r>
    </w:p>
    <w:p>
      <w:pPr>
        <w:pStyle w:val="Heading1"/>
        <w:pBdr>
          <w:bottom w:val="single" w:color="C9DAD8" w:sz="4" w:space="4"/>
        </w:pBdr>
        <w:spacing w:after="140" w:before="360"/>
      </w:pPr>
      <w:r>
        <w:rPr>
          <w:b/>
          <w:bCs/>
          <w:color w:val="B0602A"/>
          <w:sz w:val="26"/>
          <w:szCs w:val="26"/>
        </w:rPr>
        <w:t xml:space="preserve">1.10  </w:t>
      </w:r>
      <w:r>
        <w:rPr>
          <w:b/>
          <w:bCs/>
          <w:color w:val="1F4C4A"/>
          <w:sz w:val="26"/>
          <w:szCs w:val="26"/>
        </w:rPr>
        <w:t xml:space="preserve">Go/No-Go Decision Criteria</w:t>
      </w:r>
    </w:p>
    <w:tbl>
      <w:tblPr>
        <w:tblW w:type="dxa" w:w="10080"/>
        <w:tblBorders>
          <w:top w:val="single" w:color="C9DAD8" w:sz="4"/>
          <w:left w:val="single" w:color="C9DAD8" w:sz="4"/>
          <w:bottom w:val="single" w:color="C9DAD8" w:sz="4"/>
          <w:right w:val="single" w:color="C9DAD8" w:sz="4"/>
          <w:insideH w:val="single" w:color="C9DAD8" w:sz="2"/>
          <w:insideV w:val="single" w:color="C9DAD8" w:sz="2"/>
        </w:tblBorders>
      </w:tblPr>
      <w:tblGrid>
        <w:gridCol w:w="2621"/>
        <w:gridCol w:w="7459"/>
      </w:tblGrid>
      <w:tr>
        <w:tc>
          <w:tcPr>
            <w:tcW w:type="dxa" w:w="2621"/>
            <w:shd w:fill="EAF1F0" w:val="clear"/>
            <w:tcMar>
              <w:top w:type="dxa" w:w="80"/>
              <w:left w:type="dxa" w:w="120"/>
              <w:bottom w:type="dxa" w:w="80"/>
              <w:right w:type="dxa" w:w="120"/>
            </w:tcMar>
            <w:vAlign w:val="top"/>
          </w:tcPr>
          <w:p>
            <w:r>
              <w:rPr>
                <w:b/>
                <w:bCs/>
                <w:color w:val="1F4C4A"/>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Fix the criteria against which every release's Go-Live decision is made, so the decision is evidence-based and repeatable.</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and schedule pressure from the single highest-stakes decision in each release cycle.</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Delivery Perspective</w:t>
            </w:r>
          </w:p>
        </w:tc>
        <w:tc>
          <w:tcPr>
            <w:tcW w:type="dxa" w:w="7459"/>
            <w:tcMar>
              <w:top w:type="dxa" w:w="80"/>
              <w:left w:type="dxa" w:w="120"/>
              <w:bottom w:type="dxa" w:w="80"/>
              <w:right w:type="dxa" w:w="120"/>
            </w:tcMar>
            <w:vAlign w:val="top"/>
          </w:tcPr>
          <w:p>
            <w:r>
              <w:rPr>
                <w:i/>
                <w:iCs/>
                <w:sz w:val="18"/>
                <w:szCs w:val="18"/>
              </w:rPr>
              <w:t xml:space="preserve">Directly derived from the Tier 3 Release Quality Gate already defined in MEKB Part 14, Section 14.5.</w:t>
            </w:r>
          </w:p>
        </w:tc>
      </w:tr>
      <w:tr>
        <w:tc>
          <w:tcPr>
            <w:tcW w:type="dxa" w:w="2621"/>
            <w:shd w:fill="EAF1F0" w:val="clear"/>
            <w:tcMar>
              <w:top w:type="dxa" w:w="80"/>
              <w:left w:type="dxa" w:w="120"/>
              <w:bottom w:type="dxa" w:w="80"/>
              <w:right w:type="dxa" w:w="120"/>
            </w:tcMar>
            <w:vAlign w:val="top"/>
          </w:tcPr>
          <w:p>
            <w:r>
              <w:rPr>
                <w:b/>
                <w:bCs/>
                <w:color w:val="1F4C4A"/>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Go/No-Go meeting that reviews evidence against a fixed checklist, not an open-ended debate.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4C4A" w:val="clear"/>
            <w:tcMar>
              <w:top w:type="dxa" w:w="70"/>
              <w:left w:type="dxa" w:w="110"/>
              <w:bottom w:type="dxa" w:w="70"/>
              <w:right w:type="dxa" w:w="110"/>
            </w:tcMar>
            <w:vAlign w:val="top"/>
          </w:tcPr>
          <w:p>
            <w:r>
              <w:rPr>
                <w:b/>
                <w:bCs/>
                <w:color w:val="FFFFFF"/>
                <w:sz w:val="17"/>
                <w:szCs w:val="17"/>
              </w:rPr>
              <w:t xml:space="preserve">Criterion</w:t>
            </w:r>
          </w:p>
        </w:tc>
        <w:tc>
          <w:tcPr>
            <w:tcW w:type="dxa" w:w="7258"/>
            <w:shd w:fill="1F4C4A" w:val="clear"/>
            <w:tcMar>
              <w:top w:type="dxa" w:w="70"/>
              <w:left w:type="dxa" w:w="110"/>
              <w:bottom w:type="dxa" w:w="70"/>
              <w:right w:type="dxa" w:w="110"/>
            </w:tcMar>
            <w:vAlign w:val="top"/>
          </w:tcPr>
          <w:p>
            <w:r>
              <w:rPr>
                <w:b/>
                <w:bCs/>
                <w:color w:val="FFFFFF"/>
                <w:sz w:val="17"/>
                <w:szCs w:val="17"/>
              </w:rPr>
              <w:t xml:space="preserve">Go Threshold</w:t>
            </w:r>
          </w:p>
        </w:tc>
      </w:tr>
      <w:tr>
        <w:tc>
          <w:tcPr>
            <w:tcW w:type="dxa" w:w="2822"/>
            <w:tcMar>
              <w:top w:type="dxa" w:w="70"/>
              <w:left w:type="dxa" w:w="110"/>
              <w:bottom w:type="dxa" w:w="70"/>
              <w:right w:type="dxa" w:w="110"/>
            </w:tcMar>
            <w:vAlign w:val="top"/>
          </w:tcPr>
          <w:p>
            <w:r>
              <w:rPr>
                <w:b/>
                <w:bCs/>
                <w:color w:val="1A1A1A"/>
                <w:sz w:val="16"/>
                <w:szCs w:val="16"/>
              </w:rPr>
              <w:t xml:space="preserve">Work Package completion</w:t>
            </w:r>
          </w:p>
        </w:tc>
        <w:tc>
          <w:tcPr>
            <w:tcW w:type="dxa" w:w="7258"/>
            <w:tcMar>
              <w:top w:type="dxa" w:w="70"/>
              <w:left w:type="dxa" w:w="110"/>
              <w:bottom w:type="dxa" w:w="70"/>
              <w:right w:type="dxa" w:w="110"/>
            </w:tcMar>
            <w:vAlign w:val="top"/>
          </w:tcPr>
          <w:p>
            <w:r>
              <w:rPr>
                <w:b w:val="false"/>
                <w:bCs w:val="false"/>
                <w:color w:val="1A1A1A"/>
                <w:sz w:val="16"/>
                <w:szCs w:val="16"/>
              </w:rPr>
              <w:t xml:space="preserve">100% of the release's assigned Work Packages at Definition of Done.</w:t>
            </w:r>
          </w:p>
        </w:tc>
      </w:tr>
      <w:tr>
        <w:tc>
          <w:tcPr>
            <w:tcW w:type="dxa" w:w="2822"/>
            <w:tcMar>
              <w:top w:type="dxa" w:w="70"/>
              <w:left w:type="dxa" w:w="110"/>
              <w:bottom w:type="dxa" w:w="70"/>
              <w:right w:type="dxa" w:w="110"/>
            </w:tcMar>
            <w:vAlign w:val="top"/>
          </w:tcPr>
          <w:p>
            <w:r>
              <w:rPr>
                <w:b/>
                <w:bCs/>
                <w:color w:val="1A1A1A"/>
                <w:sz w:val="16"/>
                <w:szCs w:val="16"/>
              </w:rPr>
              <w:t xml:space="preserve">Test coverage &amp; defects</w:t>
            </w:r>
          </w:p>
        </w:tc>
        <w:tc>
          <w:tcPr>
            <w:tcW w:type="dxa" w:w="7258"/>
            <w:tcMar>
              <w:top w:type="dxa" w:w="70"/>
              <w:left w:type="dxa" w:w="110"/>
              <w:bottom w:type="dxa" w:w="70"/>
              <w:right w:type="dxa" w:w="110"/>
            </w:tcMar>
            <w:vAlign w:val="top"/>
          </w:tcPr>
          <w:p>
            <w:r>
              <w:rPr>
                <w:b w:val="false"/>
                <w:bCs w:val="false"/>
                <w:color w:val="1A1A1A"/>
                <w:sz w:val="16"/>
                <w:szCs w:val="16"/>
              </w:rPr>
              <w:t xml:space="preserve">Automated test coverage threshold met (Part 9); zero open Critical or High severity defects.</w:t>
            </w:r>
          </w:p>
        </w:tc>
      </w:tr>
      <w:tr>
        <w:tc>
          <w:tcPr>
            <w:tcW w:type="dxa" w:w="2822"/>
            <w:tcMar>
              <w:top w:type="dxa" w:w="70"/>
              <w:left w:type="dxa" w:w="110"/>
              <w:bottom w:type="dxa" w:w="70"/>
              <w:right w:type="dxa" w:w="110"/>
            </w:tcMar>
            <w:vAlign w:val="top"/>
          </w:tcPr>
          <w:p>
            <w:r>
              <w:rPr>
                <w:b/>
                <w:bCs/>
                <w:color w:val="1A1A1A"/>
                <w:sz w:val="16"/>
                <w:szCs w:val="16"/>
              </w:rPr>
              <w:t xml:space="preserve">Security review</w:t>
            </w:r>
          </w:p>
        </w:tc>
        <w:tc>
          <w:tcPr>
            <w:tcW w:type="dxa" w:w="7258"/>
            <w:tcMar>
              <w:top w:type="dxa" w:w="70"/>
              <w:left w:type="dxa" w:w="110"/>
              <w:bottom w:type="dxa" w:w="70"/>
              <w:right w:type="dxa" w:w="110"/>
            </w:tcMar>
            <w:vAlign w:val="top"/>
          </w:tcPr>
          <w:p>
            <w:r>
              <w:rPr>
                <w:b w:val="false"/>
                <w:bCs w:val="false"/>
                <w:color w:val="1A1A1A"/>
                <w:sz w:val="16"/>
                <w:szCs w:val="16"/>
              </w:rPr>
              <w:t xml:space="preserve">Dedicated Security Architect review complete for every Work Package flagged 'Dedicated' in the release; no open Critical or High security finding.</w:t>
            </w:r>
          </w:p>
        </w:tc>
      </w:tr>
      <w:tr>
        <w:tc>
          <w:tcPr>
            <w:tcW w:type="dxa" w:w="2822"/>
            <w:tcMar>
              <w:top w:type="dxa" w:w="70"/>
              <w:left w:type="dxa" w:w="110"/>
              <w:bottom w:type="dxa" w:w="70"/>
              <w:right w:type="dxa" w:w="110"/>
            </w:tcMar>
            <w:vAlign w:val="top"/>
          </w:tcPr>
          <w:p>
            <w:r>
              <w:rPr>
                <w:b/>
                <w:bCs/>
                <w:color w:val="1A1A1A"/>
                <w:sz w:val="16"/>
                <w:szCs w:val="16"/>
              </w:rPr>
              <w:t xml:space="preserve">UAT</w:t>
            </w:r>
          </w:p>
        </w:tc>
        <w:tc>
          <w:tcPr>
            <w:tcW w:type="dxa" w:w="7258"/>
            <w:tcMar>
              <w:top w:type="dxa" w:w="70"/>
              <w:left w:type="dxa" w:w="110"/>
              <w:bottom w:type="dxa" w:w="70"/>
              <w:right w:type="dxa" w:w="110"/>
            </w:tcMar>
            <w:vAlign w:val="top"/>
          </w:tcPr>
          <w:p>
            <w:r>
              <w:rPr>
                <w:b w:val="false"/>
                <w:bCs w:val="false"/>
                <w:color w:val="1A1A1A"/>
                <w:sz w:val="16"/>
                <w:szCs w:val="16"/>
              </w:rPr>
              <w:t xml:space="preserve">Formal UAT sign-off obtained from the named business owner for every Work Package with a UAT gate.</w:t>
            </w:r>
          </w:p>
        </w:tc>
      </w:tr>
      <w:tr>
        <w:tc>
          <w:tcPr>
            <w:tcW w:type="dxa" w:w="2822"/>
            <w:tcMar>
              <w:top w:type="dxa" w:w="70"/>
              <w:left w:type="dxa" w:w="110"/>
              <w:bottom w:type="dxa" w:w="70"/>
              <w:right w:type="dxa" w:w="110"/>
            </w:tcMar>
            <w:vAlign w:val="top"/>
          </w:tcPr>
          <w:p>
            <w:r>
              <w:rPr>
                <w:b/>
                <w:bCs/>
                <w:color w:val="1A1A1A"/>
                <w:sz w:val="16"/>
                <w:szCs w:val="16"/>
              </w:rPr>
              <w:t xml:space="preserve">Performance validation</w:t>
            </w:r>
          </w:p>
        </w:tc>
        <w:tc>
          <w:tcPr>
            <w:tcW w:type="dxa" w:w="7258"/>
            <w:tcMar>
              <w:top w:type="dxa" w:w="70"/>
              <w:left w:type="dxa" w:w="110"/>
              <w:bottom w:type="dxa" w:w="70"/>
              <w:right w:type="dxa" w:w="110"/>
            </w:tcMar>
            <w:vAlign w:val="top"/>
          </w:tcPr>
          <w:p>
            <w:r>
              <w:rPr>
                <w:b w:val="false"/>
                <w:bCs w:val="false"/>
                <w:color w:val="1A1A1A"/>
                <w:sz w:val="16"/>
                <w:szCs w:val="16"/>
              </w:rPr>
              <w:t xml:space="preserve">Load and performance test results within the thresholds fixed in SRS Part 33 (Performance Requirements).</w:t>
            </w:r>
          </w:p>
        </w:tc>
      </w:tr>
      <w:tr>
        <w:tc>
          <w:tcPr>
            <w:tcW w:type="dxa" w:w="2822"/>
            <w:tcMar>
              <w:top w:type="dxa" w:w="70"/>
              <w:left w:type="dxa" w:w="110"/>
              <w:bottom w:type="dxa" w:w="70"/>
              <w:right w:type="dxa" w:w="110"/>
            </w:tcMar>
            <w:vAlign w:val="top"/>
          </w:tcPr>
          <w:p>
            <w:r>
              <w:rPr>
                <w:b/>
                <w:bCs/>
                <w:color w:val="1A1A1A"/>
                <w:sz w:val="16"/>
                <w:szCs w:val="16"/>
              </w:rPr>
              <w:t xml:space="preserve">Accessibility compliance</w:t>
            </w:r>
          </w:p>
        </w:tc>
        <w:tc>
          <w:tcPr>
            <w:tcW w:type="dxa" w:w="7258"/>
            <w:tcMar>
              <w:top w:type="dxa" w:w="70"/>
              <w:left w:type="dxa" w:w="110"/>
              <w:bottom w:type="dxa" w:w="70"/>
              <w:right w:type="dxa" w:w="110"/>
            </w:tcMar>
            <w:vAlign w:val="top"/>
          </w:tcPr>
          <w:p>
            <w:r>
              <w:rPr>
                <w:b w:val="false"/>
                <w:bCs w:val="false"/>
                <w:color w:val="1A1A1A"/>
                <w:sz w:val="16"/>
                <w:szCs w:val="16"/>
              </w:rPr>
              <w:t xml:space="preserve">Accessibility validation complete per SRS Part 34 (Accessibility Requirements) for every new screen.</w:t>
            </w:r>
          </w:p>
        </w:tc>
      </w:tr>
      <w:tr>
        <w:tc>
          <w:tcPr>
            <w:tcW w:type="dxa" w:w="2822"/>
            <w:tcMar>
              <w:top w:type="dxa" w:w="70"/>
              <w:left w:type="dxa" w:w="110"/>
              <w:bottom w:type="dxa" w:w="70"/>
              <w:right w:type="dxa" w:w="110"/>
            </w:tcMar>
            <w:vAlign w:val="top"/>
          </w:tcPr>
          <w:p>
            <w:r>
              <w:rPr>
                <w:b/>
                <w:bCs/>
                <w:color w:val="1A1A1A"/>
                <w:sz w:val="16"/>
                <w:szCs w:val="16"/>
              </w:rPr>
              <w:t xml:space="preserve">Documentation</w:t>
            </w:r>
          </w:p>
        </w:tc>
        <w:tc>
          <w:tcPr>
            <w:tcW w:type="dxa" w:w="7258"/>
            <w:tcMar>
              <w:top w:type="dxa" w:w="70"/>
              <w:left w:type="dxa" w:w="110"/>
              <w:bottom w:type="dxa" w:w="70"/>
              <w:right w:type="dxa" w:w="110"/>
            </w:tcMar>
            <w:vAlign w:val="top"/>
          </w:tcPr>
          <w:p>
            <w:r>
              <w:rPr>
                <w:b w:val="false"/>
                <w:bCs w:val="false"/>
                <w:color w:val="1A1A1A"/>
                <w:sz w:val="16"/>
                <w:szCs w:val="16"/>
              </w:rPr>
              <w:t xml:space="preserve">User documentation, API documentation, and traceability matrix entries current for the release scope.</w:t>
            </w:r>
          </w:p>
        </w:tc>
      </w:tr>
      <w:tr>
        <w:tc>
          <w:tcPr>
            <w:tcW w:type="dxa" w:w="2822"/>
            <w:tcMar>
              <w:top w:type="dxa" w:w="70"/>
              <w:left w:type="dxa" w:w="110"/>
              <w:bottom w:type="dxa" w:w="70"/>
              <w:right w:type="dxa" w:w="110"/>
            </w:tcMar>
            <w:vAlign w:val="top"/>
          </w:tcPr>
          <w:p>
            <w:r>
              <w:rPr>
                <w:b/>
                <w:bCs/>
                <w:color w:val="1A1A1A"/>
                <w:sz w:val="16"/>
                <w:szCs w:val="16"/>
              </w:rPr>
              <w:t xml:space="preserve">Operational readiness</w:t>
            </w:r>
          </w:p>
        </w:tc>
        <w:tc>
          <w:tcPr>
            <w:tcW w:type="dxa" w:w="7258"/>
            <w:tcMar>
              <w:top w:type="dxa" w:w="70"/>
              <w:left w:type="dxa" w:w="110"/>
              <w:bottom w:type="dxa" w:w="70"/>
              <w:right w:type="dxa" w:w="110"/>
            </w:tcMar>
            <w:vAlign w:val="top"/>
          </w:tcPr>
          <w:p>
            <w:r>
              <w:rPr>
                <w:b w:val="false"/>
                <w:bCs w:val="false"/>
                <w:color w:val="1A1A1A"/>
                <w:sz w:val="16"/>
                <w:szCs w:val="16"/>
              </w:rPr>
              <w:t xml:space="preserve">Support, monitoring, and hypercare arrangements confirmed ready per Part 8 (Stakeholder Readiness).</w:t>
            </w:r>
          </w:p>
        </w:tc>
      </w:tr>
      <w:tr>
        <w:tc>
          <w:tcPr>
            <w:tcW w:type="dxa" w:w="2822"/>
            <w:tcMar>
              <w:top w:type="dxa" w:w="70"/>
              <w:left w:type="dxa" w:w="110"/>
              <w:bottom w:type="dxa" w:w="70"/>
              <w:right w:type="dxa" w:w="110"/>
            </w:tcMar>
            <w:vAlign w:val="top"/>
          </w:tcPr>
          <w:p>
            <w:r>
              <w:rPr>
                <w:b/>
                <w:bCs/>
                <w:color w:val="1A1A1A"/>
                <w:sz w:val="16"/>
                <w:szCs w:val="16"/>
              </w:rPr>
              <w:t xml:space="preserve">Rollback plan</w:t>
            </w:r>
          </w:p>
        </w:tc>
        <w:tc>
          <w:tcPr>
            <w:tcW w:type="dxa" w:w="7258"/>
            <w:tcMar>
              <w:top w:type="dxa" w:w="70"/>
              <w:left w:type="dxa" w:w="110"/>
              <w:bottom w:type="dxa" w:w="70"/>
              <w:right w:type="dxa" w:w="110"/>
            </w:tcMar>
            <w:vAlign w:val="top"/>
          </w:tcPr>
          <w:p>
            <w:r>
              <w:rPr>
                <w:b w:val="false"/>
                <w:bCs w:val="false"/>
                <w:color w:val="1A1A1A"/>
                <w:sz w:val="16"/>
                <w:szCs w:val="16"/>
              </w:rPr>
              <w:t xml:space="preserve">A tested rollback or roll-forward plan exists and has been reviewed by DevSecOps.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AE3" w:sz="2"/>
              <w:left w:val="single" w:color="B0602A" w:sz="24"/>
              <w:bottom w:val="single" w:color="EFEAE3" w:sz="2"/>
              <w:right w:val="single" w:color="EFEAE3" w:sz="2"/>
            </w:tcBorders>
            <w:shd w:fill="EFEAE3" w:val="clear"/>
            <w:tcMar>
              <w:top w:type="dxa" w:w="120"/>
              <w:left w:type="dxa" w:w="180"/>
              <w:bottom w:type="dxa" w:w="120"/>
              <w:right w:type="dxa" w:w="180"/>
            </w:tcMar>
          </w:tcPr>
          <w:p>
            <w:pPr>
              <w:spacing w:after="60"/>
            </w:pPr>
            <w:r>
              <w:rPr>
                <w:b/>
                <w:bCs/>
                <w:color w:val="B0602A"/>
                <w:sz w:val="17"/>
                <w:szCs w:val="17"/>
              </w:rPr>
              <w:t xml:space="preserve">GO/NO-GO</w:t>
            </w:r>
          </w:p>
          <w:p>
            <w:pPr>
              <w:spacing w:after="0"/>
            </w:pPr>
            <w:r>
              <w:rPr>
                <w:sz w:val="18"/>
                <w:szCs w:val="18"/>
              </w:rPr>
              <w:t xml:space="preserve">A single unmet Go threshold is sufficient grounds for a No-Go decision. The Go-Live Approval Committee (Part 11) does not have authority to waive a Go threshold by majority vote — only the named escalation path in Part 11, Section 11.6 can grant an exception, and only with a documented, time-boxed remediation commitment.</w:t>
            </w:r>
          </w:p>
        </w:tc>
      </w:tr>
    </w:tbl>
    <w:p>
      <w:pPr>
        <w:pStyle w:val="Heading1"/>
        <w:pBdr>
          <w:bottom w:val="single" w:color="C9DAD8" w:sz="4" w:space="4"/>
        </w:pBdr>
        <w:spacing w:after="140" w:before="360"/>
      </w:pPr>
      <w:r>
        <w:rPr>
          <w:b/>
          <w:bCs/>
          <w:color w:val="B0602A"/>
          <w:sz w:val="26"/>
          <w:szCs w:val="26"/>
        </w:rPr>
        <w:t xml:space="preserve">1.11  </w:t>
      </w:r>
      <w:r>
        <w:rPr>
          <w:b/>
          <w:bCs/>
          <w:color w:val="1F4C4A"/>
          <w:sz w:val="26"/>
          <w:szCs w:val="26"/>
        </w:rPr>
        <w:t xml:space="preserve">Stakeholder Engagement Strategy</w:t>
      </w:r>
    </w:p>
    <w:p>
      <w:pPr>
        <w:spacing w:after="150" w:line="276"/>
        <w:jc w:val="both"/>
      </w:pPr>
      <w:r>
        <w:t xml:space="preserve">Each release engages stakeholders at three points: at release planning, where scope and priority are confirmed with business owners; at the mid-release System Demo, where a working increment is shown before it is finished, so course correction is still possible; and at the Go-Live review, where the completed release is formally accepted. This rhythm is designed so that no stakeholder is surprised by what a release contains or does not contain — the full engagement plan per release, including training and communication activities, is set out in Part 8.</w:t>
      </w:r>
    </w:p>
    <w:p>
      <w:pPr>
        <w:pStyle w:val="Heading1"/>
        <w:pBdr>
          <w:bottom w:val="single" w:color="C9DAD8" w:sz="4" w:space="4"/>
        </w:pBdr>
        <w:spacing w:after="140" w:before="360"/>
      </w:pPr>
      <w:r>
        <w:rPr>
          <w:b/>
          <w:bCs/>
          <w:color w:val="B0602A"/>
          <w:sz w:val="26"/>
          <w:szCs w:val="26"/>
        </w:rPr>
        <w:t xml:space="preserve">1.12  </w:t>
      </w:r>
      <w:r>
        <w:rPr>
          <w:b/>
          <w:bCs/>
          <w:color w:val="1F4C4A"/>
          <w:sz w:val="26"/>
          <w:szCs w:val="26"/>
        </w:rPr>
        <w:t xml:space="preserve">Risk Reduction Approach</w:t>
      </w:r>
    </w:p>
    <w:p>
      <w:pPr>
        <w:spacing w:after="150" w:line="276"/>
        <w:jc w:val="both"/>
      </w:pPr>
      <w:r>
        <w:t xml:space="preserve">Incremental release is itself the primary risk reduction mechanism on this programme: it converts one large, late, high-stakes delivery risk into five smaller, earlier, individually manageable ones. Within that structure, three further practices reduce risk at the release level: architecture and security review before, not after, a release's sprints begin; a fixed, non-waivable Go/No-Go threshold (Section 1.10); and a hypercare period following every go-live (Part 6) during which the delivery team remains on elevated support before formally closing the release.</w:t>
      </w:r>
    </w:p>
    <w:p>
      <w:pPr>
        <w:pStyle w:val="Heading1"/>
        <w:pBdr>
          <w:bottom w:val="single" w:color="C9DAD8" w:sz="4" w:space="4"/>
        </w:pBdr>
        <w:spacing w:after="140" w:before="360"/>
      </w:pPr>
      <w:r>
        <w:rPr>
          <w:b/>
          <w:bCs/>
          <w:color w:val="B0602A"/>
          <w:sz w:val="26"/>
          <w:szCs w:val="26"/>
        </w:rPr>
        <w:t xml:space="preserve">1.13  </w:t>
      </w:r>
      <w:r>
        <w:rPr>
          <w:b/>
          <w:bCs/>
          <w:color w:val="1F4C4A"/>
          <w:sz w:val="26"/>
          <w:szCs w:val="26"/>
        </w:rPr>
        <w:t xml:space="preserve">Value Realization Strategy</w:t>
      </w:r>
    </w:p>
    <w:p>
      <w:pPr>
        <w:spacing w:after="150" w:line="276"/>
        <w:jc w:val="both"/>
      </w:pPr>
      <w:r>
        <w:t xml:space="preserve">Value is not assumed to be realized at go-live — it is tracked. Each release's Value Realization Roadmap (Part 10) names the specific business problems it solves, the KPIs it is expected to move, and the point at which that movement will be measured. This gives the Steering Committee and donor oversight bodies a basis for confirming, release by release, that the programme is delivering the outcomes it was funded to deliver — not only that it is delivering software.</w:t>
      </w:r>
    </w:p>
    <w:p>
      <w:pPr>
        <w:pStyle w:val="Heading1"/>
        <w:pBdr>
          <w:bottom w:val="single" w:color="C9DAD8" w:sz="4" w:space="4"/>
        </w:pBdr>
        <w:spacing w:after="140" w:before="360"/>
      </w:pPr>
      <w:r>
        <w:rPr>
          <w:b/>
          <w:bCs/>
          <w:color w:val="B0602A"/>
          <w:sz w:val="26"/>
          <w:szCs w:val="26"/>
        </w:rPr>
        <w:t xml:space="preserve">1.14  </w:t>
      </w:r>
      <w:r>
        <w:rPr>
          <w:b/>
          <w:bCs/>
          <w:color w:val="1F4C4A"/>
          <w:sz w:val="26"/>
          <w:szCs w:val="26"/>
        </w:rPr>
        <w:t xml:space="preserve">How to Read This Document</w:t>
      </w:r>
    </w:p>
    <w:p>
      <w:pPr>
        <w:spacing w:after="150" w:line="276"/>
        <w:jc w:val="both"/>
      </w:pPr>
      <w:r>
        <w:t xml:space="preserve">Parts 2 through 4 define what each release contains. Part 5 shows how releases depend on one another. Part 6 puts releases on a calendar. Part 7 confirms nothing has been left out. Parts 8 through 11 cover the people, quality gates, value case, and governance around each release. Part 12 is the single executive summary suitable for presentation to IFAD, NPCO, and the Steering Committee without reading the other eleven parts first.</w:t>
      </w:r>
    </w:p>
    <w:p>
      <w:pPr>
        <w:pStyle w:val="Heading2"/>
        <w:spacing w:after="110" w:before="260"/>
      </w:pPr>
      <w:r>
        <w:rPr>
          <w:b/>
          <w:bCs/>
          <w:color w:val="B0602A"/>
          <w:sz w:val="21"/>
          <w:szCs w:val="21"/>
        </w:rPr>
        <w:t xml:space="preserve">1.14.1  </w:t>
      </w:r>
      <w:r>
        <w:rPr>
          <w:b/>
          <w:bCs/>
          <w:color w:val="1F4C4A"/>
          <w:sz w:val="21"/>
          <w:szCs w:val="21"/>
        </w:rPr>
        <w:t xml:space="preserve">Related Documents</w:t>
      </w:r>
    </w:p>
    <w:p>
      <w:pPr>
        <w:pStyle w:val="ListParagraph"/>
        <w:numPr>
          <w:ilvl w:val="0"/>
          <w:numId w:val="1"/>
        </w:numPr>
        <w:spacing w:after="90" w:line="264"/>
      </w:pPr>
      <w:r>
        <w:t xml:space="preserve">MEKB Part 4 — Engineering Work Breakdown Structure</w:t>
      </w:r>
    </w:p>
    <w:p>
      <w:pPr>
        <w:pStyle w:val="ListParagraph"/>
        <w:numPr>
          <w:ilvl w:val="0"/>
          <w:numId w:val="1"/>
        </w:numPr>
        <w:spacing w:after="90" w:line="264"/>
      </w:pPr>
      <w:r>
        <w:t xml:space="preserve">MEKB Part 9 — Sprint Roadmap</w:t>
      </w:r>
    </w:p>
    <w:p>
      <w:pPr>
        <w:pStyle w:val="ListParagraph"/>
        <w:numPr>
          <w:ilvl w:val="0"/>
          <w:numId w:val="1"/>
        </w:numPr>
        <w:spacing w:after="90" w:line="264"/>
      </w:pPr>
      <w:r>
        <w:t xml:space="preserve">MEKB Part 10 — Master Product Backlog</w:t>
      </w:r>
    </w:p>
    <w:p>
      <w:pPr>
        <w:pStyle w:val="ListParagraph"/>
        <w:numPr>
          <w:ilvl w:val="0"/>
          <w:numId w:val="1"/>
        </w:numPr>
        <w:spacing w:after="90" w:line="264"/>
      </w:pPr>
      <w:r>
        <w:t xml:space="preserve">MEKB Part 11 — Work Package Dependency Matrix</w:t>
      </w:r>
    </w:p>
    <w:p>
      <w:pPr>
        <w:pStyle w:val="ListParagraph"/>
        <w:numPr>
          <w:ilvl w:val="0"/>
          <w:numId w:val="1"/>
        </w:numPr>
        <w:spacing w:after="90" w:line="264"/>
      </w:pPr>
      <w:r>
        <w:t xml:space="preserve">MEKB Part 14 — Quality Gates &amp; Acceptance Framework</w:t>
      </w:r>
    </w:p>
    <w:p>
      <w:pPr>
        <w:pStyle w:val="ListParagraph"/>
        <w:numPr>
          <w:ilvl w:val="0"/>
          <w:numId w:val="1"/>
        </w:numPr>
        <w:spacing w:after="90" w:line="264"/>
      </w:pPr>
      <w:r>
        <w:t xml:space="preserve">Enterprise Development Roadmap (EDR) — engineering-facing build sequencing companion to this document</w:t>
      </w:r>
    </w:p>
    <w:p>
      <w:pPr>
        <w:pStyle w:val="ListParagraph"/>
        <w:numPr>
          <w:ilvl w:val="0"/>
          <w:numId w:val="1"/>
        </w:numPr>
        <w:spacing w:after="90" w:line="264"/>
      </w:pPr>
      <w:r>
        <w:t xml:space="preserve">PDIB Part 6 — Agile Delivery Framework; PDIB Part 17 — Implementation Schedule</w:t>
      </w:r>
    </w:p>
    <w:p>
      <w:pPr>
        <w:pStyle w:val="ListParagraph"/>
        <w:numPr>
          <w:ilvl w:val="0"/>
          <w:numId w:val="1"/>
        </w:numPr>
        <w:spacing w:after="90" w:line="264"/>
      </w:pPr>
      <w:r>
        <w:t xml:space="preserve">Engineering Handbook Chapter 20 — Sprint Governance and Delivery Model; 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4C4A"/>
      <w:sz w:val="26"/>
      <w:szCs w:val="26"/>
    </w:rPr>
  </w:style>
  <w:style w:type="paragraph" w:styleId="Heading2">
    <w:name w:val="Heading 2"/>
    <w:basedOn w:val="Normal"/>
    <w:next w:val="Normal"/>
    <w:qFormat/>
    <w:pPr>
      <w:spacing w:after="110" w:before="240"/>
    </w:pPr>
    <w:rPr>
      <w:rFonts w:ascii="Calibri" w:cs="Calibri" w:eastAsia="Calibri" w:hAnsi="Calibri"/>
      <w:b/>
      <w:bCs/>
      <w:color w:val="1F4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2026-07-20T15:14:19.897Z</dcterms:created>
  <dcterms:modified xsi:type="dcterms:W3CDTF">2026-07-20T15:14:19.897Z</dcterms:modified>
</cp:coreProperties>
</file>

<file path=docProps/custom.xml><?xml version="1.0" encoding="utf-8"?>
<Properties xmlns="http://schemas.openxmlformats.org/officeDocument/2006/custom-properties" xmlns:vt="http://schemas.openxmlformats.org/officeDocument/2006/docPropsVTypes"/>
</file>