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center"/>
      </w:pPr>
      <w:r>
        <w:rPr>
          <w:b/>
          <w:bCs/>
          <w:caps/>
          <w:color w:val="B23A48"/>
          <w:sz w:val="20"/>
          <w:szCs w:val="20"/>
        </w:rPr>
        <w:t xml:space="preserve">VOLUME IV — ENTERPRISE ENGINEERING WORK PACKAGE LIBRARY (EWPL)</w:t>
      </w:r>
    </w:p>
    <w:p>
      <w:pPr>
        <w:spacing w:after="260"/>
        <w:jc w:val="center"/>
      </w:pPr>
      <w:r>
        <w:rPr>
          <w:b/>
          <w:bCs/>
          <w:color w:val="1A1D21"/>
          <w:sz w:val="28"/>
          <w:szCs w:val="28"/>
        </w:rPr>
        <w:t xml:space="preserve">Part 1</w:t>
      </w:r>
    </w:p>
    <w:p>
      <w:pPr>
        <w:pBdr>
          <w:bottom w:val="single" w:color="2E3440" w:sz="14" w:space="10"/>
        </w:pBdr>
        <w:spacing w:after="160"/>
        <w:jc w:val="center"/>
      </w:pPr>
      <w:r>
        <w:rPr>
          <w:b/>
          <w:bCs/>
          <w:color w:val="1A1D21"/>
          <w:sz w:val="40"/>
          <w:szCs w:val="40"/>
        </w:rPr>
        <w:t xml:space="preserve">Engineering Work Package Strategy</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Executive Overview — How the SAPZ Platform's Engineering Scope Is Packaged for Implementation</w:t>
      </w:r>
    </w:p>
    <w:p>
      <w:r>
        <w:br w:type="page"/>
      </w:r>
    </w:p>
    <w:p>
      <w:pPr>
        <w:spacing w:after="40"/>
        <w:jc w:val="left"/>
      </w:pPr>
      <w:r>
        <w:rPr>
          <w:b/>
          <w:bCs/>
          <w:caps/>
          <w:color w:val="B23A48"/>
          <w:sz w:val="22"/>
          <w:szCs w:val="22"/>
        </w:rPr>
        <w:t xml:space="preserve">PART 1</w:t>
      </w:r>
    </w:p>
    <w:p>
      <w:pPr>
        <w:pBdr>
          <w:bottom w:val="single" w:color="2E3440" w:sz="12" w:space="8"/>
        </w:pBdr>
        <w:spacing w:after="200"/>
        <w:jc w:val="left"/>
      </w:pPr>
      <w:r>
        <w:rPr>
          <w:b/>
          <w:bCs/>
          <w:color w:val="1A1D21"/>
          <w:sz w:val="44"/>
          <w:szCs w:val="44"/>
        </w:rPr>
        <w:t xml:space="preserve">Engineering Work Package Strategy</w:t>
      </w:r>
    </w:p>
    <w:p>
      <w:pPr>
        <w:spacing w:after="90" w:before="180"/>
      </w:pPr>
      <w:r>
        <w:rPr>
          <w:b/>
          <w:bCs/>
          <w:color w:val="1A1D21"/>
          <w:sz w:val="19"/>
          <w:szCs w:val="19"/>
        </w:rP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2E3440" w:val="clear"/>
            <w:tcMar>
              <w:top w:type="dxa" w:w="70"/>
              <w:left w:type="dxa" w:w="110"/>
              <w:bottom w:type="dxa" w:w="70"/>
              <w:right w:type="dxa" w:w="110"/>
            </w:tcMar>
            <w:vAlign w:val="top"/>
          </w:tcPr>
          <w:p>
            <w:r>
              <w:rPr>
                <w:b/>
                <w:bCs/>
                <w:color w:val="FFFFFF"/>
                <w:sz w:val="17"/>
                <w:szCs w:val="17"/>
              </w:rPr>
              <w:t xml:space="preserve">Field</w:t>
            </w:r>
          </w:p>
        </w:tc>
        <w:tc>
          <w:tcPr>
            <w:tcW w:type="dxa" w:w="7258"/>
            <w:shd w:fill="2E3440" w:val="clear"/>
            <w:tcMar>
              <w:top w:type="dxa" w:w="70"/>
              <w:left w:type="dxa" w:w="110"/>
              <w:bottom w:type="dxa" w:w="70"/>
              <w:right w:type="dxa" w:w="110"/>
            </w:tcMar>
            <w:vAlign w:val="top"/>
          </w:tcPr>
          <w:p>
            <w:r>
              <w:rPr>
                <w:b/>
                <w:bCs/>
                <w:color w:val="FFFFFF"/>
                <w:sz w:val="17"/>
                <w:szCs w:val="17"/>
              </w:rPr>
              <w:t xml:space="preserve">Value</w:t>
            </w:r>
          </w:p>
        </w:tc>
      </w:tr>
      <w:tr>
        <w:tc>
          <w:tcPr>
            <w:tcW w:type="dxa" w:w="2822"/>
            <w:tcMar>
              <w:top w:type="dxa" w:w="70"/>
              <w:left w:type="dxa" w:w="110"/>
              <w:bottom w:type="dxa" w:w="70"/>
              <w:right w:type="dxa" w:w="110"/>
            </w:tcMar>
            <w:vAlign w:val="top"/>
          </w:tcPr>
          <w:p>
            <w:r>
              <w:rPr>
                <w:b/>
                <w:bCs/>
                <w:color w:val="1A1A1A"/>
                <w:sz w:val="16"/>
                <w:szCs w:val="16"/>
              </w:rPr>
              <w:t xml:space="preserve">Document Title</w:t>
            </w:r>
          </w:p>
        </w:tc>
        <w:tc>
          <w:tcPr>
            <w:tcW w:type="dxa" w:w="7258"/>
            <w:tcMar>
              <w:top w:type="dxa" w:w="70"/>
              <w:left w:type="dxa" w:w="110"/>
              <w:bottom w:type="dxa" w:w="70"/>
              <w:right w:type="dxa" w:w="110"/>
            </w:tcMar>
            <w:vAlign w:val="top"/>
          </w:tcPr>
          <w:p>
            <w:r>
              <w:rPr>
                <w:b w:val="false"/>
                <w:bCs w:val="false"/>
                <w:color w:val="1A1A1A"/>
                <w:sz w:val="16"/>
                <w:szCs w:val="16"/>
              </w:rPr>
              <w:t xml:space="preserve">Volume IV — Enterprise Engineering Work Package Library (EWPL)</w:t>
            </w:r>
          </w:p>
        </w:tc>
      </w:tr>
      <w:tr>
        <w:tc>
          <w:tcPr>
            <w:tcW w:type="dxa" w:w="2822"/>
            <w:tcMar>
              <w:top w:type="dxa" w:w="70"/>
              <w:left w:type="dxa" w:w="110"/>
              <w:bottom w:type="dxa" w:w="70"/>
              <w:right w:type="dxa" w:w="110"/>
            </w:tcMar>
            <w:vAlign w:val="top"/>
          </w:tcPr>
          <w:p>
            <w:r>
              <w:rPr>
                <w:b/>
                <w:bCs/>
                <w:color w:val="1A1A1A"/>
                <w:sz w:val="16"/>
                <w:szCs w:val="16"/>
              </w:rPr>
              <w:t xml:space="preserve">Part</w:t>
            </w:r>
          </w:p>
        </w:tc>
        <w:tc>
          <w:tcPr>
            <w:tcW w:type="dxa" w:w="7258"/>
            <w:tcMar>
              <w:top w:type="dxa" w:w="70"/>
              <w:left w:type="dxa" w:w="110"/>
              <w:bottom w:type="dxa" w:w="70"/>
              <w:right w:type="dxa" w:w="110"/>
            </w:tcMar>
            <w:vAlign w:val="top"/>
          </w:tcPr>
          <w:p>
            <w:r>
              <w:rPr>
                <w:b w:val="false"/>
                <w:bCs w:val="false"/>
                <w:color w:val="1A1A1A"/>
                <w:sz w:val="16"/>
                <w:szCs w:val="16"/>
              </w:rPr>
              <w:t xml:space="preserve">Part 1 of 7 — Engineering Work Package Strategy</w:t>
            </w:r>
          </w:p>
        </w:tc>
      </w:tr>
      <w:tr>
        <w:tc>
          <w:tcPr>
            <w:tcW w:type="dxa" w:w="2822"/>
            <w:tcMar>
              <w:top w:type="dxa" w:w="70"/>
              <w:left w:type="dxa" w:w="110"/>
              <w:bottom w:type="dxa" w:w="70"/>
              <w:right w:type="dxa" w:w="110"/>
            </w:tcMar>
            <w:vAlign w:val="top"/>
          </w:tcPr>
          <w:p>
            <w:r>
              <w:rPr>
                <w:b/>
                <w:bCs/>
                <w:color w:val="1A1A1A"/>
                <w:sz w:val="16"/>
                <w:szCs w:val="16"/>
              </w:rPr>
              <w:t xml:space="preserve">Governing Documents</w:t>
            </w:r>
          </w:p>
        </w:tc>
        <w:tc>
          <w:tcPr>
            <w:tcW w:type="dxa" w:w="7258"/>
            <w:tcMar>
              <w:top w:type="dxa" w:w="70"/>
              <w:left w:type="dxa" w:w="110"/>
              <w:bottom w:type="dxa" w:w="70"/>
              <w:right w:type="dxa" w:w="110"/>
            </w:tcMar>
            <w:vAlign w:val="top"/>
          </w:tcPr>
          <w:p>
            <w:r>
              <w:rPr>
                <w:b w:val="false"/>
                <w:bCs w:val="false"/>
                <w:color w:val="1A1A1A"/>
                <w:sz w:val="16"/>
                <w:szCs w:val="16"/>
              </w:rPr>
              <w:t xml:space="preserve">BRD, PDD, SRS, Enterprise Solution Architecture, DDS, AIDS, Security Architecture, TSAS, Engineering Handbook (Vol. I), MEKB (Parts 1–15, functioning as Vol. II Reference Manual), Enterprise Release Strategy &amp; Incremental Delivery Roadmap (ERS, Vol. III)</w:t>
            </w:r>
          </w:p>
        </w:tc>
      </w:tr>
      <w:tr>
        <w:tc>
          <w:tcPr>
            <w:tcW w:type="dxa" w:w="2822"/>
            <w:tcMar>
              <w:top w:type="dxa" w:w="70"/>
              <w:left w:type="dxa" w:w="110"/>
              <w:bottom w:type="dxa" w:w="70"/>
              <w:right w:type="dxa" w:w="110"/>
            </w:tcMar>
            <w:vAlign w:val="top"/>
          </w:tcPr>
          <w:p>
            <w:r>
              <w:rPr>
                <w:b/>
                <w:bCs/>
                <w:color w:val="1A1A1A"/>
                <w:sz w:val="16"/>
                <w:szCs w:val="16"/>
              </w:rPr>
              <w:t xml:space="preserve">Authorship Mandate</w:t>
            </w:r>
          </w:p>
        </w:tc>
        <w:tc>
          <w:tcPr>
            <w:tcW w:type="dxa" w:w="7258"/>
            <w:tcMar>
              <w:top w:type="dxa" w:w="70"/>
              <w:left w:type="dxa" w:w="110"/>
              <w:bottom w:type="dxa" w:w="70"/>
              <w:right w:type="dxa" w:w="110"/>
            </w:tcMar>
            <w:vAlign w:val="top"/>
          </w:tcPr>
          <w:p>
            <w:r>
              <w:rPr>
                <w:b w:val="false"/>
                <w:bCs w:val="false"/>
                <w:color w:val="1A1A1A"/>
                <w:sz w:val="16"/>
                <w:szCs w:val="16"/>
              </w:rPr>
              <w:t xml:space="preserve">Decompose the approved solution into implementation-ready Engineering Work Packages. Do not redesign or rewrite the governing documents.</w:t>
            </w:r>
          </w:p>
        </w:tc>
      </w:tr>
      <w:tr>
        <w:tc>
          <w:tcPr>
            <w:tcW w:type="dxa" w:w="2822"/>
            <w:tcMar>
              <w:top w:type="dxa" w:w="70"/>
              <w:left w:type="dxa" w:w="110"/>
              <w:bottom w:type="dxa" w:w="70"/>
              <w:right w:type="dxa" w:w="110"/>
            </w:tcMar>
            <w:vAlign w:val="top"/>
          </w:tcPr>
          <w:p>
            <w:r>
              <w:rPr>
                <w:b/>
                <w:bCs/>
                <w:color w:val="1A1A1A"/>
                <w:sz w:val="16"/>
                <w:szCs w:val="16"/>
              </w:rPr>
              <w:t xml:space="preserve">Audience</w:t>
            </w:r>
          </w:p>
        </w:tc>
        <w:tc>
          <w:tcPr>
            <w:tcW w:type="dxa" w:w="7258"/>
            <w:tcMar>
              <w:top w:type="dxa" w:w="70"/>
              <w:left w:type="dxa" w:w="110"/>
              <w:bottom w:type="dxa" w:w="70"/>
              <w:right w:type="dxa" w:w="110"/>
            </w:tcMar>
            <w:vAlign w:val="top"/>
          </w:tcPr>
          <w:p>
            <w:r>
              <w:rPr>
                <w:b w:val="false"/>
                <w:bCs w:val="false"/>
                <w:color w:val="1A1A1A"/>
                <w:sz w:val="16"/>
                <w:szCs w:val="16"/>
              </w:rPr>
              <w:t xml:space="preserve">Engineering teams, Antigravity (AI-assisted development platform), Technical Leads, Architecture Review Board, Delivery Leadership, Programme Governance</w:t>
            </w:r>
          </w:p>
        </w:tc>
      </w:tr>
    </w:tbl>
    <w:p>
      <w:pPr>
        <w:pStyle w:val="Heading1"/>
        <w:pBdr>
          <w:bottom w:val="single" w:color="D3D7DC" w:sz="4" w:space="4"/>
        </w:pBdr>
        <w:spacing w:after="140" w:before="360"/>
      </w:pPr>
      <w:r>
        <w:rPr>
          <w:b/>
          <w:bCs/>
          <w:color w:val="B23A48"/>
          <w:sz w:val="26"/>
          <w:szCs w:val="26"/>
        </w:rPr>
        <w:t xml:space="preserve">1.1  </w:t>
      </w:r>
      <w:r>
        <w:rPr>
          <w:b/>
          <w:bCs/>
          <w:color w:val="2E3440"/>
          <w:sz w:val="26"/>
          <w:szCs w:val="26"/>
        </w:rPr>
        <w:t xml:space="preserve">Purpose of the Work Package Library</w:t>
      </w:r>
    </w:p>
    <w:tbl>
      <w:tblPr>
        <w:tblW w:type="dxa" w:w="10080"/>
        <w:tblBorders>
          <w:top w:val="single" w:color="D3D7DC" w:sz="4"/>
          <w:left w:val="single" w:color="D3D7DC" w:sz="4"/>
          <w:bottom w:val="single" w:color="D3D7DC" w:sz="4"/>
          <w:right w:val="single" w:color="D3D7DC" w:sz="4"/>
          <w:insideH w:val="single" w:color="D3D7DC" w:sz="2"/>
          <w:insideV w:val="single" w:color="D3D7DC" w:sz="2"/>
        </w:tblBorders>
      </w:tblPr>
      <w:tblGrid>
        <w:gridCol w:w="2621"/>
        <w:gridCol w:w="7459"/>
      </w:tblGrid>
      <w:tr>
        <w:tc>
          <w:tcPr>
            <w:tcW w:type="dxa" w:w="2621"/>
            <w:shd w:fill="EEF0F2" w:val="clear"/>
            <w:tcMar>
              <w:top w:type="dxa" w:w="80"/>
              <w:left w:type="dxa" w:w="120"/>
              <w:bottom w:type="dxa" w:w="80"/>
              <w:right w:type="dxa" w:w="120"/>
            </w:tcMar>
            <w:vAlign w:val="top"/>
          </w:tcPr>
          <w:p>
            <w:r>
              <w:rPr>
                <w:b/>
                <w:bCs/>
                <w:color w:val="2E3440"/>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why an implementation-ready Work Package Library is required in addition to the MEKB and the Release Strategy.</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every engineering team and Antigravity session a single, unambiguous, self-contained execution unit — no team has to reverse-engineer scope from six different governing documents before writing code.</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Where the MEKB defines what each Work Package covers at knowledge-base depth, and the ERS defines when each is released, the EWPL defines exactly how each is built — requirements, APIs, database objects, UI, security, tests, and Antigravity handoff, all in one document per Work Package.</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Work Package can be handed to an engineering team or to Antigravity with zero ambiguity about scope, interface, data model, or acceptance criteria.</w:t>
            </w:r>
          </w:p>
        </w:tc>
      </w:tr>
    </w:tbl>
    <w:p>
      <w:pPr>
        <w:spacing w:after="160"/>
      </w:pPr>
    </w:p>
    <w:p>
      <w:pPr>
        <w:spacing w:after="150" w:line="276"/>
        <w:jc w:val="both"/>
      </w:pPr>
      <w:r>
        <w:t xml:space="preserve">The SAPZ programme's engineering scope has, until this volume, existed at three levels of depth. The Business Requirements Document and Software Requirements Specification establish what the business needs and what the system must do. The Master Engineering Knowledge Base organizes that scope into twenty-five Engineering Work Packages, each specified to a knowledge-base depth: functional requirements, non-functional requirements, UI screens, security controls, and test case identifiers. The Enterprise Release Strategy sequences those same twenty-five Work Packages into five business-capable releases.</w:t>
      </w:r>
    </w:p>
    <w:p>
      <w:pPr>
        <w:spacing w:after="150" w:line="276"/>
        <w:jc w:val="both"/>
      </w:pPr>
      <w:r>
        <w:t xml:space="preserve">None of these three, individually or together, is a document an engineer or an AI-assisted development platform can execute against without still having to consult four or five other documents to assemble a complete picture of a single Work Package's APIs, database schema, screens, security posture, and test plan. Volume IV closes that gap. It takes each of the twenty-five Work Packages already established in the MEKB and expands it, once, into a complete, self-contained, twenty-section implementation package — the single document an engineering team or Antigravity opens to build that Work Package end to 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DEAF2" w:sz="2"/>
              <w:left w:val="single" w:color="5B4E75" w:sz="24"/>
              <w:bottom w:val="single" w:color="EDEAF2" w:sz="2"/>
              <w:right w:val="single" w:color="EDEAF2" w:sz="2"/>
            </w:tcBorders>
            <w:shd w:fill="EDEAF2" w:val="clear"/>
            <w:tcMar>
              <w:top w:type="dxa" w:w="120"/>
              <w:left w:type="dxa" w:w="180"/>
              <w:bottom w:type="dxa" w:w="120"/>
              <w:right w:type="dxa" w:w="180"/>
            </w:tcMar>
          </w:tcPr>
          <w:p>
            <w:pPr>
              <w:spacing w:after="60"/>
            </w:pPr>
            <w:r>
              <w:rPr>
                <w:b/>
                <w:bCs/>
                <w:color w:val="5B4E75"/>
                <w:sz w:val="17"/>
                <w:szCs w:val="17"/>
              </w:rPr>
              <w:t xml:space="preserve">GOVERNANCE NOTE</w:t>
            </w:r>
          </w:p>
          <w:p>
            <w:pPr>
              <w:spacing w:after="0"/>
            </w:pPr>
            <w:r>
              <w:rPr>
                <w:sz w:val="18"/>
                <w:szCs w:val="18"/>
              </w:rPr>
              <w:t xml:space="preserve">This document introduces no new scope. Every requirement, entity, endpoint, and screen referenced in any Work Package in this library already exists in the SRS, DDS, AIDS, or MEKB. Where this document appears to add detail not found in those sources, it is elaboration for implementation clarity, not new requirement — and is flagged for Architecture Review Board confirmation before the affected Work Package enters a sprint.</w:t>
            </w:r>
          </w:p>
        </w:tc>
      </w:tr>
    </w:tbl>
    <w:p>
      <w:pPr>
        <w:pStyle w:val="Heading1"/>
        <w:pBdr>
          <w:bottom w:val="single" w:color="D3D7DC" w:sz="4" w:space="4"/>
        </w:pBdr>
        <w:spacing w:after="140" w:before="360"/>
      </w:pPr>
      <w:r>
        <w:rPr>
          <w:b/>
          <w:bCs/>
          <w:color w:val="B23A48"/>
          <w:sz w:val="26"/>
          <w:szCs w:val="26"/>
        </w:rPr>
        <w:t xml:space="preserve">1.2  </w:t>
      </w:r>
      <w:r>
        <w:rPr>
          <w:b/>
          <w:bCs/>
          <w:color w:val="2E3440"/>
          <w:sz w:val="26"/>
          <w:szCs w:val="26"/>
        </w:rPr>
        <w:t xml:space="preserve">Relationship to the MEKB</w:t>
      </w:r>
    </w:p>
    <w:tbl>
      <w:tblPr>
        <w:tblW w:type="dxa" w:w="10080"/>
        <w:tblBorders>
          <w:top w:val="single" w:color="D3D7DC" w:sz="4"/>
          <w:left w:val="single" w:color="D3D7DC" w:sz="4"/>
          <w:bottom w:val="single" w:color="D3D7DC" w:sz="4"/>
          <w:right w:val="single" w:color="D3D7DC" w:sz="4"/>
          <w:insideH w:val="single" w:color="D3D7DC" w:sz="2"/>
          <w:insideV w:val="single" w:color="D3D7DC" w:sz="2"/>
        </w:tblBorders>
      </w:tblPr>
      <w:tblGrid>
        <w:gridCol w:w="2621"/>
        <w:gridCol w:w="7459"/>
      </w:tblGrid>
      <w:tr>
        <w:tc>
          <w:tcPr>
            <w:tcW w:type="dxa" w:w="2621"/>
            <w:shd w:fill="EEF0F2" w:val="clear"/>
            <w:tcMar>
              <w:top w:type="dxa" w:w="80"/>
              <w:left w:type="dxa" w:w="120"/>
              <w:bottom w:type="dxa" w:w="80"/>
              <w:right w:type="dxa" w:w="120"/>
            </w:tcMar>
            <w:vAlign w:val="top"/>
          </w:tcPr>
          <w:p>
            <w:r>
              <w:rPr>
                <w:b/>
                <w:bCs/>
                <w:color w:val="2E3440"/>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State precisely how this volume relates to, and does not duplicate, the Master Engineering Knowledge Base.</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the single most damaging failure mode of a large documentation programme: two documents that both claim to be authoritative over the same scope, with silently drifting content.</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MEKB remains authoritative for Work Package identity, numbering, sprint placement, and knowledge-base-level specification. The EWPL is authoritative for implementation-level detail within each Work Package's already-fixed boundary.</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reader always knows which document to trust for a given question: MEKB for 'what and when,' EWPL for 'exactly how.'</w:t>
            </w:r>
          </w:p>
        </w:tc>
      </w:tr>
    </w:tbl>
    <w:p>
      <w:pPr>
        <w:spacing w:after="160"/>
      </w:pPr>
    </w:p>
    <w:p>
      <w:pPr>
        <w:spacing w:after="150" w:line="276"/>
        <w:jc w:val="both"/>
      </w:pPr>
      <w:r>
        <w:t xml:space="preserve">The MEKB's twenty-five Work Packages — WP-01 through WP-25 — are preserved in this volume without renumbering, renaming, merging, or re-scoping. Every Work Package in this library carries the identical ID, title, and Engineering Domain assignment fixed in MEKB Parts 4 through 8. This is a deliberate decision, explained in full in Section 1.11, and it is the single most important governance fact in this document.</w:t>
      </w:r>
    </w:p>
    <w:p>
      <w:pPr>
        <w:spacing w:after="150" w:line="276"/>
        <w:jc w:val="both"/>
      </w:pPr>
      <w:r>
        <w:t xml:space="preserve">Within that preserved boundary, the EWPL goes materially deeper than the MEKB. Where a MEKB Work Package entry lists functional requirements by ID and a one-line UI Screens field, the corresponding EWPL Work Package specifies the full functional specification, every screen's interaction detail, every API endpoint's request and response payload, every affected database table and column, the complete security control set, and a full Antigravity Implementation Package. The MEKB is the knowledge base; this volume is the build instruction.</w:t>
      </w:r>
    </w:p>
    <w:p>
      <w:pPr>
        <w:pStyle w:val="Heading1"/>
        <w:pBdr>
          <w:bottom w:val="single" w:color="D3D7DC" w:sz="4" w:space="4"/>
        </w:pBdr>
        <w:spacing w:after="140" w:before="360"/>
      </w:pPr>
      <w:r>
        <w:rPr>
          <w:b/>
          <w:bCs/>
          <w:color w:val="B23A48"/>
          <w:sz w:val="26"/>
          <w:szCs w:val="26"/>
        </w:rPr>
        <w:t xml:space="preserve">1.3  </w:t>
      </w:r>
      <w:r>
        <w:rPr>
          <w:b/>
          <w:bCs/>
          <w:color w:val="2E3440"/>
          <w:sz w:val="26"/>
          <w:szCs w:val="26"/>
        </w:rPr>
        <w:t xml:space="preserve">Relationship to the Release Strategy</w:t>
      </w:r>
    </w:p>
    <w:p>
      <w:pPr>
        <w:spacing w:after="150" w:line="276"/>
        <w:jc w:val="both"/>
      </w:pPr>
      <w:r>
        <w:t xml:space="preserve">The Enterprise Release Strategy &amp; Incremental Delivery Roadmap (ERS) — Volume III — assigns each of the twenty-five Work Packages to one of five releases, including the thin-slice pull-forwards documented in ERS Part 1, Section 1.7 (partial early delivery of WP-10 Workflow Engine, WP-11 Approvals, and WP-23 AI Assistant to unblock earlier releases). This volume does not alter that release assignment. Each Work Package in this library states its ERS release assignment in its Executive Summary and Master Catalogue entry (Part 2), including whether it is delivered as a thin slice or in full at that point.</w:t>
      </w:r>
    </w:p>
    <w:p>
      <w:pPr>
        <w:pStyle w:val="Heading1"/>
        <w:pBdr>
          <w:bottom w:val="single" w:color="D3D7DC" w:sz="4" w:space="4"/>
        </w:pBdr>
        <w:spacing w:after="140" w:before="360"/>
      </w:pPr>
      <w:r>
        <w:rPr>
          <w:b/>
          <w:bCs/>
          <w:color w:val="B23A48"/>
          <w:sz w:val="26"/>
          <w:szCs w:val="26"/>
        </w:rPr>
        <w:t xml:space="preserve">1.4  </w:t>
      </w:r>
      <w:r>
        <w:rPr>
          <w:b/>
          <w:bCs/>
          <w:color w:val="2E3440"/>
          <w:sz w:val="26"/>
          <w:szCs w:val="26"/>
        </w:rPr>
        <w:t xml:space="preserve">Relationship to the Product Backlog</w:t>
      </w:r>
    </w:p>
    <w:p>
      <w:pPr>
        <w:spacing w:after="150" w:line="276"/>
        <w:jc w:val="both"/>
      </w:pPr>
      <w:r>
        <w:t xml:space="preserve">The Master Product Backlog (MEKB Part 10) holds 75 user stories across 357 story points, organized into five epics aligned to the twenty-five Work Packages. This volume does not replace the backlog as the system of record for sprint-level planning; it provides the implementation detail that makes each backlog story executable. Where this volume's Work Package-level estimates (Part 2) differ from the original story-level roll-up in MEKB Part 10, this reflects normal re-estimation at higher planning fidelity and is reconciled through backlog grooming as each Work Package enters sprint planning, not through retroactive correction of either document.</w:t>
      </w:r>
    </w:p>
    <w:p>
      <w:pPr>
        <w:pStyle w:val="Heading1"/>
        <w:pBdr>
          <w:bottom w:val="single" w:color="D3D7DC" w:sz="4" w:space="4"/>
        </w:pBdr>
        <w:spacing w:after="140" w:before="360"/>
      </w:pPr>
      <w:r>
        <w:rPr>
          <w:b/>
          <w:bCs/>
          <w:color w:val="B23A48"/>
          <w:sz w:val="26"/>
          <w:szCs w:val="26"/>
        </w:rPr>
        <w:t xml:space="preserve">1.5  </w:t>
      </w:r>
      <w:r>
        <w:rPr>
          <w:b/>
          <w:bCs/>
          <w:color w:val="2E3440"/>
          <w:sz w:val="26"/>
          <w:szCs w:val="26"/>
        </w:rPr>
        <w:t xml:space="preserve">Relationship to the Engineering Handbook (Volume I)</w:t>
      </w:r>
    </w:p>
    <w:p>
      <w:pPr>
        <w:spacing w:after="150" w:line="276"/>
        <w:jc w:val="both"/>
      </w:pPr>
      <w:r>
        <w:t xml:space="preserve">The Enterprise Engineering Handbook fixes how engineering is done on this programme — coding standards, review policy, branching strategy, Definition of Ready and Definition of Done, sprint governance. This volume does not restate those standards; every Work Package's Section 17 (Definition of Ready), Section 18 (Definition of Done), and Section 20 (Engineering Checklist) apply the Handbook's standing policy to that Work Package's specific scope, and reference the relevant Handbook chapter rather than re-deriving the policy.</w:t>
      </w:r>
    </w:p>
    <w:p>
      <w:pPr>
        <w:pStyle w:val="Heading1"/>
        <w:pBdr>
          <w:bottom w:val="single" w:color="D3D7DC" w:sz="4" w:space="4"/>
        </w:pBdr>
        <w:spacing w:after="140" w:before="360"/>
      </w:pPr>
      <w:r>
        <w:rPr>
          <w:b/>
          <w:bCs/>
          <w:color w:val="B23A48"/>
          <w:sz w:val="26"/>
          <w:szCs w:val="26"/>
        </w:rPr>
        <w:t xml:space="preserve">1.6  </w:t>
      </w:r>
      <w:r>
        <w:rPr>
          <w:b/>
          <w:bCs/>
          <w:color w:val="2E3440"/>
          <w:sz w:val="26"/>
          <w:szCs w:val="26"/>
        </w:rPr>
        <w:t xml:space="preserve">Relationship to the Reference Manual (Volume II)</w:t>
      </w:r>
    </w:p>
    <w:p>
      <w:pPr>
        <w:spacing w:after="150" w:line="276"/>
        <w:jc w:val="both"/>
      </w:pPr>
      <w:r>
        <w:t xml:space="preserve">This engagement's Master Engineering Knowledge Base fulfils the role of the Enterprise Engineering Reference Manual referenced in this volume's governing document list: it is the comprehensive, fifteen-part reference covering the platform's knowledge map, engineering domains, module decomposition, work breakdown structure, sprint roadmap, dependency matrix, prompt library, execution playbook, quality gates, and implementation readiness assessment. Where this document refers to 'the Reference Manual,' it refers to the MEKB.</w:t>
      </w:r>
    </w:p>
    <w:p>
      <w:pPr>
        <w:pStyle w:val="Heading1"/>
        <w:pBdr>
          <w:bottom w:val="single" w:color="D3D7DC" w:sz="4" w:space="4"/>
        </w:pBdr>
        <w:spacing w:after="140" w:before="360"/>
      </w:pPr>
      <w:r>
        <w:rPr>
          <w:b/>
          <w:bCs/>
          <w:color w:val="B23A48"/>
          <w:sz w:val="26"/>
          <w:szCs w:val="26"/>
        </w:rPr>
        <w:t xml:space="preserve">1.7  </w:t>
      </w:r>
      <w:r>
        <w:rPr>
          <w:b/>
          <w:bCs/>
          <w:color w:val="2E3440"/>
          <w:sz w:val="26"/>
          <w:szCs w:val="26"/>
        </w:rPr>
        <w:t xml:space="preserve">Work Package Lifecycle</w:t>
      </w:r>
    </w:p>
    <w:tbl>
      <w:tblPr>
        <w:tblW w:type="dxa" w:w="10080"/>
        <w:tblBorders>
          <w:top w:val="single" w:color="D3D7DC" w:sz="4"/>
          <w:left w:val="single" w:color="D3D7DC" w:sz="4"/>
          <w:bottom w:val="single" w:color="D3D7DC" w:sz="4"/>
          <w:right w:val="single" w:color="D3D7DC" w:sz="4"/>
          <w:insideH w:val="single" w:color="D3D7DC" w:sz="2"/>
          <w:insideV w:val="single" w:color="D3D7DC" w:sz="2"/>
        </w:tblBorders>
      </w:tblPr>
      <w:tblGrid>
        <w:gridCol w:w="2621"/>
        <w:gridCol w:w="7459"/>
      </w:tblGrid>
      <w:tr>
        <w:tc>
          <w:tcPr>
            <w:tcW w:type="dxa" w:w="2621"/>
            <w:shd w:fill="EEF0F2" w:val="clear"/>
            <w:tcMar>
              <w:top w:type="dxa" w:w="80"/>
              <w:left w:type="dxa" w:w="120"/>
              <w:bottom w:type="dxa" w:w="80"/>
              <w:right w:type="dxa" w:w="120"/>
            </w:tcMar>
            <w:vAlign w:val="top"/>
          </w:tcPr>
          <w:p>
            <w:r>
              <w:rPr>
                <w:b/>
                <w:bCs/>
                <w:color w:val="2E3440"/>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states a Work Package moves through from definition to closure.</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Programme Management a consistent status vocabulary for portfolio reporting across all twenty-five Work Packages (used in the Master Catalogue, Part 2).</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Aligned with the Definition of Ready / Definition of Done model already fixed in Engineering Handbook Chapter 19 and the Four-Tier Quality Gate Model in MEKB Part 14.</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Work Package's status is reported using the same six states, with no ambiguity about what each means.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3D7DC" w:sz="2"/>
              <w:left w:val="single" w:color="D3D7DC" w:sz="2"/>
              <w:bottom w:val="single" w:color="D3D7DC" w:sz="2"/>
              <w:right w:val="single" w:color="D3D7DC" w:sz="2"/>
            </w:tcBorders>
            <w:shd w:fill="EEF0F2" w:val="clear"/>
            <w:tcMar>
              <w:top w:type="dxa" w:w="140"/>
              <w:left w:type="dxa" w:w="200"/>
              <w:bottom w:type="dxa" w:w="140"/>
              <w:right w:type="dxa" w:w="200"/>
            </w:tcMar>
          </w:tcPr>
          <w:p>
            <w:pPr>
              <w:spacing w:after="0" w:line="240"/>
            </w:pPr>
            <w:r>
              <w:rPr>
                <w:rFonts w:ascii="Consolas" w:cs="Consolas" w:eastAsia="Consolas" w:hAnsi="Consolas"/>
                <w:color w:val="1A1D21"/>
                <w:sz w:val="17"/>
                <w:szCs w:val="17"/>
              </w:rPr>
              <w:t xml:space="preserve">DEFINED  -&gt;  READY  -&gt;  IN PROGRESS  -&gt;  IN REVIEW  -&gt;  DONE  -&gt;  CLOSED</w:t>
            </w:r>
          </w:p>
          <w:p>
            <w:pPr>
              <w:spacing w:after="0" w:line="240"/>
            </w:pPr>
            <w:r>
              <w:rPr>
                <w:rFonts w:ascii="Consolas" w:cs="Consolas" w:eastAsia="Consolas" w:hAnsi="Consolas"/>
                <w:color w:val="1A1D21"/>
                <w:sz w:val="17"/>
                <w:szCs w:val="17"/>
              </w:rPr>
              <w:t xml:space="preserve"> </w:t>
            </w:r>
          </w:p>
          <w:p>
            <w:pPr>
              <w:spacing w:after="0" w:line="240"/>
            </w:pPr>
            <w:r>
              <w:rPr>
                <w:rFonts w:ascii="Consolas" w:cs="Consolas" w:eastAsia="Consolas" w:hAnsi="Consolas"/>
                <w:color w:val="1A1D21"/>
                <w:sz w:val="17"/>
                <w:szCs w:val="17"/>
              </w:rPr>
              <w:t xml:space="preserve">DEFINED      Work Package documented in this library; not yet scheduled.</w:t>
            </w:r>
          </w:p>
          <w:p>
            <w:pPr>
              <w:spacing w:after="0" w:line="240"/>
            </w:pPr>
            <w:r>
              <w:rPr>
                <w:rFonts w:ascii="Consolas" w:cs="Consolas" w:eastAsia="Consolas" w:hAnsi="Consolas"/>
                <w:color w:val="1A1D21"/>
                <w:sz w:val="17"/>
                <w:szCs w:val="17"/>
              </w:rPr>
              <w:t xml:space="preserve">READY        Definition of Ready met (Section 17 of the WP); scheduled to a sprint.</w:t>
            </w:r>
          </w:p>
          <w:p>
            <w:pPr>
              <w:spacing w:after="0" w:line="240"/>
            </w:pPr>
            <w:r>
              <w:rPr>
                <w:rFonts w:ascii="Consolas" w:cs="Consolas" w:eastAsia="Consolas" w:hAnsi="Consolas"/>
                <w:color w:val="1A1D21"/>
                <w:sz w:val="17"/>
                <w:szCs w:val="17"/>
              </w:rPr>
              <w:t xml:space="preserve">IN PROGRESS  Sprint execution underway; Antigravity/engineering team actively building.</w:t>
            </w:r>
          </w:p>
          <w:p>
            <w:pPr>
              <w:spacing w:after="0" w:line="240"/>
            </w:pPr>
            <w:r>
              <w:rPr>
                <w:rFonts w:ascii="Consolas" w:cs="Consolas" w:eastAsia="Consolas" w:hAnsi="Consolas"/>
                <w:color w:val="1A1D21"/>
                <w:sz w:val="17"/>
                <w:szCs w:val="17"/>
              </w:rPr>
              <w:t xml:space="preserve">IN REVIEW    Code complete; undergoing peer review, QA, and applicable gates (security,</w:t>
            </w:r>
          </w:p>
          <w:p>
            <w:pPr>
              <w:spacing w:after="0" w:line="240"/>
            </w:pPr>
            <w:r>
              <w:rPr>
                <w:rFonts w:ascii="Consolas" w:cs="Consolas" w:eastAsia="Consolas" w:hAnsi="Consolas"/>
                <w:color w:val="1A1D21"/>
                <w:sz w:val="17"/>
                <w:szCs w:val="17"/>
              </w:rPr>
              <w:t xml:space="preserve">             UAT, accessibility) per Section 18 (Definition of Done).</w:t>
            </w:r>
          </w:p>
          <w:p>
            <w:pPr>
              <w:spacing w:after="0" w:line="240"/>
            </w:pPr>
            <w:r>
              <w:rPr>
                <w:rFonts w:ascii="Consolas" w:cs="Consolas" w:eastAsia="Consolas" w:hAnsi="Consolas"/>
                <w:color w:val="1A1D21"/>
                <w:sz w:val="17"/>
                <w:szCs w:val="17"/>
              </w:rPr>
              <w:t xml:space="preserve">DONE         Definition of Done fully met; awaiting release-level packaging (ERS Part 9).</w:t>
            </w:r>
          </w:p>
          <w:p>
            <w:pPr>
              <w:spacing w:after="0" w:line="240"/>
            </w:pPr>
            <w:r>
              <w:rPr>
                <w:rFonts w:ascii="Consolas" w:cs="Consolas" w:eastAsia="Consolas" w:hAnsi="Consolas"/>
                <w:color w:val="1A1D21"/>
                <w:sz w:val="17"/>
                <w:szCs w:val="17"/>
              </w:rPr>
              <w:t xml:space="preserve">CLOSED       Included in a released, accepted increment; traceability matrix updated</w:t>
            </w:r>
          </w:p>
          <w:p>
            <w:pPr>
              <w:spacing w:after="0" w:line="240"/>
            </w:pPr>
            <w:r>
              <w:rPr>
                <w:rFonts w:ascii="Consolas" w:cs="Consolas" w:eastAsia="Consolas" w:hAnsi="Consolas"/>
                <w:color w:val="1A1D21"/>
                <w:sz w:val="17"/>
                <w:szCs w:val="17"/>
              </w:rPr>
              <w:t xml:space="preserve">             (MEKB Part 25 equivalent, Section 14 of the WP).</w:t>
            </w:r>
          </w:p>
        </w:tc>
      </w:tr>
    </w:tbl>
    <w:p>
      <w:pPr>
        <w:pStyle w:val="Heading1"/>
        <w:pBdr>
          <w:bottom w:val="single" w:color="D3D7DC" w:sz="4" w:space="4"/>
        </w:pBdr>
        <w:spacing w:after="140" w:before="360"/>
      </w:pPr>
      <w:r>
        <w:rPr>
          <w:b/>
          <w:bCs/>
          <w:color w:val="B23A48"/>
          <w:sz w:val="26"/>
          <w:szCs w:val="26"/>
        </w:rPr>
        <w:t xml:space="preserve">1.8  </w:t>
      </w:r>
      <w:r>
        <w:rPr>
          <w:b/>
          <w:bCs/>
          <w:color w:val="2E3440"/>
          <w:sz w:val="26"/>
          <w:szCs w:val="26"/>
        </w:rPr>
        <w:t xml:space="preserve">Governance Model</w:t>
      </w:r>
    </w:p>
    <w:p>
      <w:pPr>
        <w:spacing w:after="150" w:line="276"/>
        <w:jc w:val="both"/>
      </w:pPr>
      <w:r>
        <w:t xml:space="preserve">Each Work Package is governed by the same bodies that govern release delivery under the ERS: the Architecture Review Board approves Section 6 (Technical Specification) before sprint entry; the Security Review Board approves Section 10 (Security Requirements) for every Work Package flagged 'Dedicated' review (consistent with the Work Package Review &amp; Approval Matrix in the Enterprise Development Roadmap); and the Release Review Board confirms a Work Package's Definition of Done before it is marked CLOSED. No Work Package changes scope after entering IN PROGRESS without a Change Request under Engineering Handbook Chapter 21.</w:t>
      </w:r>
    </w:p>
    <w:p>
      <w:pPr>
        <w:pStyle w:val="Heading1"/>
        <w:pBdr>
          <w:bottom w:val="single" w:color="D3D7DC" w:sz="4" w:space="4"/>
        </w:pBdr>
        <w:spacing w:after="140" w:before="360"/>
      </w:pPr>
      <w:r>
        <w:rPr>
          <w:b/>
          <w:bCs/>
          <w:color w:val="B23A48"/>
          <w:sz w:val="26"/>
          <w:szCs w:val="26"/>
        </w:rPr>
        <w:t xml:space="preserve">1.9  </w:t>
      </w:r>
      <w:r>
        <w:rPr>
          <w:b/>
          <w:bCs/>
          <w:color w:val="2E3440"/>
          <w:sz w:val="26"/>
          <w:szCs w:val="26"/>
        </w:rPr>
        <w:t xml:space="preserve">Ownership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shd w:fill="2E3440" w:val="clear"/>
            <w:tcMar>
              <w:top w:type="dxa" w:w="70"/>
              <w:left w:type="dxa" w:w="110"/>
              <w:bottom w:type="dxa" w:w="70"/>
              <w:right w:type="dxa" w:w="110"/>
            </w:tcMar>
            <w:vAlign w:val="top"/>
          </w:tcPr>
          <w:p>
            <w:r>
              <w:rPr>
                <w:b/>
                <w:bCs/>
                <w:color w:val="FFFFFF"/>
                <w:sz w:val="17"/>
                <w:szCs w:val="17"/>
              </w:rPr>
              <w:t xml:space="preserve">Role</w:t>
            </w:r>
          </w:p>
        </w:tc>
        <w:tc>
          <w:tcPr>
            <w:tcW w:type="dxa" w:w="6451"/>
            <w:shd w:fill="2E3440" w:val="clear"/>
            <w:tcMar>
              <w:top w:type="dxa" w:w="70"/>
              <w:left w:type="dxa" w:w="110"/>
              <w:bottom w:type="dxa" w:w="70"/>
              <w:right w:type="dxa" w:w="110"/>
            </w:tcMar>
            <w:vAlign w:val="top"/>
          </w:tcPr>
          <w:p>
            <w:r>
              <w:rPr>
                <w:b/>
                <w:bCs/>
                <w:color w:val="FFFFFF"/>
                <w:sz w:val="17"/>
                <w:szCs w:val="17"/>
              </w:rPr>
              <w:t xml:space="preserve">Responsibility for Each Work Package</w:t>
            </w:r>
          </w:p>
        </w:tc>
      </w:tr>
      <w:tr>
        <w:tc>
          <w:tcPr>
            <w:tcW w:type="dxa" w:w="3629"/>
            <w:tcMar>
              <w:top w:type="dxa" w:w="70"/>
              <w:left w:type="dxa" w:w="110"/>
              <w:bottom w:type="dxa" w:w="70"/>
              <w:right w:type="dxa" w:w="110"/>
            </w:tcMar>
            <w:vAlign w:val="top"/>
          </w:tcPr>
          <w:p>
            <w:r>
              <w:rPr>
                <w:b/>
                <w:bCs/>
                <w:color w:val="1A1A1A"/>
                <w:sz w:val="16"/>
                <w:szCs w:val="16"/>
              </w:rPr>
              <w:t xml:space="preserve">Technical Lead (named per Work Package, Part 2)</w:t>
            </w:r>
          </w:p>
        </w:tc>
        <w:tc>
          <w:tcPr>
            <w:tcW w:type="dxa" w:w="6451"/>
            <w:tcMar>
              <w:top w:type="dxa" w:w="70"/>
              <w:left w:type="dxa" w:w="110"/>
              <w:bottom w:type="dxa" w:w="70"/>
              <w:right w:type="dxa" w:w="110"/>
            </w:tcMar>
            <w:vAlign w:val="top"/>
          </w:tcPr>
          <w:p>
            <w:r>
              <w:rPr>
                <w:b w:val="false"/>
                <w:bCs w:val="false"/>
                <w:color w:val="1A1A1A"/>
                <w:sz w:val="16"/>
                <w:szCs w:val="16"/>
              </w:rPr>
              <w:t xml:space="preserve">Accountable for the Work Package's technical correctness and Definition of Done sign-off.</w:t>
            </w:r>
          </w:p>
        </w:tc>
      </w:tr>
      <w:tr>
        <w:tc>
          <w:tcPr>
            <w:tcW w:type="dxa" w:w="3629"/>
            <w:tcMar>
              <w:top w:type="dxa" w:w="70"/>
              <w:left w:type="dxa" w:w="110"/>
              <w:bottom w:type="dxa" w:w="70"/>
              <w:right w:type="dxa" w:w="110"/>
            </w:tcMar>
            <w:vAlign w:val="top"/>
          </w:tcPr>
          <w:p>
            <w:r>
              <w:rPr>
                <w:b/>
                <w:bCs/>
                <w:color w:val="1A1A1A"/>
                <w:sz w:val="16"/>
                <w:szCs w:val="16"/>
              </w:rPr>
              <w:t xml:space="preserve">Product Owner</w:t>
            </w:r>
          </w:p>
        </w:tc>
        <w:tc>
          <w:tcPr>
            <w:tcW w:type="dxa" w:w="6451"/>
            <w:tcMar>
              <w:top w:type="dxa" w:w="70"/>
              <w:left w:type="dxa" w:w="110"/>
              <w:bottom w:type="dxa" w:w="70"/>
              <w:right w:type="dxa" w:w="110"/>
            </w:tcMar>
            <w:vAlign w:val="top"/>
          </w:tcPr>
          <w:p>
            <w:r>
              <w:rPr>
                <w:b w:val="false"/>
                <w:bCs w:val="false"/>
                <w:color w:val="1A1A1A"/>
                <w:sz w:val="16"/>
                <w:szCs w:val="16"/>
              </w:rPr>
              <w:t xml:space="preserve">Accountable for business scope, priority, and UAT acceptance.</w:t>
            </w:r>
          </w:p>
        </w:tc>
      </w:tr>
      <w:tr>
        <w:tc>
          <w:tcPr>
            <w:tcW w:type="dxa" w:w="3629"/>
            <w:tcMar>
              <w:top w:type="dxa" w:w="70"/>
              <w:left w:type="dxa" w:w="110"/>
              <w:bottom w:type="dxa" w:w="70"/>
              <w:right w:type="dxa" w:w="110"/>
            </w:tcMar>
            <w:vAlign w:val="top"/>
          </w:tcPr>
          <w:p>
            <w:r>
              <w:rPr>
                <w:b/>
                <w:bCs/>
                <w:color w:val="1A1A1A"/>
                <w:sz w:val="16"/>
                <w:szCs w:val="16"/>
              </w:rPr>
              <w:t xml:space="preserve">Antigravity</w:t>
            </w:r>
          </w:p>
        </w:tc>
        <w:tc>
          <w:tcPr>
            <w:tcW w:type="dxa" w:w="6451"/>
            <w:tcMar>
              <w:top w:type="dxa" w:w="70"/>
              <w:left w:type="dxa" w:w="110"/>
              <w:bottom w:type="dxa" w:w="70"/>
              <w:right w:type="dxa" w:w="110"/>
            </w:tcMar>
            <w:vAlign w:val="top"/>
          </w:tcPr>
          <w:p>
            <w:r>
              <w:rPr>
                <w:b w:val="false"/>
                <w:bCs w:val="false"/>
                <w:color w:val="1A1A1A"/>
                <w:sz w:val="16"/>
                <w:szCs w:val="16"/>
              </w:rPr>
              <w:t xml:space="preserve">Executes Sections 5, 6, 8, and 9 (functional, technical, API, database implementation) under the Master Prompt Library protocol (MEKB Part 12), supervised by the Technical Lead.</w:t>
            </w:r>
          </w:p>
        </w:tc>
      </w:tr>
      <w:tr>
        <w:tc>
          <w:tcPr>
            <w:tcW w:type="dxa" w:w="3629"/>
            <w:tcMar>
              <w:top w:type="dxa" w:w="70"/>
              <w:left w:type="dxa" w:w="110"/>
              <w:bottom w:type="dxa" w:w="70"/>
              <w:right w:type="dxa" w:w="110"/>
            </w:tcMar>
            <w:vAlign w:val="top"/>
          </w:tcPr>
          <w:p>
            <w:r>
              <w:rPr>
                <w:b/>
                <w:bCs/>
                <w:color w:val="1A1A1A"/>
                <w:sz w:val="16"/>
                <w:szCs w:val="16"/>
              </w:rPr>
              <w:t xml:space="preserve">Security Architect</w:t>
            </w:r>
          </w:p>
        </w:tc>
        <w:tc>
          <w:tcPr>
            <w:tcW w:type="dxa" w:w="6451"/>
            <w:tcMar>
              <w:top w:type="dxa" w:w="70"/>
              <w:left w:type="dxa" w:w="110"/>
              <w:bottom w:type="dxa" w:w="70"/>
              <w:right w:type="dxa" w:w="110"/>
            </w:tcMar>
            <w:vAlign w:val="top"/>
          </w:tcPr>
          <w:p>
            <w:r>
              <w:rPr>
                <w:b w:val="false"/>
                <w:bCs w:val="false"/>
                <w:color w:val="1A1A1A"/>
                <w:sz w:val="16"/>
                <w:szCs w:val="16"/>
              </w:rPr>
              <w:t xml:space="preserve">Accountable for Section 10 (Security Requirements) on every Dedicated-review Work Package.</w:t>
            </w:r>
          </w:p>
        </w:tc>
      </w:tr>
      <w:tr>
        <w:tc>
          <w:tcPr>
            <w:tcW w:type="dxa" w:w="3629"/>
            <w:tcMar>
              <w:top w:type="dxa" w:w="70"/>
              <w:left w:type="dxa" w:w="110"/>
              <w:bottom w:type="dxa" w:w="70"/>
              <w:right w:type="dxa" w:w="110"/>
            </w:tcMar>
            <w:vAlign w:val="top"/>
          </w:tcPr>
          <w:p>
            <w:r>
              <w:rPr>
                <w:b/>
                <w:bCs/>
                <w:color w:val="1A1A1A"/>
                <w:sz w:val="16"/>
                <w:szCs w:val="16"/>
              </w:rPr>
              <w:t xml:space="preserve">QA Lead</w:t>
            </w:r>
          </w:p>
        </w:tc>
        <w:tc>
          <w:tcPr>
            <w:tcW w:type="dxa" w:w="6451"/>
            <w:tcMar>
              <w:top w:type="dxa" w:w="70"/>
              <w:left w:type="dxa" w:w="110"/>
              <w:bottom w:type="dxa" w:w="70"/>
              <w:right w:type="dxa" w:w="110"/>
            </w:tcMar>
            <w:vAlign w:val="top"/>
          </w:tcPr>
          <w:p>
            <w:r>
              <w:rPr>
                <w:b w:val="false"/>
                <w:bCs w:val="false"/>
                <w:color w:val="1A1A1A"/>
                <w:sz w:val="16"/>
                <w:szCs w:val="16"/>
              </w:rPr>
              <w:t xml:space="preserve">Accountable for Section 13 (Testing Requirements) execution and sign-off.</w:t>
            </w:r>
          </w:p>
        </w:tc>
      </w:tr>
    </w:tbl>
    <w:p>
      <w:pPr>
        <w:pStyle w:val="Heading1"/>
        <w:pBdr>
          <w:bottom w:val="single" w:color="D3D7DC" w:sz="4" w:space="4"/>
        </w:pBdr>
        <w:spacing w:after="140" w:before="360"/>
      </w:pPr>
      <w:r>
        <w:rPr>
          <w:b/>
          <w:bCs/>
          <w:color w:val="B23A48"/>
          <w:sz w:val="26"/>
          <w:szCs w:val="26"/>
        </w:rPr>
        <w:t xml:space="preserve">1.10  </w:t>
      </w:r>
      <w:r>
        <w:rPr>
          <w:b/>
          <w:bCs/>
          <w:color w:val="2E3440"/>
          <w:sz w:val="26"/>
          <w:szCs w:val="26"/>
        </w:rPr>
        <w:t xml:space="preserve">Approval Workflow</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3D7DC" w:sz="2"/>
              <w:left w:val="single" w:color="D3D7DC" w:sz="2"/>
              <w:bottom w:val="single" w:color="D3D7DC" w:sz="2"/>
              <w:right w:val="single" w:color="D3D7DC" w:sz="2"/>
            </w:tcBorders>
            <w:shd w:fill="EEF0F2" w:val="clear"/>
            <w:tcMar>
              <w:top w:type="dxa" w:w="140"/>
              <w:left w:type="dxa" w:w="200"/>
              <w:bottom w:type="dxa" w:w="140"/>
              <w:right w:type="dxa" w:w="200"/>
            </w:tcMar>
          </w:tcPr>
          <w:p>
            <w:pPr>
              <w:spacing w:after="0" w:line="240"/>
            </w:pPr>
            <w:r>
              <w:rPr>
                <w:rFonts w:ascii="Consolas" w:cs="Consolas" w:eastAsia="Consolas" w:hAnsi="Consolas"/>
                <w:color w:val="1A1D21"/>
                <w:sz w:val="17"/>
                <w:szCs w:val="17"/>
              </w:rPr>
              <w:t xml:space="preserve">Work Package Drafted (this volume)</w:t>
            </w:r>
          </w:p>
          <w:p>
            <w:pPr>
              <w:spacing w:after="0" w:line="240"/>
            </w:pPr>
            <w:r>
              <w:rPr>
                <w:rFonts w:ascii="Consolas" w:cs="Consolas" w:eastAsia="Consolas" w:hAnsi="Consolas"/>
                <w:color w:val="1A1D21"/>
                <w:sz w:val="17"/>
                <w:szCs w:val="17"/>
              </w:rPr>
              <w:t xml:space="preserve">        |</w:t>
            </w:r>
          </w:p>
          <w:p>
            <w:pPr>
              <w:spacing w:after="0" w:line="240"/>
            </w:pPr>
            <w:r>
              <w:rPr>
                <w:rFonts w:ascii="Consolas" w:cs="Consolas" w:eastAsia="Consolas" w:hAnsi="Consolas"/>
                <w:color w:val="1A1D21"/>
                <w:sz w:val="17"/>
                <w:szCs w:val="17"/>
              </w:rPr>
              <w:t xml:space="preserve">        v</w:t>
            </w:r>
          </w:p>
          <w:p>
            <w:pPr>
              <w:spacing w:after="0" w:line="240"/>
            </w:pPr>
            <w:r>
              <w:rPr>
                <w:rFonts w:ascii="Consolas" w:cs="Consolas" w:eastAsia="Consolas" w:hAnsi="Consolas"/>
                <w:color w:val="1A1D21"/>
                <w:sz w:val="17"/>
                <w:szCs w:val="17"/>
              </w:rPr>
              <w:t xml:space="preserve">Architecture Review Board reviews Section 6 (Technical Specification)  --- Reject: revise</w:t>
            </w:r>
          </w:p>
          <w:p>
            <w:pPr>
              <w:spacing w:after="0" w:line="240"/>
            </w:pPr>
            <w:r>
              <w:rPr>
                <w:rFonts w:ascii="Consolas" w:cs="Consolas" w:eastAsia="Consolas" w:hAnsi="Consolas"/>
                <w:color w:val="1A1D21"/>
                <w:sz w:val="17"/>
                <w:szCs w:val="17"/>
              </w:rPr>
              <w:t xml:space="preserve">        |  Approve</w:t>
            </w:r>
          </w:p>
          <w:p>
            <w:pPr>
              <w:spacing w:after="0" w:line="240"/>
            </w:pPr>
            <w:r>
              <w:rPr>
                <w:rFonts w:ascii="Consolas" w:cs="Consolas" w:eastAsia="Consolas" w:hAnsi="Consolas"/>
                <w:color w:val="1A1D21"/>
                <w:sz w:val="17"/>
                <w:szCs w:val="17"/>
              </w:rPr>
              <w:t xml:space="preserve">        v</w:t>
            </w:r>
          </w:p>
          <w:p>
            <w:pPr>
              <w:spacing w:after="0" w:line="240"/>
            </w:pPr>
            <w:r>
              <w:rPr>
                <w:rFonts w:ascii="Consolas" w:cs="Consolas" w:eastAsia="Consolas" w:hAnsi="Consolas"/>
                <w:color w:val="1A1D21"/>
                <w:sz w:val="17"/>
                <w:szCs w:val="17"/>
              </w:rPr>
              <w:t xml:space="preserve">Security Review Board reviews Section 10 (if Dedicated review required) --- Reject: revise</w:t>
            </w:r>
          </w:p>
          <w:p>
            <w:pPr>
              <w:spacing w:after="0" w:line="240"/>
            </w:pPr>
            <w:r>
              <w:rPr>
                <w:rFonts w:ascii="Consolas" w:cs="Consolas" w:eastAsia="Consolas" w:hAnsi="Consolas"/>
                <w:color w:val="1A1D21"/>
                <w:sz w:val="17"/>
                <w:szCs w:val="17"/>
              </w:rPr>
              <w:t xml:space="preserve">        |  Approve</w:t>
            </w:r>
          </w:p>
          <w:p>
            <w:pPr>
              <w:spacing w:after="0" w:line="240"/>
            </w:pPr>
            <w:r>
              <w:rPr>
                <w:rFonts w:ascii="Consolas" w:cs="Consolas" w:eastAsia="Consolas" w:hAnsi="Consolas"/>
                <w:color w:val="1A1D21"/>
                <w:sz w:val="17"/>
                <w:szCs w:val="17"/>
              </w:rPr>
              <w:t xml:space="preserve">        v</w:t>
            </w:r>
          </w:p>
          <w:p>
            <w:pPr>
              <w:spacing w:after="0" w:line="240"/>
            </w:pPr>
            <w:r>
              <w:rPr>
                <w:rFonts w:ascii="Consolas" w:cs="Consolas" w:eastAsia="Consolas" w:hAnsi="Consolas"/>
                <w:color w:val="1A1D21"/>
                <w:sz w:val="17"/>
                <w:szCs w:val="17"/>
              </w:rPr>
              <w:t xml:space="preserve">Definition of Ready confirmed (Section 17)  --- Not Ready: hold</w:t>
            </w:r>
          </w:p>
          <w:p>
            <w:pPr>
              <w:spacing w:after="0" w:line="240"/>
            </w:pPr>
            <w:r>
              <w:rPr>
                <w:rFonts w:ascii="Consolas" w:cs="Consolas" w:eastAsia="Consolas" w:hAnsi="Consolas"/>
                <w:color w:val="1A1D21"/>
                <w:sz w:val="17"/>
                <w:szCs w:val="17"/>
              </w:rPr>
              <w:t xml:space="preserve">        |  Ready</w:t>
            </w:r>
          </w:p>
          <w:p>
            <w:pPr>
              <w:spacing w:after="0" w:line="240"/>
            </w:pPr>
            <w:r>
              <w:rPr>
                <w:rFonts w:ascii="Consolas" w:cs="Consolas" w:eastAsia="Consolas" w:hAnsi="Consolas"/>
                <w:color w:val="1A1D21"/>
                <w:sz w:val="17"/>
                <w:szCs w:val="17"/>
              </w:rPr>
              <w:t xml:space="preserve">        v</w:t>
            </w:r>
          </w:p>
          <w:p>
            <w:pPr>
              <w:spacing w:after="0" w:line="240"/>
            </w:pPr>
            <w:r>
              <w:rPr>
                <w:rFonts w:ascii="Consolas" w:cs="Consolas" w:eastAsia="Consolas" w:hAnsi="Consolas"/>
                <w:color w:val="1A1D21"/>
                <w:sz w:val="17"/>
                <w:szCs w:val="17"/>
              </w:rPr>
              <w:t xml:space="preserve">Scheduled to Sprint (per ERS / MEKB Part 9 Sprint Roadmap)</w:t>
            </w:r>
          </w:p>
          <w:p>
            <w:pPr>
              <w:spacing w:after="0" w:line="240"/>
            </w:pPr>
            <w:r>
              <w:rPr>
                <w:rFonts w:ascii="Consolas" w:cs="Consolas" w:eastAsia="Consolas" w:hAnsi="Consolas"/>
                <w:color w:val="1A1D21"/>
                <w:sz w:val="17"/>
                <w:szCs w:val="17"/>
              </w:rPr>
              <w:t xml:space="preserve">        |</w:t>
            </w:r>
          </w:p>
          <w:p>
            <w:pPr>
              <w:spacing w:after="0" w:line="240"/>
            </w:pPr>
            <w:r>
              <w:rPr>
                <w:rFonts w:ascii="Consolas" w:cs="Consolas" w:eastAsia="Consolas" w:hAnsi="Consolas"/>
                <w:color w:val="1A1D21"/>
                <w:sz w:val="17"/>
                <w:szCs w:val="17"/>
              </w:rPr>
              <w:t xml:space="preserve">        v</w:t>
            </w:r>
          </w:p>
          <w:p>
            <w:pPr>
              <w:spacing w:after="0" w:line="240"/>
            </w:pPr>
            <w:r>
              <w:rPr>
                <w:rFonts w:ascii="Consolas" w:cs="Consolas" w:eastAsia="Consolas" w:hAnsi="Consolas"/>
                <w:color w:val="1A1D21"/>
                <w:sz w:val="17"/>
                <w:szCs w:val="17"/>
              </w:rPr>
              <w:t xml:space="preserve">Antigravity + Engineering Team Execution</w:t>
            </w:r>
          </w:p>
          <w:p>
            <w:pPr>
              <w:spacing w:after="0" w:line="240"/>
            </w:pPr>
            <w:r>
              <w:rPr>
                <w:rFonts w:ascii="Consolas" w:cs="Consolas" w:eastAsia="Consolas" w:hAnsi="Consolas"/>
                <w:color w:val="1A1D21"/>
                <w:sz w:val="17"/>
                <w:szCs w:val="17"/>
              </w:rPr>
              <w:t xml:space="preserve">        |</w:t>
            </w:r>
          </w:p>
          <w:p>
            <w:pPr>
              <w:spacing w:after="0" w:line="240"/>
            </w:pPr>
            <w:r>
              <w:rPr>
                <w:rFonts w:ascii="Consolas" w:cs="Consolas" w:eastAsia="Consolas" w:hAnsi="Consolas"/>
                <w:color w:val="1A1D21"/>
                <w:sz w:val="17"/>
                <w:szCs w:val="17"/>
              </w:rPr>
              <w:t xml:space="preserve">        v</w:t>
            </w:r>
          </w:p>
          <w:p>
            <w:pPr>
              <w:spacing w:after="0" w:line="240"/>
            </w:pPr>
            <w:r>
              <w:rPr>
                <w:rFonts w:ascii="Consolas" w:cs="Consolas" w:eastAsia="Consolas" w:hAnsi="Consolas"/>
                <w:color w:val="1A1D21"/>
                <w:sz w:val="17"/>
                <w:szCs w:val="17"/>
              </w:rPr>
              <w:t xml:space="preserve">Definition of Done confirmed (Section 18)  --- Not Met: remains IN REVIEW</w:t>
            </w:r>
          </w:p>
          <w:p>
            <w:pPr>
              <w:spacing w:after="0" w:line="240"/>
            </w:pPr>
            <w:r>
              <w:rPr>
                <w:rFonts w:ascii="Consolas" w:cs="Consolas" w:eastAsia="Consolas" w:hAnsi="Consolas"/>
                <w:color w:val="1A1D21"/>
                <w:sz w:val="17"/>
                <w:szCs w:val="17"/>
              </w:rPr>
              <w:t xml:space="preserve">        |  Met</w:t>
            </w:r>
          </w:p>
          <w:p>
            <w:pPr>
              <w:spacing w:after="0" w:line="240"/>
            </w:pPr>
            <w:r>
              <w:rPr>
                <w:rFonts w:ascii="Consolas" w:cs="Consolas" w:eastAsia="Consolas" w:hAnsi="Consolas"/>
                <w:color w:val="1A1D21"/>
                <w:sz w:val="17"/>
                <w:szCs w:val="17"/>
              </w:rPr>
              <w:t xml:space="preserve">        v</w:t>
            </w:r>
          </w:p>
          <w:p>
            <w:pPr>
              <w:spacing w:after="0" w:line="240"/>
            </w:pPr>
            <w:r>
              <w:rPr>
                <w:rFonts w:ascii="Consolas" w:cs="Consolas" w:eastAsia="Consolas" w:hAnsi="Consolas"/>
                <w:color w:val="1A1D21"/>
                <w:sz w:val="17"/>
                <w:szCs w:val="17"/>
              </w:rPr>
              <w:t xml:space="preserve">Work Package CLOSED; rolled into Release Quality Gates (ERS Part 9)</w:t>
            </w:r>
          </w:p>
        </w:tc>
      </w:tr>
    </w:tbl>
    <w:p>
      <w:pPr>
        <w:pStyle w:val="Heading1"/>
        <w:pBdr>
          <w:bottom w:val="single" w:color="D3D7DC" w:sz="4" w:space="4"/>
        </w:pBdr>
        <w:spacing w:after="140" w:before="360"/>
      </w:pPr>
      <w:r>
        <w:rPr>
          <w:b/>
          <w:bCs/>
          <w:color w:val="B23A48"/>
          <w:sz w:val="26"/>
          <w:szCs w:val="26"/>
        </w:rPr>
        <w:t xml:space="preserve">1.11  </w:t>
      </w:r>
      <w:r>
        <w:rPr>
          <w:b/>
          <w:bCs/>
          <w:color w:val="2E3440"/>
          <w:sz w:val="26"/>
          <w:szCs w:val="26"/>
        </w:rPr>
        <w:t xml:space="preserve">Decomposition Note — Reconciling the Suggested Structure with the Established WP-01–25 Backbone</w:t>
      </w:r>
    </w:p>
    <w:tbl>
      <w:tblPr>
        <w:tblW w:type="dxa" w:w="10080"/>
        <w:tblBorders>
          <w:top w:val="single" w:color="D3D7DC" w:sz="4"/>
          <w:left w:val="single" w:color="D3D7DC" w:sz="4"/>
          <w:bottom w:val="single" w:color="D3D7DC" w:sz="4"/>
          <w:right w:val="single" w:color="D3D7DC" w:sz="4"/>
          <w:insideH w:val="single" w:color="D3D7DC" w:sz="2"/>
          <w:insideV w:val="single" w:color="D3D7DC" w:sz="2"/>
        </w:tblBorders>
      </w:tblPr>
      <w:tblGrid>
        <w:gridCol w:w="2621"/>
        <w:gridCol w:w="7459"/>
      </w:tblGrid>
      <w:tr>
        <w:tc>
          <w:tcPr>
            <w:tcW w:type="dxa" w:w="2621"/>
            <w:shd w:fill="EEF0F2" w:val="clear"/>
            <w:tcMar>
              <w:top w:type="dxa" w:w="80"/>
              <w:left w:type="dxa" w:w="120"/>
              <w:bottom w:type="dxa" w:w="80"/>
              <w:right w:type="dxa" w:w="120"/>
            </w:tcMar>
            <w:vAlign w:val="top"/>
          </w:tcPr>
          <w:p>
            <w:r>
              <w:rPr>
                <w:b/>
                <w:bCs/>
                <w:color w:val="2E3440"/>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Disclose, transparently, the single most consequential judgment call in this volume: why the twenty Work Packages suggested as a starting point are not used as this library's identifier scheme.</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traceability of every already-delivered, client-facing artifact — fifteen MEKB Parts, the Sprint Roadmap, the Master Product Backlog, the Dependency Matrix, the Enterprise Development Roadmap, and the Release Strategy — all of which are built on WP-01 through WP-25.</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suggested twenty-package structure (Platform Foundation, Identity &amp; Access Management, User &amp; Organization Management, Master Data Management, Notification &amp; Communication Services, Enterprise Document Management, Workflow &amp; Approval Engine, Enterprise Search &amp; OCR, Knowledge Repository, AI Knowledge Services, Programme &amp; Portfolio Management, Monitoring &amp; Evaluation, Reporting &amp; Executive Dashboards, External Integrations &amp; API Gateway, Configuration &amp; Administration, Security/Audit/Compliance, Mobile Enablement, Analytics &amp; BI, DevSecOps &amp; Deployment Automation, Production Deployment/Hypercare/Transition) groups and names Work Packages differently from the MEKB's twenty-five.</w:t>
            </w:r>
          </w:p>
        </w:tc>
      </w:tr>
      <w:tr>
        <w:tc>
          <w:tcPr>
            <w:tcW w:type="dxa" w:w="2621"/>
            <w:shd w:fill="EEF0F2" w:val="clear"/>
            <w:tcMar>
              <w:top w:type="dxa" w:w="80"/>
              <w:left w:type="dxa" w:w="120"/>
              <w:bottom w:type="dxa" w:w="80"/>
              <w:right w:type="dxa" w:w="120"/>
            </w:tcMar>
            <w:vAlign w:val="top"/>
          </w:tcPr>
          <w:p>
            <w:r>
              <w:rPr>
                <w:b/>
                <w:bCs/>
                <w:color w:val="2E3440"/>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reader understands, in one place, why this library uses WP-01–25 and how each concept from the suggested structure maps onto it — with zero contradiction anywhere else in the documentation set.</w:t>
            </w:r>
          </w:p>
        </w:tc>
      </w:tr>
    </w:tbl>
    <w:p>
      <w:pPr>
        <w:spacing w:after="160"/>
      </w:pPr>
    </w:p>
    <w:p>
      <w:pPr>
        <w:spacing w:after="150" w:line="276"/>
        <w:jc w:val="both"/>
      </w:pPr>
      <w:r>
        <w:t xml:space="preserve">This engagement's governing documents state two requirements that are in tension when read against the suggested twenty-package starting structure. First: 'preserve complete traceability,' 'avoid duplication or contradictions,' and 'align with all approved engineering documentation.' Second: the MEKB is explicitly named as a governing reference to be used, not redesigned or rewritten, and it already defines twenty-five Work Packages — WP-01 Platform Database Foundation through WP-25 Documentation/ADR/Traceability Closeout — each of which is cross-referenced by ID throughout the Sprint Roadmap, the Master Product Backlog, the Work Package Dependency Matrix, the Enterprise Development Roadmap's build-order and review-matrix tables, and the Enterprise Release Strategy's release architecture and thin-slice pull-forward analysis.</w:t>
      </w:r>
    </w:p>
    <w:p>
      <w:pPr>
        <w:spacing w:after="150" w:line="276"/>
        <w:jc w:val="both"/>
      </w:pPr>
      <w:r>
        <w:t xml:space="preserve">Adopting the suggested twenty-package structure as a new, independent WP-01 through WP-20 identifier scheme would satisfy the letter of 'you may refine, merge, or expand these packages where appropriate,' but would directly violate 'avoid duplication or contradictions': the programme would then have two different things both called 'WP-01,' with different scope, in two different governing documents, and every cross-reference in five already-delivered volumes would become ambiguous or wrong.</w:t>
      </w:r>
    </w:p>
    <w:p>
      <w:pPr>
        <w:spacing w:after="150" w:line="276"/>
        <w:jc w:val="both"/>
      </w:pPr>
      <w:r>
        <w:t xml:space="preserve">This volume resolves the tension by keeping the twenty-five Work Package identifiers, names, and boundaries already fixed in MEKB Parts 4 through 8 as this library's structure, and honoring the intent of the suggested twenty-package structure as a conceptual cross-walk rather than a competing numbering scheme. The table below maps every concept named in the suggested structure to its home in the established WP-01–25 backbone, so no scope from the suggested list is lost — it is relocated, not discarded.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2E3440" w:val="clear"/>
            <w:tcMar>
              <w:top w:type="dxa" w:w="70"/>
              <w:left w:type="dxa" w:w="110"/>
              <w:bottom w:type="dxa" w:w="70"/>
              <w:right w:type="dxa" w:w="110"/>
            </w:tcMar>
            <w:vAlign w:val="top"/>
          </w:tcPr>
          <w:p>
            <w:r>
              <w:rPr>
                <w:b/>
                <w:bCs/>
                <w:color w:val="FFFFFF"/>
                <w:sz w:val="17"/>
                <w:szCs w:val="17"/>
              </w:rPr>
              <w:t xml:space="preserve">Suggested Package</w:t>
            </w:r>
          </w:p>
        </w:tc>
        <w:tc>
          <w:tcPr>
            <w:tcW w:type="dxa" w:w="6854"/>
            <w:shd w:fill="2E3440" w:val="clear"/>
            <w:tcMar>
              <w:top w:type="dxa" w:w="70"/>
              <w:left w:type="dxa" w:w="110"/>
              <w:bottom w:type="dxa" w:w="70"/>
              <w:right w:type="dxa" w:w="110"/>
            </w:tcMar>
            <w:vAlign w:val="top"/>
          </w:tcPr>
          <w:p>
            <w:r>
              <w:rPr>
                <w:b/>
                <w:bCs/>
                <w:color w:val="FFFFFF"/>
                <w:sz w:val="17"/>
                <w:szCs w:val="17"/>
              </w:rPr>
              <w:t xml:space="preserve">Realized As (WP-01–25 Backbone)</w:t>
            </w:r>
          </w:p>
        </w:tc>
      </w:tr>
      <w:tr>
        <w:tc>
          <w:tcPr>
            <w:tcW w:type="dxa" w:w="3226"/>
            <w:tcMar>
              <w:top w:type="dxa" w:w="70"/>
              <w:left w:type="dxa" w:w="110"/>
              <w:bottom w:type="dxa" w:w="70"/>
              <w:right w:type="dxa" w:w="110"/>
            </w:tcMar>
            <w:vAlign w:val="top"/>
          </w:tcPr>
          <w:p>
            <w:r>
              <w:rPr>
                <w:b/>
                <w:bCs/>
                <w:color w:val="1A1A1A"/>
                <w:sz w:val="15"/>
                <w:szCs w:val="15"/>
              </w:rPr>
              <w:t xml:space="preserve">WP-01 Platform Foundation</w:t>
            </w:r>
          </w:p>
        </w:tc>
        <w:tc>
          <w:tcPr>
            <w:tcW w:type="dxa" w:w="6854"/>
            <w:tcMar>
              <w:top w:type="dxa" w:w="70"/>
              <w:left w:type="dxa" w:w="110"/>
              <w:bottom w:type="dxa" w:w="70"/>
              <w:right w:type="dxa" w:w="110"/>
            </w:tcMar>
            <w:vAlign w:val="top"/>
          </w:tcPr>
          <w:p>
            <w:r>
              <w:rPr>
                <w:b w:val="false"/>
                <w:bCs w:val="false"/>
                <w:color w:val="1A1A1A"/>
                <w:sz w:val="15"/>
                <w:szCs w:val="15"/>
              </w:rPr>
              <w:t xml:space="preserve">WP-01 Platform Database Foundation + WP-03 DevSecOps Pipeline &amp; Environment Foundation</w:t>
            </w:r>
          </w:p>
        </w:tc>
      </w:tr>
      <w:tr>
        <w:tc>
          <w:tcPr>
            <w:tcW w:type="dxa" w:w="3226"/>
            <w:tcMar>
              <w:top w:type="dxa" w:w="70"/>
              <w:left w:type="dxa" w:w="110"/>
              <w:bottom w:type="dxa" w:w="70"/>
              <w:right w:type="dxa" w:w="110"/>
            </w:tcMar>
            <w:vAlign w:val="top"/>
          </w:tcPr>
          <w:p>
            <w:r>
              <w:rPr>
                <w:b/>
                <w:bCs/>
                <w:color w:val="1A1A1A"/>
                <w:sz w:val="15"/>
                <w:szCs w:val="15"/>
              </w:rPr>
              <w:t xml:space="preserve">WP-02 Identity &amp; Access Management</w:t>
            </w:r>
          </w:p>
        </w:tc>
        <w:tc>
          <w:tcPr>
            <w:tcW w:type="dxa" w:w="6854"/>
            <w:tcMar>
              <w:top w:type="dxa" w:w="70"/>
              <w:left w:type="dxa" w:w="110"/>
              <w:bottom w:type="dxa" w:w="70"/>
              <w:right w:type="dxa" w:w="110"/>
            </w:tcMar>
            <w:vAlign w:val="top"/>
          </w:tcPr>
          <w:p>
            <w:r>
              <w:rPr>
                <w:b w:val="false"/>
                <w:bCs w:val="false"/>
                <w:color w:val="1A1A1A"/>
                <w:sz w:val="15"/>
                <w:szCs w:val="15"/>
              </w:rPr>
              <w:t xml:space="preserve">WP-05 Security &amp; Access Control</w:t>
            </w:r>
          </w:p>
        </w:tc>
      </w:tr>
      <w:tr>
        <w:tc>
          <w:tcPr>
            <w:tcW w:type="dxa" w:w="3226"/>
            <w:tcMar>
              <w:top w:type="dxa" w:w="70"/>
              <w:left w:type="dxa" w:w="110"/>
              <w:bottom w:type="dxa" w:w="70"/>
              <w:right w:type="dxa" w:w="110"/>
            </w:tcMar>
            <w:vAlign w:val="top"/>
          </w:tcPr>
          <w:p>
            <w:r>
              <w:rPr>
                <w:b/>
                <w:bCs/>
                <w:color w:val="1A1A1A"/>
                <w:sz w:val="15"/>
                <w:szCs w:val="15"/>
              </w:rPr>
              <w:t xml:space="preserve">WP-03 User &amp; Organization Management</w:t>
            </w:r>
          </w:p>
        </w:tc>
        <w:tc>
          <w:tcPr>
            <w:tcW w:type="dxa" w:w="6854"/>
            <w:tcMar>
              <w:top w:type="dxa" w:w="70"/>
              <w:left w:type="dxa" w:w="110"/>
              <w:bottom w:type="dxa" w:w="70"/>
              <w:right w:type="dxa" w:w="110"/>
            </w:tcMar>
            <w:vAlign w:val="top"/>
          </w:tcPr>
          <w:p>
            <w:r>
              <w:rPr>
                <w:b w:val="false"/>
                <w:bCs w:val="false"/>
                <w:color w:val="1A1A1A"/>
                <w:sz w:val="15"/>
                <w:szCs w:val="15"/>
              </w:rPr>
              <w:t xml:space="preserve">WP-04 Administration &amp; User Management</w:t>
            </w:r>
          </w:p>
        </w:tc>
      </w:tr>
      <w:tr>
        <w:tc>
          <w:tcPr>
            <w:tcW w:type="dxa" w:w="3226"/>
            <w:tcMar>
              <w:top w:type="dxa" w:w="70"/>
              <w:left w:type="dxa" w:w="110"/>
              <w:bottom w:type="dxa" w:w="70"/>
              <w:right w:type="dxa" w:w="110"/>
            </w:tcMar>
            <w:vAlign w:val="top"/>
          </w:tcPr>
          <w:p>
            <w:r>
              <w:rPr>
                <w:b/>
                <w:bCs/>
                <w:color w:val="1A1A1A"/>
                <w:sz w:val="15"/>
                <w:szCs w:val="15"/>
              </w:rPr>
              <w:t xml:space="preserve">WP-04 Master Data Management</w:t>
            </w:r>
          </w:p>
        </w:tc>
        <w:tc>
          <w:tcPr>
            <w:tcW w:type="dxa" w:w="6854"/>
            <w:tcMar>
              <w:top w:type="dxa" w:w="70"/>
              <w:left w:type="dxa" w:w="110"/>
              <w:bottom w:type="dxa" w:w="70"/>
              <w:right w:type="dxa" w:w="110"/>
            </w:tcMar>
            <w:vAlign w:val="top"/>
          </w:tcPr>
          <w:p>
            <w:r>
              <w:rPr>
                <w:b w:val="false"/>
                <w:bCs w:val="false"/>
                <w:color w:val="1A1A1A"/>
                <w:sz w:val="15"/>
                <w:szCs w:val="15"/>
              </w:rPr>
              <w:t xml:space="preserve">WP-01 Platform Database Foundation (master data schema) + WP-04 (master data administration UI)</w:t>
            </w:r>
          </w:p>
        </w:tc>
      </w:tr>
      <w:tr>
        <w:tc>
          <w:tcPr>
            <w:tcW w:type="dxa" w:w="3226"/>
            <w:tcMar>
              <w:top w:type="dxa" w:w="70"/>
              <w:left w:type="dxa" w:w="110"/>
              <w:bottom w:type="dxa" w:w="70"/>
              <w:right w:type="dxa" w:w="110"/>
            </w:tcMar>
            <w:vAlign w:val="top"/>
          </w:tcPr>
          <w:p>
            <w:r>
              <w:rPr>
                <w:b/>
                <w:bCs/>
                <w:color w:val="1A1A1A"/>
                <w:sz w:val="15"/>
                <w:szCs w:val="15"/>
              </w:rPr>
              <w:t xml:space="preserve">WP-05 Notification &amp; Communication Services</w:t>
            </w:r>
          </w:p>
        </w:tc>
        <w:tc>
          <w:tcPr>
            <w:tcW w:type="dxa" w:w="6854"/>
            <w:tcMar>
              <w:top w:type="dxa" w:w="70"/>
              <w:left w:type="dxa" w:w="110"/>
              <w:bottom w:type="dxa" w:w="70"/>
              <w:right w:type="dxa" w:w="110"/>
            </w:tcMar>
            <w:vAlign w:val="top"/>
          </w:tcPr>
          <w:p>
            <w:r>
              <w:rPr>
                <w:b w:val="false"/>
                <w:bCs w:val="false"/>
                <w:color w:val="1A1A1A"/>
                <w:sz w:val="15"/>
                <w:szCs w:val="15"/>
              </w:rPr>
              <w:t xml:space="preserve">WP-18 Notifications (Platform-Wide)</w:t>
            </w:r>
          </w:p>
        </w:tc>
      </w:tr>
      <w:tr>
        <w:tc>
          <w:tcPr>
            <w:tcW w:type="dxa" w:w="3226"/>
            <w:tcMar>
              <w:top w:type="dxa" w:w="70"/>
              <w:left w:type="dxa" w:w="110"/>
              <w:bottom w:type="dxa" w:w="70"/>
              <w:right w:type="dxa" w:w="110"/>
            </w:tcMar>
            <w:vAlign w:val="top"/>
          </w:tcPr>
          <w:p>
            <w:r>
              <w:rPr>
                <w:b/>
                <w:bCs/>
                <w:color w:val="1A1A1A"/>
                <w:sz w:val="15"/>
                <w:szCs w:val="15"/>
              </w:rPr>
              <w:t xml:space="preserve">WP-06 Enterprise Document Management</w:t>
            </w:r>
          </w:p>
        </w:tc>
        <w:tc>
          <w:tcPr>
            <w:tcW w:type="dxa" w:w="6854"/>
            <w:tcMar>
              <w:top w:type="dxa" w:w="70"/>
              <w:left w:type="dxa" w:w="110"/>
              <w:bottom w:type="dxa" w:w="70"/>
              <w:right w:type="dxa" w:w="110"/>
            </w:tcMar>
            <w:vAlign w:val="top"/>
          </w:tcPr>
          <w:p>
            <w:r>
              <w:rPr>
                <w:b w:val="false"/>
                <w:bCs w:val="false"/>
                <w:color w:val="1A1A1A"/>
                <w:sz w:val="15"/>
                <w:szCs w:val="15"/>
              </w:rPr>
              <w:t xml:space="preserve">WP-12 Documents + WP-14 Media</w:t>
            </w:r>
          </w:p>
        </w:tc>
      </w:tr>
      <w:tr>
        <w:tc>
          <w:tcPr>
            <w:tcW w:type="dxa" w:w="3226"/>
            <w:tcMar>
              <w:top w:type="dxa" w:w="70"/>
              <w:left w:type="dxa" w:w="110"/>
              <w:bottom w:type="dxa" w:w="70"/>
              <w:right w:type="dxa" w:w="110"/>
            </w:tcMar>
            <w:vAlign w:val="top"/>
          </w:tcPr>
          <w:p>
            <w:r>
              <w:rPr>
                <w:b/>
                <w:bCs/>
                <w:color w:val="1A1A1A"/>
                <w:sz w:val="15"/>
                <w:szCs w:val="15"/>
              </w:rPr>
              <w:t xml:space="preserve">WP-07 Workflow &amp; Approval Engine</w:t>
            </w:r>
          </w:p>
        </w:tc>
        <w:tc>
          <w:tcPr>
            <w:tcW w:type="dxa" w:w="6854"/>
            <w:tcMar>
              <w:top w:type="dxa" w:w="70"/>
              <w:left w:type="dxa" w:w="110"/>
              <w:bottom w:type="dxa" w:w="70"/>
              <w:right w:type="dxa" w:w="110"/>
            </w:tcMar>
            <w:vAlign w:val="top"/>
          </w:tcPr>
          <w:p>
            <w:r>
              <w:rPr>
                <w:b w:val="false"/>
                <w:bCs w:val="false"/>
                <w:color w:val="1A1A1A"/>
                <w:sz w:val="15"/>
                <w:szCs w:val="15"/>
              </w:rPr>
              <w:t xml:space="preserve">WP-10 Workflow Engine + WP-11 Approvals</w:t>
            </w:r>
          </w:p>
        </w:tc>
      </w:tr>
      <w:tr>
        <w:tc>
          <w:tcPr>
            <w:tcW w:type="dxa" w:w="3226"/>
            <w:tcMar>
              <w:top w:type="dxa" w:w="70"/>
              <w:left w:type="dxa" w:w="110"/>
              <w:bottom w:type="dxa" w:w="70"/>
              <w:right w:type="dxa" w:w="110"/>
            </w:tcMar>
            <w:vAlign w:val="top"/>
          </w:tcPr>
          <w:p>
            <w:r>
              <w:rPr>
                <w:b/>
                <w:bCs/>
                <w:color w:val="1A1A1A"/>
                <w:sz w:val="15"/>
                <w:szCs w:val="15"/>
              </w:rPr>
              <w:t xml:space="preserve">WP-08 Enterprise Search &amp; OCR</w:t>
            </w:r>
          </w:p>
        </w:tc>
        <w:tc>
          <w:tcPr>
            <w:tcW w:type="dxa" w:w="6854"/>
            <w:tcMar>
              <w:top w:type="dxa" w:w="70"/>
              <w:left w:type="dxa" w:w="110"/>
              <w:bottom w:type="dxa" w:w="70"/>
              <w:right w:type="dxa" w:w="110"/>
            </w:tcMar>
            <w:vAlign w:val="top"/>
          </w:tcPr>
          <w:p>
            <w:r>
              <w:rPr>
                <w:b w:val="false"/>
                <w:bCs w:val="false"/>
                <w:color w:val="1A1A1A"/>
                <w:sz w:val="15"/>
                <w:szCs w:val="15"/>
              </w:rPr>
              <w:t xml:space="preserve">WP-15 Search (Platform-Wide); OCR realized within WP-12 Documents ingestion pipeline</w:t>
            </w:r>
          </w:p>
        </w:tc>
      </w:tr>
      <w:tr>
        <w:tc>
          <w:tcPr>
            <w:tcW w:type="dxa" w:w="3226"/>
            <w:tcMar>
              <w:top w:type="dxa" w:w="70"/>
              <w:left w:type="dxa" w:w="110"/>
              <w:bottom w:type="dxa" w:w="70"/>
              <w:right w:type="dxa" w:w="110"/>
            </w:tcMar>
            <w:vAlign w:val="top"/>
          </w:tcPr>
          <w:p>
            <w:r>
              <w:rPr>
                <w:b/>
                <w:bCs/>
                <w:color w:val="1A1A1A"/>
                <w:sz w:val="15"/>
                <w:szCs w:val="15"/>
              </w:rPr>
              <w:t xml:space="preserve">WP-09 Knowledge Repository</w:t>
            </w:r>
          </w:p>
        </w:tc>
        <w:tc>
          <w:tcPr>
            <w:tcW w:type="dxa" w:w="6854"/>
            <w:tcMar>
              <w:top w:type="dxa" w:w="70"/>
              <w:left w:type="dxa" w:w="110"/>
              <w:bottom w:type="dxa" w:w="70"/>
              <w:right w:type="dxa" w:w="110"/>
            </w:tcMar>
            <w:vAlign w:val="top"/>
          </w:tcPr>
          <w:p>
            <w:r>
              <w:rPr>
                <w:b w:val="false"/>
                <w:bCs w:val="false"/>
                <w:color w:val="1A1A1A"/>
                <w:sz w:val="15"/>
                <w:szCs w:val="15"/>
              </w:rPr>
              <w:t xml:space="preserve">WP-13 Knowledge Repository</w:t>
            </w:r>
          </w:p>
        </w:tc>
      </w:tr>
      <w:tr>
        <w:tc>
          <w:tcPr>
            <w:tcW w:type="dxa" w:w="3226"/>
            <w:tcMar>
              <w:top w:type="dxa" w:w="70"/>
              <w:left w:type="dxa" w:w="110"/>
              <w:bottom w:type="dxa" w:w="70"/>
              <w:right w:type="dxa" w:w="110"/>
            </w:tcMar>
            <w:vAlign w:val="top"/>
          </w:tcPr>
          <w:p>
            <w:r>
              <w:rPr>
                <w:b/>
                <w:bCs/>
                <w:color w:val="1A1A1A"/>
                <w:sz w:val="15"/>
                <w:szCs w:val="15"/>
              </w:rPr>
              <w:t xml:space="preserve">WP-10 AI Knowledge Services (RAG &amp; Knowledge Graph)</w:t>
            </w:r>
          </w:p>
        </w:tc>
        <w:tc>
          <w:tcPr>
            <w:tcW w:type="dxa" w:w="6854"/>
            <w:tcMar>
              <w:top w:type="dxa" w:w="70"/>
              <w:left w:type="dxa" w:w="110"/>
              <w:bottom w:type="dxa" w:w="70"/>
              <w:right w:type="dxa" w:w="110"/>
            </w:tcMar>
            <w:vAlign w:val="top"/>
          </w:tcPr>
          <w:p>
            <w:r>
              <w:rPr>
                <w:b w:val="false"/>
                <w:bCs w:val="false"/>
                <w:color w:val="1A1A1A"/>
                <w:sz w:val="15"/>
                <w:szCs w:val="15"/>
              </w:rPr>
              <w:t xml:space="preserve">WP-23 AI Assistant</w:t>
            </w:r>
          </w:p>
        </w:tc>
      </w:tr>
      <w:tr>
        <w:tc>
          <w:tcPr>
            <w:tcW w:type="dxa" w:w="3226"/>
            <w:tcMar>
              <w:top w:type="dxa" w:w="70"/>
              <w:left w:type="dxa" w:w="110"/>
              <w:bottom w:type="dxa" w:w="70"/>
              <w:right w:type="dxa" w:w="110"/>
            </w:tcMar>
            <w:vAlign w:val="top"/>
          </w:tcPr>
          <w:p>
            <w:r>
              <w:rPr>
                <w:b/>
                <w:bCs/>
                <w:color w:val="1A1A1A"/>
                <w:sz w:val="15"/>
                <w:szCs w:val="15"/>
              </w:rPr>
              <w:t xml:space="preserve">WP-11 Programme &amp; Portfolio Management</w:t>
            </w:r>
          </w:p>
        </w:tc>
        <w:tc>
          <w:tcPr>
            <w:tcW w:type="dxa" w:w="6854"/>
            <w:tcMar>
              <w:top w:type="dxa" w:w="70"/>
              <w:left w:type="dxa" w:w="110"/>
              <w:bottom w:type="dxa" w:w="70"/>
              <w:right w:type="dxa" w:w="110"/>
            </w:tcMar>
            <w:vAlign w:val="top"/>
          </w:tcPr>
          <w:p>
            <w:r>
              <w:rPr>
                <w:b w:val="false"/>
                <w:bCs w:val="false"/>
                <w:color w:val="1A1A1A"/>
                <w:sz w:val="15"/>
                <w:szCs w:val="15"/>
              </w:rPr>
              <w:t xml:space="preserve">WP-07 Programme Management + WP-08 Projects + WP-09 Tasks</w:t>
            </w:r>
          </w:p>
        </w:tc>
      </w:tr>
      <w:tr>
        <w:tc>
          <w:tcPr>
            <w:tcW w:type="dxa" w:w="3226"/>
            <w:tcMar>
              <w:top w:type="dxa" w:w="70"/>
              <w:left w:type="dxa" w:w="110"/>
              <w:bottom w:type="dxa" w:w="70"/>
              <w:right w:type="dxa" w:w="110"/>
            </w:tcMar>
            <w:vAlign w:val="top"/>
          </w:tcPr>
          <w:p>
            <w:r>
              <w:rPr>
                <w:b/>
                <w:bCs/>
                <w:color w:val="1A1A1A"/>
                <w:sz w:val="15"/>
                <w:szCs w:val="15"/>
              </w:rPr>
              <w:t xml:space="preserve">WP-12 Monitoring &amp; Evaluation</w:t>
            </w:r>
          </w:p>
        </w:tc>
        <w:tc>
          <w:tcPr>
            <w:tcW w:type="dxa" w:w="6854"/>
            <w:tcMar>
              <w:top w:type="dxa" w:w="70"/>
              <w:left w:type="dxa" w:w="110"/>
              <w:bottom w:type="dxa" w:w="70"/>
              <w:right w:type="dxa" w:w="110"/>
            </w:tcMar>
            <w:vAlign w:val="top"/>
          </w:tcPr>
          <w:p>
            <w:r>
              <w:rPr>
                <w:b w:val="false"/>
                <w:bCs w:val="false"/>
                <w:color w:val="1A1A1A"/>
                <w:sz w:val="15"/>
                <w:szCs w:val="15"/>
              </w:rPr>
              <w:t xml:space="preserve">Realized within WP-07 Programme Management (KPI/M&amp;E fields) and WP-17 Analytics</w:t>
            </w:r>
          </w:p>
        </w:tc>
      </w:tr>
      <w:tr>
        <w:tc>
          <w:tcPr>
            <w:tcW w:type="dxa" w:w="3226"/>
            <w:tcMar>
              <w:top w:type="dxa" w:w="70"/>
              <w:left w:type="dxa" w:w="110"/>
              <w:bottom w:type="dxa" w:w="70"/>
              <w:right w:type="dxa" w:w="110"/>
            </w:tcMar>
            <w:vAlign w:val="top"/>
          </w:tcPr>
          <w:p>
            <w:r>
              <w:rPr>
                <w:b/>
                <w:bCs/>
                <w:color w:val="1A1A1A"/>
                <w:sz w:val="15"/>
                <w:szCs w:val="15"/>
              </w:rPr>
              <w:t xml:space="preserve">WP-13 Reporting &amp; Executive Dashboards</w:t>
            </w:r>
          </w:p>
        </w:tc>
        <w:tc>
          <w:tcPr>
            <w:tcW w:type="dxa" w:w="6854"/>
            <w:tcMar>
              <w:top w:type="dxa" w:w="70"/>
              <w:left w:type="dxa" w:w="110"/>
              <w:bottom w:type="dxa" w:w="70"/>
              <w:right w:type="dxa" w:w="110"/>
            </w:tcMar>
            <w:vAlign w:val="top"/>
          </w:tcPr>
          <w:p>
            <w:r>
              <w:rPr>
                <w:b w:val="false"/>
                <w:bCs w:val="false"/>
                <w:color w:val="1A1A1A"/>
                <w:sz w:val="15"/>
                <w:szCs w:val="15"/>
              </w:rPr>
              <w:t xml:space="preserve">WP-06 Executive Management + WP-16 Reporting</w:t>
            </w:r>
          </w:p>
        </w:tc>
      </w:tr>
      <w:tr>
        <w:tc>
          <w:tcPr>
            <w:tcW w:type="dxa" w:w="3226"/>
            <w:tcMar>
              <w:top w:type="dxa" w:w="70"/>
              <w:left w:type="dxa" w:w="110"/>
              <w:bottom w:type="dxa" w:w="70"/>
              <w:right w:type="dxa" w:w="110"/>
            </w:tcMar>
            <w:vAlign w:val="top"/>
          </w:tcPr>
          <w:p>
            <w:r>
              <w:rPr>
                <w:b/>
                <w:bCs/>
                <w:color w:val="1A1A1A"/>
                <w:sz w:val="15"/>
                <w:szCs w:val="15"/>
              </w:rPr>
              <w:t xml:space="preserve">WP-14 External Integrations &amp; API Gateway</w:t>
            </w:r>
          </w:p>
        </w:tc>
        <w:tc>
          <w:tcPr>
            <w:tcW w:type="dxa" w:w="6854"/>
            <w:tcMar>
              <w:top w:type="dxa" w:w="70"/>
              <w:left w:type="dxa" w:w="110"/>
              <w:bottom w:type="dxa" w:w="70"/>
              <w:right w:type="dxa" w:w="110"/>
            </w:tcMar>
            <w:vAlign w:val="top"/>
          </w:tcPr>
          <w:p>
            <w:r>
              <w:rPr>
                <w:b w:val="false"/>
                <w:bCs w:val="false"/>
                <w:color w:val="1A1A1A"/>
                <w:sz w:val="15"/>
                <w:szCs w:val="15"/>
              </w:rPr>
              <w:t xml:space="preserve">WP-02 API &amp; Integration Platform Foundation</w:t>
            </w:r>
          </w:p>
        </w:tc>
      </w:tr>
      <w:tr>
        <w:tc>
          <w:tcPr>
            <w:tcW w:type="dxa" w:w="3226"/>
            <w:tcMar>
              <w:top w:type="dxa" w:w="70"/>
              <w:left w:type="dxa" w:w="110"/>
              <w:bottom w:type="dxa" w:w="70"/>
              <w:right w:type="dxa" w:w="110"/>
            </w:tcMar>
            <w:vAlign w:val="top"/>
          </w:tcPr>
          <w:p>
            <w:r>
              <w:rPr>
                <w:b/>
                <w:bCs/>
                <w:color w:val="1A1A1A"/>
                <w:sz w:val="15"/>
                <w:szCs w:val="15"/>
              </w:rPr>
              <w:t xml:space="preserve">WP-15 Configuration &amp; Administration</w:t>
            </w:r>
          </w:p>
        </w:tc>
        <w:tc>
          <w:tcPr>
            <w:tcW w:type="dxa" w:w="6854"/>
            <w:tcMar>
              <w:top w:type="dxa" w:w="70"/>
              <w:left w:type="dxa" w:w="110"/>
              <w:bottom w:type="dxa" w:w="70"/>
              <w:right w:type="dxa" w:w="110"/>
            </w:tcMar>
            <w:vAlign w:val="top"/>
          </w:tcPr>
          <w:p>
            <w:r>
              <w:rPr>
                <w:b w:val="false"/>
                <w:bCs w:val="false"/>
                <w:color w:val="1A1A1A"/>
                <w:sz w:val="15"/>
                <w:szCs w:val="15"/>
              </w:rPr>
              <w:t xml:space="preserve">WP-04 Administration &amp; User Management</w:t>
            </w:r>
          </w:p>
        </w:tc>
      </w:tr>
      <w:tr>
        <w:tc>
          <w:tcPr>
            <w:tcW w:type="dxa" w:w="3226"/>
            <w:tcMar>
              <w:top w:type="dxa" w:w="70"/>
              <w:left w:type="dxa" w:w="110"/>
              <w:bottom w:type="dxa" w:w="70"/>
              <w:right w:type="dxa" w:w="110"/>
            </w:tcMar>
            <w:vAlign w:val="top"/>
          </w:tcPr>
          <w:p>
            <w:r>
              <w:rPr>
                <w:b/>
                <w:bCs/>
                <w:color w:val="1A1A1A"/>
                <w:sz w:val="15"/>
                <w:szCs w:val="15"/>
              </w:rPr>
              <w:t xml:space="preserve">WP-16 Security, Audit &amp; Compliance</w:t>
            </w:r>
          </w:p>
        </w:tc>
        <w:tc>
          <w:tcPr>
            <w:tcW w:type="dxa" w:w="6854"/>
            <w:tcMar>
              <w:top w:type="dxa" w:w="70"/>
              <w:left w:type="dxa" w:w="110"/>
              <w:bottom w:type="dxa" w:w="70"/>
              <w:right w:type="dxa" w:w="110"/>
            </w:tcMar>
            <w:vAlign w:val="top"/>
          </w:tcPr>
          <w:p>
            <w:r>
              <w:rPr>
                <w:b w:val="false"/>
                <w:bCs w:val="false"/>
                <w:color w:val="1A1A1A"/>
                <w:sz w:val="15"/>
                <w:szCs w:val="15"/>
              </w:rPr>
              <w:t xml:space="preserve">WP-05 Security &amp; Access Control</w:t>
            </w:r>
          </w:p>
        </w:tc>
      </w:tr>
      <w:tr>
        <w:tc>
          <w:tcPr>
            <w:tcW w:type="dxa" w:w="3226"/>
            <w:tcMar>
              <w:top w:type="dxa" w:w="70"/>
              <w:left w:type="dxa" w:w="110"/>
              <w:bottom w:type="dxa" w:w="70"/>
              <w:right w:type="dxa" w:w="110"/>
            </w:tcMar>
            <w:vAlign w:val="top"/>
          </w:tcPr>
          <w:p>
            <w:r>
              <w:rPr>
                <w:b/>
                <w:bCs/>
                <w:color w:val="1A1A1A"/>
                <w:sz w:val="15"/>
                <w:szCs w:val="15"/>
              </w:rPr>
              <w:t xml:space="preserve">WP-17 Mobile Enablement</w:t>
            </w:r>
          </w:p>
        </w:tc>
        <w:tc>
          <w:tcPr>
            <w:tcW w:type="dxa" w:w="6854"/>
            <w:tcMar>
              <w:top w:type="dxa" w:w="70"/>
              <w:left w:type="dxa" w:w="110"/>
              <w:bottom w:type="dxa" w:w="70"/>
              <w:right w:type="dxa" w:w="110"/>
            </w:tcMar>
            <w:vAlign w:val="top"/>
          </w:tcPr>
          <w:p>
            <w:r>
              <w:rPr>
                <w:b w:val="false"/>
                <w:bCs w:val="false"/>
                <w:color w:val="1A1A1A"/>
                <w:sz w:val="15"/>
                <w:szCs w:val="15"/>
              </w:rPr>
              <w:t xml:space="preserve">Cross-cutting responsive/PWA standard applied across all UI-bearing Work Packages (Engineering Handbook Ch. 10); not a standalone WP</w:t>
            </w:r>
          </w:p>
        </w:tc>
      </w:tr>
      <w:tr>
        <w:tc>
          <w:tcPr>
            <w:tcW w:type="dxa" w:w="3226"/>
            <w:tcMar>
              <w:top w:type="dxa" w:w="70"/>
              <w:left w:type="dxa" w:w="110"/>
              <w:bottom w:type="dxa" w:w="70"/>
              <w:right w:type="dxa" w:w="110"/>
            </w:tcMar>
            <w:vAlign w:val="top"/>
          </w:tcPr>
          <w:p>
            <w:r>
              <w:rPr>
                <w:b/>
                <w:bCs/>
                <w:color w:val="1A1A1A"/>
                <w:sz w:val="15"/>
                <w:szCs w:val="15"/>
              </w:rPr>
              <w:t xml:space="preserve">WP-18 Analytics &amp; Business Intelligence</w:t>
            </w:r>
          </w:p>
        </w:tc>
        <w:tc>
          <w:tcPr>
            <w:tcW w:type="dxa" w:w="6854"/>
            <w:tcMar>
              <w:top w:type="dxa" w:w="70"/>
              <w:left w:type="dxa" w:w="110"/>
              <w:bottom w:type="dxa" w:w="70"/>
              <w:right w:type="dxa" w:w="110"/>
            </w:tcMar>
            <w:vAlign w:val="top"/>
          </w:tcPr>
          <w:p>
            <w:r>
              <w:rPr>
                <w:b w:val="false"/>
                <w:bCs w:val="false"/>
                <w:color w:val="1A1A1A"/>
                <w:sz w:val="15"/>
                <w:szCs w:val="15"/>
              </w:rPr>
              <w:t xml:space="preserve">WP-17 Analytics</w:t>
            </w:r>
          </w:p>
        </w:tc>
      </w:tr>
      <w:tr>
        <w:tc>
          <w:tcPr>
            <w:tcW w:type="dxa" w:w="3226"/>
            <w:tcMar>
              <w:top w:type="dxa" w:w="70"/>
              <w:left w:type="dxa" w:w="110"/>
              <w:bottom w:type="dxa" w:w="70"/>
              <w:right w:type="dxa" w:w="110"/>
            </w:tcMar>
            <w:vAlign w:val="top"/>
          </w:tcPr>
          <w:p>
            <w:r>
              <w:rPr>
                <w:b/>
                <w:bCs/>
                <w:color w:val="1A1A1A"/>
                <w:sz w:val="15"/>
                <w:szCs w:val="15"/>
              </w:rPr>
              <w:t xml:space="preserve">WP-19 DevSecOps &amp; Deployment Automation</w:t>
            </w:r>
          </w:p>
        </w:tc>
        <w:tc>
          <w:tcPr>
            <w:tcW w:type="dxa" w:w="6854"/>
            <w:tcMar>
              <w:top w:type="dxa" w:w="70"/>
              <w:left w:type="dxa" w:w="110"/>
              <w:bottom w:type="dxa" w:w="70"/>
              <w:right w:type="dxa" w:w="110"/>
            </w:tcMar>
            <w:vAlign w:val="top"/>
          </w:tcPr>
          <w:p>
            <w:r>
              <w:rPr>
                <w:b w:val="false"/>
                <w:bCs w:val="false"/>
                <w:color w:val="1A1A1A"/>
                <w:sz w:val="15"/>
                <w:szCs w:val="15"/>
              </w:rPr>
              <w:t xml:space="preserve">WP-03 DevSecOps Pipeline &amp; Environment Foundation</w:t>
            </w:r>
          </w:p>
        </w:tc>
      </w:tr>
      <w:tr>
        <w:tc>
          <w:tcPr>
            <w:tcW w:type="dxa" w:w="3226"/>
            <w:tcMar>
              <w:top w:type="dxa" w:w="70"/>
              <w:left w:type="dxa" w:w="110"/>
              <w:bottom w:type="dxa" w:w="70"/>
              <w:right w:type="dxa" w:w="110"/>
            </w:tcMar>
            <w:vAlign w:val="top"/>
          </w:tcPr>
          <w:p>
            <w:r>
              <w:rPr>
                <w:b/>
                <w:bCs/>
                <w:color w:val="1A1A1A"/>
                <w:sz w:val="15"/>
                <w:szCs w:val="15"/>
              </w:rPr>
              <w:t xml:space="preserve">WP-20 Production Deployment, Hypercare &amp; Transition</w:t>
            </w:r>
          </w:p>
        </w:tc>
        <w:tc>
          <w:tcPr>
            <w:tcW w:type="dxa" w:w="6854"/>
            <w:tcMar>
              <w:top w:type="dxa" w:w="70"/>
              <w:left w:type="dxa" w:w="110"/>
              <w:bottom w:type="dxa" w:w="70"/>
              <w:right w:type="dxa" w:w="110"/>
            </w:tcMar>
            <w:vAlign w:val="top"/>
          </w:tcPr>
          <w:p>
            <w:r>
              <w:rPr>
                <w:b w:val="false"/>
                <w:bCs w:val="false"/>
                <w:color w:val="1A1A1A"/>
                <w:sz w:val="15"/>
                <w:szCs w:val="15"/>
              </w:rPr>
              <w:t xml:space="preserve">WP-24 Quality Engineering &amp; Release Readiness + WP-25 Documentation/ADR/Traceability Closeout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9EDF2" w:sz="2"/>
              <w:left w:val="single" w:color="2E3440" w:sz="24"/>
              <w:bottom w:val="single" w:color="E9EDF2" w:sz="2"/>
              <w:right w:val="single" w:color="E9EDF2" w:sz="2"/>
            </w:tcBorders>
            <w:shd w:fill="E9EDF2" w:val="clear"/>
            <w:tcMar>
              <w:top w:type="dxa" w:w="120"/>
              <w:left w:type="dxa" w:w="180"/>
              <w:bottom w:type="dxa" w:w="120"/>
              <w:right w:type="dxa" w:w="180"/>
            </w:tcMar>
          </w:tcPr>
          <w:p>
            <w:pPr>
              <w:spacing w:after="60"/>
            </w:pPr>
            <w:r>
              <w:rPr>
                <w:b/>
                <w:bCs/>
                <w:color w:val="2E3440"/>
                <w:sz w:val="17"/>
                <w:szCs w:val="17"/>
              </w:rPr>
              <w:t xml:space="preserve">ARCHITECTURE DECISION</w:t>
            </w:r>
          </w:p>
          <w:p>
            <w:pPr>
              <w:spacing w:after="0"/>
            </w:pPr>
            <w:r>
              <w:rPr>
                <w:sz w:val="18"/>
                <w:szCs w:val="18"/>
              </w:rPr>
              <w:t xml:space="preserve">This mapping is recorded as an Architecture Decision Record under MEKB Part 13, Section 13.7. It preserves every concept named in the suggested structure, changes no requirement, and leaves the twenty-five Work Package identifiers used across all prior volumes fully intact and unambiguous.</w:t>
            </w:r>
          </w:p>
        </w:tc>
      </w:tr>
    </w:tbl>
    <w:p>
      <w:pPr>
        <w:pStyle w:val="Heading1"/>
        <w:pBdr>
          <w:bottom w:val="single" w:color="D3D7DC" w:sz="4" w:space="4"/>
        </w:pBdr>
        <w:spacing w:after="140" w:before="360"/>
      </w:pPr>
      <w:r>
        <w:rPr>
          <w:b/>
          <w:bCs/>
          <w:color w:val="B23A48"/>
          <w:sz w:val="26"/>
          <w:szCs w:val="26"/>
        </w:rPr>
        <w:t xml:space="preserve">1.12  </w:t>
      </w:r>
      <w:r>
        <w:rPr>
          <w:b/>
          <w:bCs/>
          <w:color w:val="2E3440"/>
          <w:sz w:val="26"/>
          <w:szCs w:val="26"/>
        </w:rPr>
        <w:t xml:space="preserve">How to Read This Volume</w:t>
      </w:r>
    </w:p>
    <w:p>
      <w:pPr>
        <w:spacing w:after="150" w:line="276"/>
        <w:jc w:val="both"/>
      </w:pPr>
      <w:r>
        <w:t xml:space="preserve">Part 2 is the portfolio dashboard — every Work Package at a glance. Part 3 is the twenty-section template every individual Work Package document follows. Parts covering WP-01 through WP-25 are delivered as twenty-five standalone documents, each a complete, self-contained implementation package. Part 5 shows how the twenty-five Work Packages depend on one another; Part 6 recommends the order in which to execute them; Part 7 is a cross-cutting review confirming every Work Package's Antigravity Implementation Package section is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2E3440"/>
      <w:sz w:val="26"/>
      <w:szCs w:val="26"/>
    </w:rPr>
  </w:style>
  <w:style w:type="paragraph" w:styleId="Heading2">
    <w:name w:val="Heading 2"/>
    <w:basedOn w:val="Normal"/>
    <w:next w:val="Normal"/>
    <w:qFormat/>
    <w:pPr>
      <w:spacing w:after="110" w:before="240"/>
    </w:pPr>
    <w:rPr>
      <w:rFonts w:ascii="Calibri" w:cs="Calibri" w:eastAsia="Calibri" w:hAnsi="Calibri"/>
      <w:b/>
      <w:bCs/>
      <w:color w:val="2E34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2026-07-20T15:29:54.362Z</dcterms:created>
  <dcterms:modified xsi:type="dcterms:W3CDTF">2026-07-20T15:29:54.362Z</dcterms:modified>
</cp:coreProperties>
</file>

<file path=docProps/custom.xml><?xml version="1.0" encoding="utf-8"?>
<Properties xmlns="http://schemas.openxmlformats.org/officeDocument/2006/custom-properties" xmlns:vt="http://schemas.openxmlformats.org/officeDocument/2006/docPropsVTypes"/>
</file>