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Part 5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Work Package Dependency Matrix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What Depends On What, What Delaying It Costs, and What Sits On the Critical Path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PART 5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4"/>
          <w:szCs w:val="44"/>
        </w:rPr>
        <w:t xml:space="preserve">Work Package Dependency Matrix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5.1  </w:t>
      </w:r>
      <w:r>
        <w:rPr>
          <w:b/>
          <w:bCs/>
          <w:color w:val="2E3440"/>
          <w:sz w:val="26"/>
          <w:szCs w:val="26"/>
        </w:rPr>
        <w:t xml:space="preserve">Purpose</w:t>
      </w:r>
    </w:p>
    <w:tbl>
      <w:tblPr>
        <w:tblW w:type="dxa" w:w="10080"/>
        <w:tblBorders>
          <w:top w:val="single" w:color="D3D7DC" w:sz="4"/>
          <w:left w:val="single" w:color="D3D7DC" w:sz="4"/>
          <w:bottom w:val="single" w:color="D3D7DC" w:sz="4"/>
          <w:right w:val="single" w:color="D3D7DC" w:sz="4"/>
          <w:insideH w:val="single" w:color="D3D7DC" w:sz="2"/>
          <w:insideV w:val="single" w:color="D3D7DC" w:sz="2"/>
        </w:tblBorders>
      </w:tblPr>
      <w:tblGrid>
        <w:gridCol w:w="2621"/>
        <w:gridCol w:w="7459"/>
      </w:tblGrid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Purpose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Give a single, authoritative view of how the platform's twenty-five Work Packages depend on one another.</w:t>
            </w:r>
          </w:p>
        </w:tc>
      </w:tr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Lets a Programme Manager answer, for any Work Package, 'what happens if this slips' without reconstructing the dependency graph from twenty-five individual documents.</w:t>
            </w:r>
          </w:p>
        </w:tc>
      </w:tr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Engineering Perspective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Consistent with, and does not restate, the technical dependency detail already fixed in MEKB Part 11; this matrix is the EWPL's own authoritative restatement at implementation-planning granularity.</w:t>
            </w:r>
          </w:p>
        </w:tc>
      </w:tr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Expected Outcome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Every Work Package's upstream dependency, downstream impact, delay risk, and critical-path status is answerable from one table.</w:t>
            </w:r>
          </w:p>
        </w:tc>
      </w:tr>
    </w:tbl>
    <w:p>
      <w:pPr>
        <w:spacing w:after="160"/>
      </w:pPr>
    </w:p>
    <w:p>
      <w:pPr>
        <w:spacing w:after="150" w:line="276"/>
        <w:jc w:val="both"/>
      </w:pPr>
      <w:r>
        <w:t xml:space="preserve">This matrix does not introduce a new dependency structure — it restates, once, in implementation-planning form, the dependency graph already fixed in MEKB Part 11 and consumed by the Enterprise Release Strategy's thin-slice analysis (ERS Part 1, Section 1.7) and the Enterprise Development Roadmap's build-order table. Where any other governing document's dependency statement and this matrix appear to disagree, the MEKB is authoritative and this matrix must be corrected.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5.2  </w:t>
      </w:r>
      <w:r>
        <w:rPr>
          <w:b/>
          <w:bCs/>
          <w:color w:val="2E3440"/>
          <w:sz w:val="26"/>
          <w:szCs w:val="26"/>
        </w:rPr>
        <w:t xml:space="preserve">The Full Dependency Matrix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"/>
        <w:gridCol w:w="1613"/>
        <w:gridCol w:w="2218"/>
        <w:gridCol w:w="3226"/>
        <w:gridCol w:w="2318"/>
      </w:tblGrid>
      <w:tr>
        <w:trPr>
          <w:tblHeader/>
        </w:trPr>
        <w:tc>
          <w:tcPr>
            <w:tcW w:type="dxa" w:w="70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WP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Enables</w:t>
            </w:r>
          </w:p>
        </w:tc>
        <w:tc>
          <w:tcPr>
            <w:tcW w:type="dxa" w:w="322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if Delayed</w:t>
            </w:r>
          </w:p>
        </w:tc>
        <w:tc>
          <w:tcPr>
            <w:tcW w:type="dxa" w:w="23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Critical Path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Every other Work Package (WP-02 through WP-25) — the platform's data backbone.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the entire programme; nothing else can begin.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WP-02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Every module Work Package from WP-04 onward, which register endpoints behind this gateway.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all module development; no module can expose an API.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WP-03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(parallel to WP-01/02)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Every Work Package's ability to be tested and deployed.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testing and deployment platform-wide, though not module coding itself.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— near-critical, must complete before Sprint 2 ends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WP-04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WP-01, WP-02, WP-03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WP-05, WP-10, WP-11, WP-19, and every module needing real users/organizations.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Security &amp; Access Control and all downstream modules needing real user context.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WP-05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 through WP-04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Every module requiring access enforcement — effectively all of WP-06 through WP-25.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Leaves every subsequent module without enforced least-privilege access.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WP-06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WP-01-05 (shell); WP-07 (full)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downstream Work Package depends on WP-06.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early executive visibility, but does not block other engineering work.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— float available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WP-07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 through WP-05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WP-08, WP-16, WP-22, and the full build of WP-06.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Projects (WP-08) and the entire Programme Management delivery chain.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WP-08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WP-07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WP-09, WP-16, WP-22.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Tasks (WP-09) and project-level reporting.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WP-09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WP-08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WP-10 (full), WP-18.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the Workflow Engine's full build and Notifications' task-event source.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WP-10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WP-04, WP-09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WP-11, WP-12 (thin), WP-18, WP-20.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Approvals and every process requiring routed sign-off, including Documents.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WP-10, WP-04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WP-12, and the full change-request process within WP-07.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Documents' review-before-publish requirement — the entire Release 2 headline capability.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WP-12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WP-05, WP-11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WP-13, WP-15, WP-19, WP-22.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Knowledge Repository, Search, Training content, and Public Portal.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WP-13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WP-12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WP-15, WP-21, and the knowledge foundation for WP-23.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Search's semantic layer and delays the AI Assistant's knowledge foundation.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WP-14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WP-03, WP-05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WP-22 (media assets).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Public Portal's media capability only; does not block other modules.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— float available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WP-15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WP-12, WP-13, WP-05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WP-23 (AI Assistant's retrieval foundation).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the AI Assistant's ability to retrieve from an indexed knowledge base.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WP-16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WP-07, WP-08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WP-17.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Analytics; does not block the platform's core delivery chain.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— float available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WP-17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WP-16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WP-06's full KPI maturity (optional integration).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advanced analytics only.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— float available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WP-18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WP-09, WP-10, WP-11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WP-20's escalation notifications.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user awareness of platform events; does not block core delivery.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— float available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WP-19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WP-04, WP-12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downstream Work Package depends on WP-19.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formal training rollout; peer-based onboarding continues in the interim.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— float available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WP-20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WP-18, WP-10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WP-21 (ticket-volume data for FAQ prioritization).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formal support-ticket tracking.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— float available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WP-13, WP-20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downstream Work Package depends on WP-21.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self-service deflection; Support (WP-20) absorbs the volume in the interim.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— float available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WP-22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WP-07, WP-11, WP-12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downstream Work Package depends on WP-22.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external transparency and public-facing donor visibility.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— float available, but must close before WP-24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WP-23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WP-13, WP-15, WP-05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WP-24 (which requires WP-23 complete).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Release 5 and General Availability directly.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WP-24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 through WP-23 (all)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WP-25.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final documentation closeout and General Availability.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WP-25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 through WP-24 (all)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General Availability sign-off.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programme closeout and formal handover.</w:t>
            </w:r>
          </w:p>
        </w:tc>
        <w:tc>
          <w:tcPr>
            <w:tcW w:type="dxa" w:w="23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Yes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5.3  </w:t>
      </w:r>
      <w:r>
        <w:rPr>
          <w:b/>
          <w:bCs/>
          <w:color w:val="2E3440"/>
          <w:sz w:val="26"/>
          <w:szCs w:val="26"/>
        </w:rPr>
        <w:t xml:space="preserve">Critical Path — Visual Summary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D7DC" w:sz="2"/>
              <w:left w:val="single" w:color="D3D7DC" w:sz="2"/>
              <w:bottom w:val="single" w:color="D3D7DC" w:sz="2"/>
              <w:right w:val="single" w:color="D3D7DC" w:sz="2"/>
            </w:tcBorders>
            <w:shd w:fill="EEF0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D21"/>
                <w:sz w:val="17"/>
                <w:szCs w:val="17"/>
              </w:rPr>
              <w:t xml:space="preserve">WP-01 -&gt; WP-02 -&gt; WP-04 -&gt; WP-05 -&gt; WP-07 -&gt; WP-08 -&gt; WP-09 -&gt; WP-10 -&gt;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D21"/>
                <w:sz w:val="17"/>
                <w:szCs w:val="17"/>
              </w:rPr>
              <w:t xml:space="preserve">WP-11 -&gt; WP-12 -&gt; WP-13 -&gt; WP-15 -&gt; WP-23 -&gt; WP-24 -&gt; WP-25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D21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D21"/>
                <w:sz w:val="17"/>
                <w:szCs w:val="17"/>
              </w:rPr>
              <w:t xml:space="preserve">15 of 25 Work Packages sit on the critical path — a delay to any one of these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D21"/>
                <w:sz w:val="17"/>
                <w:szCs w:val="17"/>
              </w:rPr>
              <w:t xml:space="preserve">fifteen delays General Availability by the same amount, day for day.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D21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D21"/>
                <w:sz w:val="17"/>
                <w:szCs w:val="17"/>
              </w:rPr>
              <w:t xml:space="preserve">The remaining 10 Work Packages (WP-03, WP-06, WP-14, WP-16, WP-17, WP-18,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D21"/>
                <w:sz w:val="17"/>
                <w:szCs w:val="17"/>
              </w:rPr>
              <w:t xml:space="preserve">WP-19, WP-20, WP-21, WP-22) carry schedule float but must still complete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D21"/>
                <w:sz w:val="17"/>
                <w:szCs w:val="17"/>
              </w:rPr>
              <w:t xml:space="preserve">before WP-24, since WP-24's Definition of Ready requires WP-01 through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D21"/>
                <w:sz w:val="17"/>
                <w:szCs w:val="17"/>
              </w:rPr>
              <w:t xml:space="preserve">WP-23 complete.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BF0DD" w:sz="2"/>
              <w:left w:val="single" w:color="B8860B" w:sz="24"/>
              <w:bottom w:val="single" w:color="FBF0DD" w:sz="2"/>
              <w:right w:val="single" w:color="FBF0DD" w:sz="2"/>
            </w:tcBorders>
            <w:shd w:fill="FB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17"/>
                <w:szCs w:val="17"/>
              </w:rPr>
              <w:t xml:space="preserve">IMPORTANT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Float is not the same as low priority. WP-05 (Security &amp; Access Control) and WP-22 (Public Portal) illustrate the difference: WP-05 is Critical/Critical priority and on the critical path; WP-22 is High business priority but carries schedule float. A Work Package can be important to the business without being able to delay the programme's end date if it slips — and vice versa, a Work Package with modest visible business value (like WP-02, the API gateway) can be completely schedule-critical because of what it structurally unblocks.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5.4  </w:t>
      </w:r>
      <w:r>
        <w:rPr>
          <w:b/>
          <w:bCs/>
          <w:color w:val="2E3440"/>
          <w:sz w:val="26"/>
          <w:szCs w:val="26"/>
        </w:rPr>
        <w:t xml:space="preserve">Reading This Matrix Alongside the Release Strategy</w:t>
      </w:r>
    </w:p>
    <w:p>
      <w:pPr>
        <w:spacing w:after="150" w:line="276"/>
        <w:jc w:val="both"/>
      </w:pPr>
      <w:r>
        <w:t xml:space="preserve">The thin-slice pull-forwards documented in ERS Part 1, Section 1.7 — WP-10 and WP-11 into Release 2, WP-23 into Release 3 — do not appear as separate rows in this matrix because they are not separate Work Packages; they are partial-scope early deliveries of the same WP-10, WP-11, and WP-23 rows shown here. The dependency relationships in this matrix hold for both the thin-slice and full-scope delivery of each affected Work Package.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2026-07-20T17:12:11.206Z</dcterms:created>
  <dcterms:modified xsi:type="dcterms:W3CDTF">2026-07-20T17:12:11.206Z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