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60"/>
        <w:jc w:val="center"/>
      </w:pPr>
      <w:r>
        <w:rPr>
          <w:b/>
          <w:bCs/>
          <w:caps/>
          <w:color w:val="B23A48"/>
          <w:sz w:val="20"/>
          <w:szCs w:val="20"/>
        </w:rPr>
        <w:t xml:space="preserve">VOLUME IV — ENTERPRISE ENGINEERING WORK PACKAGE LIBRARY (EWPL)</w:t>
      </w:r>
    </w:p>
    <w:p>
      <w:pPr>
        <w:spacing w:after="260"/>
        <w:jc w:val="center"/>
      </w:pPr>
      <w:r>
        <w:rPr>
          <w:b/>
          <w:bCs/>
          <w:color w:val="1A1D21"/>
          <w:sz w:val="28"/>
          <w:szCs w:val="28"/>
        </w:rPr>
        <w:t xml:space="preserve">Part 6</w:t>
      </w:r>
    </w:p>
    <w:p>
      <w:pPr>
        <w:pBdr>
          <w:bottom w:val="single" w:color="2E3440" w:sz="14" w:space="10"/>
        </w:pBdr>
        <w:spacing w:after="160"/>
        <w:jc w:val="center"/>
      </w:pPr>
      <w:r>
        <w:rPr>
          <w:b/>
          <w:bCs/>
          <w:color w:val="1A1D21"/>
          <w:sz w:val="40"/>
          <w:szCs w:val="40"/>
        </w:rPr>
        <w:t xml:space="preserve">Work Package Execution Order</w:t>
      </w:r>
    </w:p>
    <w:p>
      <w:pPr>
        <w:spacing w:after="40" w:before="300"/>
        <w:jc w:val="center"/>
      </w:pPr>
      <w:r>
        <w:rPr>
          <w:color w:val="555555"/>
          <w:sz w:val="20"/>
          <w:szCs w:val="20"/>
        </w:rPr>
        <w:t xml:space="preserve">Enterprise System Management (ESM) Platform &amp;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Central Knowledge Repository (CKR)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Special Agro-Industrial Processing Zones (SAPZ) Programme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Federal Republic of Nigeria</w:t>
      </w:r>
    </w:p>
    <w:p>
      <w:pPr>
        <w:spacing w:before="600"/>
        <w:jc w:val="center"/>
      </w:pPr>
      <w:r>
        <w:rPr>
          <w:i/>
          <w:iCs/>
          <w:color w:val="888888"/>
          <w:sz w:val="17"/>
          <w:szCs w:val="17"/>
        </w:rPr>
        <w:t xml:space="preserve">The Recommended Implementation Sequence, With Rationale, for All 25 Work Packages</w:t>
      </w:r>
    </w:p>
    <w:p>
      <w:r>
        <w:br w:type="page"/>
      </w:r>
    </w:p>
    <w:p>
      <w:pPr>
        <w:spacing w:after="40"/>
        <w:jc w:val="left"/>
      </w:pPr>
      <w:r>
        <w:rPr>
          <w:b/>
          <w:bCs/>
          <w:caps/>
          <w:color w:val="B23A48"/>
          <w:sz w:val="22"/>
          <w:szCs w:val="22"/>
        </w:rPr>
        <w:t xml:space="preserve">PART 6</w:t>
      </w:r>
    </w:p>
    <w:p>
      <w:pPr>
        <w:pBdr>
          <w:bottom w:val="single" w:color="2E3440" w:sz="12" w:space="8"/>
        </w:pBdr>
        <w:spacing w:after="200"/>
        <w:jc w:val="left"/>
      </w:pPr>
      <w:r>
        <w:rPr>
          <w:b/>
          <w:bCs/>
          <w:color w:val="1A1D21"/>
          <w:sz w:val="44"/>
          <w:szCs w:val="44"/>
        </w:rPr>
        <w:t xml:space="preserve">Work Package Execution Order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6.1  </w:t>
      </w:r>
      <w:r>
        <w:rPr>
          <w:b/>
          <w:bCs/>
          <w:color w:val="2E3440"/>
          <w:sz w:val="26"/>
          <w:szCs w:val="26"/>
        </w:rPr>
        <w:t xml:space="preserve">Purpose</w:t>
      </w:r>
    </w:p>
    <w:tbl>
      <w:tblPr>
        <w:tblW w:type="dxa" w:w="10080"/>
        <w:tblBorders>
          <w:top w:val="single" w:color="D3D7DC" w:sz="4"/>
          <w:left w:val="single" w:color="D3D7DC" w:sz="4"/>
          <w:bottom w:val="single" w:color="D3D7DC" w:sz="4"/>
          <w:right w:val="single" w:color="D3D7DC" w:sz="4"/>
          <w:insideH w:val="single" w:color="D3D7DC" w:sz="2"/>
          <w:insideV w:val="single" w:color="D3D7DC" w:sz="2"/>
        </w:tblBorders>
      </w:tblPr>
      <w:tblGrid>
        <w:gridCol w:w="2621"/>
        <w:gridCol w:w="7459"/>
      </w:tblGrid>
      <w:tr>
        <w:tc>
          <w:tcPr>
            <w:tcW w:type="dxa" w:w="2621"/>
            <w:shd w:fill="EEF0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3440"/>
                <w:sz w:val="17"/>
                <w:szCs w:val="17"/>
              </w:rPr>
              <w:t xml:space="preserve">Purpose</w:t>
            </w:r>
          </w:p>
        </w:tc>
        <w:tc>
          <w:tcPr>
            <w:tcW w:type="dxa" w:w="7459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18"/>
                <w:szCs w:val="18"/>
              </w:rPr>
              <w:t xml:space="preserve">Recommend the optimal implementation sequence for all twenty-five Work Packages, and justify each placement in plain terms.</w:t>
            </w:r>
          </w:p>
        </w:tc>
      </w:tr>
      <w:tr>
        <w:tc>
          <w:tcPr>
            <w:tcW w:type="dxa" w:w="2621"/>
            <w:shd w:fill="EEF0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3440"/>
                <w:sz w:val="17"/>
                <w:szCs w:val="17"/>
              </w:rPr>
              <w:t xml:space="preserve">Business Value</w:t>
            </w:r>
          </w:p>
        </w:tc>
        <w:tc>
          <w:tcPr>
            <w:tcW w:type="dxa" w:w="7459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18"/>
                <w:szCs w:val="18"/>
              </w:rPr>
              <w:t xml:space="preserve">Gives Programme Management a single, defensible answer to 'why are we building this now and not sooner' for every Work Package in the library.</w:t>
            </w:r>
          </w:p>
        </w:tc>
      </w:tr>
      <w:tr>
        <w:tc>
          <w:tcPr>
            <w:tcW w:type="dxa" w:w="2621"/>
            <w:shd w:fill="EEF0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3440"/>
                <w:sz w:val="17"/>
                <w:szCs w:val="17"/>
              </w:rPr>
              <w:t xml:space="preserve">Engineering Perspective</w:t>
            </w:r>
          </w:p>
        </w:tc>
        <w:tc>
          <w:tcPr>
            <w:tcW w:type="dxa" w:w="7459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18"/>
                <w:szCs w:val="18"/>
              </w:rPr>
              <w:t xml:space="preserve">Derived directly from Part 5's Dependency Matrix and consistent with the Sprint Roadmap already fixed in MEKB Part 9 and restated for release governance in ERS Part 6.</w:t>
            </w:r>
          </w:p>
        </w:tc>
      </w:tr>
      <w:tr>
        <w:tc>
          <w:tcPr>
            <w:tcW w:type="dxa" w:w="2621"/>
            <w:shd w:fill="EEF0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3440"/>
                <w:sz w:val="17"/>
                <w:szCs w:val="17"/>
              </w:rPr>
              <w:t xml:space="preserve">Expected Outcome</w:t>
            </w:r>
          </w:p>
        </w:tc>
        <w:tc>
          <w:tcPr>
            <w:tcW w:type="dxa" w:w="7459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18"/>
                <w:szCs w:val="18"/>
              </w:rPr>
              <w:t xml:space="preserve">No Work Package's position in the schedule requires separate justification outside this table.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6.2  </w:t>
      </w:r>
      <w:r>
        <w:rPr>
          <w:b/>
          <w:bCs/>
          <w:color w:val="2E3440"/>
          <w:sz w:val="26"/>
          <w:szCs w:val="26"/>
        </w:rPr>
        <w:t xml:space="preserve">The Full Execution Order</w:t>
      </w: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"/>
        <w:gridCol w:w="706"/>
        <w:gridCol w:w="4032"/>
        <w:gridCol w:w="2016"/>
        <w:gridCol w:w="2621"/>
      </w:tblGrid>
      <w:tr>
        <w:trPr>
          <w:tblHeader/>
        </w:trPr>
        <w:tc>
          <w:tcPr>
            <w:tcW w:type="dxa" w:w="70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WP</w:t>
            </w:r>
          </w:p>
        </w:tc>
        <w:tc>
          <w:tcPr>
            <w:tcW w:type="dxa" w:w="70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403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Why This Order</w:t>
            </w:r>
          </w:p>
        </w:tc>
        <w:tc>
          <w:tcPr>
            <w:tcW w:type="dxa" w:w="201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Capability It Unlocks</w:t>
            </w:r>
          </w:p>
        </w:tc>
        <w:tc>
          <w:tcPr>
            <w:tcW w:type="dxa" w:w="262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Later Packages That Depend On It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WP-01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1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Nothing else can be written, tested, or exposed without a database to persist against.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Platform Data Backbone</w:t>
            </w:r>
          </w:p>
        </w:tc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All 24 remaining Work Packages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WP-02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2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Every module needs one proven way to expose itself; establishing the contract pattern once, early, prevents twenty inconsistent implementations.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Platform Integration Backbone</w:t>
            </w:r>
          </w:p>
        </w:tc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WP-04 through WP-25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WP-03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2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Runs in parallel with WP-02 — nothing can be tested or deployed until build/release automation exists, but it does not itself depend on the data or API layer.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Build &amp; Release Automation</w:t>
            </w:r>
          </w:p>
        </w:tc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Every Work Package's ability to ship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WP-04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3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Every subsequent module needs real users and organizational context to be meaningfully built or tested against.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Platform Administration</w:t>
            </w:r>
          </w:p>
        </w:tc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WP-05, WP-10, WP-11, WP-19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WP-05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4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No module can enforce least-privilege access until roles and permissions exist and are enforced, not merely stored.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Access Governance</w:t>
            </w:r>
          </w:p>
        </w:tc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WP-06 through WP-25 (nearly all)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WP-06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5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A read-only consumer of Programme data; its dashboard shell can be built in parallel against a mocked contract while WP-07 is still in progress.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Executive Visibility (shell)</w:t>
            </w:r>
          </w:p>
        </w:tc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None — terminal capability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WP-07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5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The top-level organizing entity every project, zone, and budget line is scoped within.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Programme Delivery Chain</w:t>
            </w:r>
          </w:p>
        </w:tc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WP-08, WP-16, WP-22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WP-08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6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Cannot exist without a parent programme and zone.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Project Delivery</w:t>
            </w:r>
          </w:p>
        </w:tc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WP-09, WP-16, WP-22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WP-09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7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Cannot exist without a parent project.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Work Execution</w:t>
            </w:r>
          </w:p>
        </w:tc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WP-10, WP-18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WP-10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8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The shared orchestration layer every approval-style process will run on; must exist before Approvals can be built on top of it.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Process Orchestration</w:t>
            </w:r>
          </w:p>
        </w:tc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WP-11, WP-12 (thin), WP-18, WP-20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WP-11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9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The first and most demanding consumer of the Workflow Engine — proves the pattern before Documents depends on it.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Governance &amp; Sign-off</w:t>
            </w:r>
          </w:p>
        </w:tc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WP-12, WP-07's change requests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WP-12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10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The platform's document system of record; everything knowledge-related depends on it existing first.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Enterprise Content Management</w:t>
            </w:r>
          </w:p>
        </w:tc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WP-13, WP-15, WP-19, WP-22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WP-13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11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Organizes what Documents stores; cannot be built on an empty document store.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Organizational Knowledge</w:t>
            </w:r>
          </w:p>
        </w:tc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WP-15, WP-21, WP-23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WP-14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10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Independent of the document chain — runs in parallel with WP-12 since neither depends on the other.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Media Management</w:t>
            </w:r>
          </w:p>
        </w:tc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WP-22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WP-15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12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Indexes Documents and Knowledge Repository — cannot precede either.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Enterprise Discovery</w:t>
            </w:r>
          </w:p>
        </w:tc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WP-23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WP-16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13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Needs real Programme and Project data to report against.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Business Reporting</w:t>
            </w:r>
          </w:p>
        </w:tc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WP-17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WP-17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13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Builds on Reporting's data-access patterns rather than duplicating them.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Business Intelligence</w:t>
            </w:r>
          </w:p>
        </w:tc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None directly — optional WP-06 integration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WP-18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14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Dispatches events already being produced by Tasks, Workflow, and Approvals — cannot precede any of its three event sources.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Platform Communication</w:t>
            </w:r>
          </w:p>
        </w:tc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WP-20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WP-19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14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Needs user records and a content store (Documents) to deliver courses through.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User Enablement</w:t>
            </w:r>
          </w:p>
        </w:tc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None — terminal capability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WP-20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15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Needs Notifications and Workflow to escalate tickets.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User Support</w:t>
            </w:r>
          </w:p>
        </w:tc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WP-21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WP-21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15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Deflects tickets from Support — needs Support's ticket volume to know what to prioritize.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Self-Service Support</w:t>
            </w:r>
          </w:p>
        </w:tc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None — terminal capability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WP-22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16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Publishes only Approvals-gated Programme and Document content — the last Work Package needing the full Release 2/4 content and governance chain.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External Transparency</w:t>
            </w:r>
          </w:p>
        </w:tc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None — terminal capability, but must close before WP-24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WP-23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17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Needs a stable, indexed knowledge base to retrieve from — built last among functional modules for this reason.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Intelligent Assistance</w:t>
            </w:r>
          </w:p>
        </w:tc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WP-24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WP-24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18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The full-platform inspection cannot happen until the whole building is standing — requires WP-01 through WP-23 complete.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Platform Quality Assurance</w:t>
            </w:r>
          </w:p>
        </w:tc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WP-25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WP-25</w:t>
            </w:r>
          </w:p>
        </w:tc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19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The handover binder closes out the paperwork the inspection (WP-24) confirmed is accurate.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Programme Documentation</w:t>
            </w:r>
          </w:p>
        </w:tc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General Availability sign-off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6.3  </w:t>
      </w:r>
      <w:r>
        <w:rPr>
          <w:b/>
          <w:bCs/>
          <w:color w:val="2E3440"/>
          <w:sz w:val="26"/>
          <w:szCs w:val="26"/>
        </w:rPr>
        <w:t xml:space="preserve">Reading the Sequence</w:t>
      </w:r>
    </w:p>
    <w:p>
      <w:pPr>
        <w:spacing w:after="150" w:line="276"/>
        <w:jc w:val="both"/>
      </w:pPr>
      <w:r>
        <w:t xml:space="preserve">Three sprints in this sequence run two Work Packages in parallel: Sprint 2 (WP-02 and WP-03), Sprint 5 (WP-06 and WP-07), and Sprint 10 (WP-12 and WP-14). In every case, the parallel pair shares no dependency on each other — each depends only on Work Packages already closed in an earlier sprint. This is not a coincidence; it is the deliberate result of sequencing by dependency first, business value second, per the release philosophy fixed in ERS Part 1, Section 1.2.</w:t>
      </w:r>
    </w:p>
    <w:p>
      <w:pPr>
        <w:spacing w:after="150" w:line="276"/>
        <w:jc w:val="both"/>
      </w:pPr>
      <w:r>
        <w:t xml:space="preserve">Ten Work Packages in this sequence — WP-03, WP-06, WP-14, WP-16 through WP-22 — carry schedule float, meaning a delay to any one of them does not by itself delay General Availability, provided it still closes before WP-24 begins (Sprint 18). A Programme Manager under schedule pressure should look first at these ten Work Packages for any opportunity to add parallel capacity or defer non-essential scope, never at the fifteen critical-path Work Packages identified in Part 5.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EF0F2" w:sz="2"/>
              <w:left w:val="single" w:color="2E3440" w:sz="24"/>
              <w:bottom w:val="single" w:color="EEF0F2" w:sz="2"/>
              <w:right w:val="single" w:color="EEF0F2" w:sz="2"/>
            </w:tcBorders>
            <w:shd w:fill="EEF0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3440"/>
                <w:sz w:val="17"/>
                <w:szCs w:val="17"/>
              </w:rPr>
              <w:t xml:space="preserve">RECOMMENDATION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Treat this table, not intuition about business importance, as the basis for any resequencing conversation. WP-05 (Security &amp; Access Control) is a clear example of a Work Package that must never be resequenced later despite having no single, dramatic business-facing feature of its own — nineteen of the remaining twenty Work Packages structurally depend on it.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E344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40"/>
    </w:pPr>
    <w:rPr>
      <w:rFonts w:ascii="Calibri" w:cs="Calibri" w:eastAsia="Calibri" w:hAnsi="Calibri"/>
      <w:b/>
      <w:bCs/>
      <w:color w:val="2E34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2026-07-20T17:12:11.350Z</dcterms:created>
  <dcterms:modified xsi:type="dcterms:W3CDTF">2026-07-20T17:12:11.350Z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